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Advice &amp; Questions from First internal check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UI/UX: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Forum page looks like story -&gt; Confusing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Interests page needed?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 Cartoonish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 texts on Home Page are confusing and seems to mean the same thing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the option to bold, change colors, etc. to the writing option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 users to comment on comment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Idea: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monitor bad comments?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we can solve stigma?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Asking people to write is = stigma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Evidence or backing about Experience sharing can help mental health?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Motivation of people to use the platform?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Tell people why(evidence eg. The stats)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want people to share their experiences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People still not motivated even the tech lower the threshold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Allow users to comment on comment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language should we use?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the explanation as to why they should write stuff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Marketing: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UST students are hard to reach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to see More effort to be put into our marketing plan in next internal check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week prior to kick off for marketing may not enough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 from “HKUST E²I” not only due with academic issues. We can collab with them.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handles &gt; year 2 students in their students ONLY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Talk to wellness centre and collab which is a win win for both sides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 before Next Internal Check: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Evidence or backing about Experience sharing can help mental health?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does sharing experiences help de-stigmatize mental health?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does sharing experiences help students support each other?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does sharing experiences help students-- suffering from mental health-- get better?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Everyone’s job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Minjin &amp; Tiffany: get the UI/UX done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Stanely: get the first prototype done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Sungbin: get the research done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Sanjana &amp; Adhya: get the overall marketing timeline/planning done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stanley get the first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