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9879" w14:textId="77777777" w:rsidR="00124A30" w:rsidRDefault="00000000">
      <w:pPr>
        <w:rPr>
          <w:color w:val="999999"/>
          <w:highlight w:val="white"/>
        </w:rPr>
      </w:pPr>
      <w:r>
        <w:rPr>
          <w:color w:val="999999"/>
        </w:rPr>
        <w:t xml:space="preserve">Please use the current document according to the instructions on this page and the Standard Operating Procedure(SOP) Document Templates </w:t>
      </w:r>
      <w:hyperlink r:id="rId7" w:anchor="heading=h.tv28e73ssnvj">
        <w:r>
          <w:rPr>
            <w:color w:val="1155CC"/>
            <w:u w:val="single"/>
          </w:rPr>
          <w:t>[MTG-DOC-001]</w:t>
        </w:r>
      </w:hyperlink>
      <w:r>
        <w:rPr>
          <w:color w:val="999999"/>
        </w:rPr>
        <w:t>.</w:t>
      </w:r>
    </w:p>
    <w:p w14:paraId="0B761D8C" w14:textId="77777777" w:rsidR="00124A30" w:rsidRDefault="00000000">
      <w:pPr>
        <w:pStyle w:val="Heading4"/>
        <w:rPr>
          <w:color w:val="999999"/>
        </w:rPr>
      </w:pPr>
      <w:bookmarkStart w:id="0" w:name="_yxd41pguzbqu" w:colFirst="0" w:colLast="0"/>
      <w:bookmarkEnd w:id="0"/>
      <w:r>
        <w:rPr>
          <w:color w:val="999999"/>
        </w:rPr>
        <w:t>Template Name</w:t>
      </w:r>
    </w:p>
    <w:p w14:paraId="4D583131" w14:textId="77777777" w:rsidR="00124A30" w:rsidRDefault="00000000">
      <w:pPr>
        <w:rPr>
          <w:color w:val="999999"/>
          <w:highlight w:val="white"/>
        </w:rPr>
      </w:pPr>
      <w:r>
        <w:rPr>
          <w:color w:val="999999"/>
          <w:highlight w:val="white"/>
        </w:rPr>
        <w:t>MTG-TPL-046 DPIA Zero Trust - English version</w:t>
      </w:r>
    </w:p>
    <w:p w14:paraId="4B63FA85" w14:textId="77777777" w:rsidR="00124A30" w:rsidRDefault="00000000">
      <w:pPr>
        <w:pStyle w:val="Heading4"/>
        <w:jc w:val="both"/>
        <w:rPr>
          <w:color w:val="999999"/>
        </w:rPr>
      </w:pPr>
      <w:bookmarkStart w:id="1" w:name="_kdnuntpkhm5n" w:colFirst="0" w:colLast="0"/>
      <w:bookmarkEnd w:id="1"/>
      <w:r>
        <w:rPr>
          <w:color w:val="999999"/>
        </w:rPr>
        <w:t>Version History</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490"/>
        <w:gridCol w:w="1590"/>
        <w:gridCol w:w="2790"/>
        <w:gridCol w:w="1110"/>
      </w:tblGrid>
      <w:tr w:rsidR="00124A30" w14:paraId="513ADDC5" w14:textId="77777777">
        <w:trPr>
          <w:trHeight w:val="431"/>
        </w:trPr>
        <w:tc>
          <w:tcPr>
            <w:tcW w:w="1050" w:type="dxa"/>
            <w:tcBorders>
              <w:top w:val="nil"/>
              <w:left w:val="nil"/>
              <w:right w:val="nil"/>
            </w:tcBorders>
            <w:tcMar>
              <w:top w:w="0" w:type="dxa"/>
              <w:left w:w="0" w:type="dxa"/>
              <w:bottom w:w="0" w:type="dxa"/>
              <w:right w:w="0" w:type="dxa"/>
            </w:tcMar>
            <w:vAlign w:val="center"/>
          </w:tcPr>
          <w:p w14:paraId="558E925D" w14:textId="77777777" w:rsidR="00124A30" w:rsidRDefault="00000000">
            <w:pPr>
              <w:widowControl w:val="0"/>
              <w:spacing w:after="0" w:line="240" w:lineRule="auto"/>
              <w:rPr>
                <w:b/>
                <w:color w:val="999999"/>
              </w:rPr>
            </w:pPr>
            <w:r>
              <w:rPr>
                <w:b/>
                <w:color w:val="999999"/>
              </w:rPr>
              <w:t>Version</w:t>
            </w:r>
          </w:p>
        </w:tc>
        <w:tc>
          <w:tcPr>
            <w:tcW w:w="2490" w:type="dxa"/>
            <w:tcBorders>
              <w:top w:val="nil"/>
              <w:left w:val="nil"/>
              <w:right w:val="nil"/>
            </w:tcBorders>
            <w:tcMar>
              <w:top w:w="0" w:type="dxa"/>
              <w:left w:w="0" w:type="dxa"/>
              <w:bottom w:w="0" w:type="dxa"/>
              <w:right w:w="0" w:type="dxa"/>
            </w:tcMar>
            <w:vAlign w:val="center"/>
          </w:tcPr>
          <w:p w14:paraId="5991CFA7" w14:textId="77777777" w:rsidR="00124A30" w:rsidRDefault="00000000">
            <w:pPr>
              <w:widowControl w:val="0"/>
              <w:spacing w:after="0" w:line="240" w:lineRule="auto"/>
              <w:rPr>
                <w:b/>
                <w:color w:val="999999"/>
              </w:rPr>
            </w:pPr>
            <w:r>
              <w:rPr>
                <w:b/>
                <w:color w:val="999999"/>
              </w:rPr>
              <w:t>Author</w:t>
            </w:r>
          </w:p>
        </w:tc>
        <w:tc>
          <w:tcPr>
            <w:tcW w:w="1590" w:type="dxa"/>
            <w:tcBorders>
              <w:top w:val="nil"/>
              <w:left w:val="nil"/>
              <w:right w:val="nil"/>
            </w:tcBorders>
            <w:tcMar>
              <w:top w:w="0" w:type="dxa"/>
              <w:left w:w="0" w:type="dxa"/>
              <w:bottom w:w="0" w:type="dxa"/>
              <w:right w:w="0" w:type="dxa"/>
            </w:tcMar>
            <w:vAlign w:val="center"/>
          </w:tcPr>
          <w:p w14:paraId="49D819A7" w14:textId="77777777" w:rsidR="00124A30" w:rsidRDefault="00000000">
            <w:pPr>
              <w:widowControl w:val="0"/>
              <w:spacing w:after="0" w:line="240" w:lineRule="auto"/>
              <w:rPr>
                <w:b/>
                <w:color w:val="999999"/>
              </w:rPr>
            </w:pPr>
            <w:r>
              <w:rPr>
                <w:b/>
                <w:color w:val="999999"/>
              </w:rPr>
              <w:t>Date</w:t>
            </w:r>
          </w:p>
        </w:tc>
        <w:tc>
          <w:tcPr>
            <w:tcW w:w="2790" w:type="dxa"/>
            <w:tcBorders>
              <w:top w:val="nil"/>
              <w:left w:val="nil"/>
              <w:right w:val="nil"/>
            </w:tcBorders>
            <w:tcMar>
              <w:top w:w="0" w:type="dxa"/>
              <w:left w:w="0" w:type="dxa"/>
              <w:bottom w:w="0" w:type="dxa"/>
              <w:right w:w="0" w:type="dxa"/>
            </w:tcMar>
            <w:vAlign w:val="center"/>
          </w:tcPr>
          <w:p w14:paraId="025CE94C" w14:textId="77777777" w:rsidR="00124A30" w:rsidRDefault="00000000">
            <w:pPr>
              <w:widowControl w:val="0"/>
              <w:spacing w:after="0" w:line="240" w:lineRule="auto"/>
              <w:rPr>
                <w:b/>
                <w:color w:val="999999"/>
              </w:rPr>
            </w:pPr>
            <w:r>
              <w:rPr>
                <w:b/>
                <w:color w:val="999999"/>
              </w:rPr>
              <w:t>Notes</w:t>
            </w:r>
          </w:p>
        </w:tc>
        <w:tc>
          <w:tcPr>
            <w:tcW w:w="1110" w:type="dxa"/>
            <w:tcBorders>
              <w:top w:val="nil"/>
              <w:left w:val="nil"/>
              <w:right w:val="nil"/>
            </w:tcBorders>
            <w:tcMar>
              <w:top w:w="0" w:type="dxa"/>
              <w:left w:w="0" w:type="dxa"/>
              <w:bottom w:w="0" w:type="dxa"/>
              <w:right w:w="0" w:type="dxa"/>
            </w:tcMar>
            <w:vAlign w:val="center"/>
          </w:tcPr>
          <w:p w14:paraId="416EC2FB" w14:textId="77777777" w:rsidR="00124A30" w:rsidRDefault="00000000">
            <w:pPr>
              <w:widowControl w:val="0"/>
              <w:spacing w:after="0" w:line="240" w:lineRule="auto"/>
              <w:rPr>
                <w:b/>
                <w:color w:val="999999"/>
              </w:rPr>
            </w:pPr>
            <w:r>
              <w:rPr>
                <w:b/>
                <w:color w:val="999999"/>
              </w:rPr>
              <w:t>Supported</w:t>
            </w:r>
          </w:p>
        </w:tc>
      </w:tr>
      <w:tr w:rsidR="00124A30" w14:paraId="4154C66A" w14:textId="77777777">
        <w:trPr>
          <w:trHeight w:val="431"/>
        </w:trPr>
        <w:tc>
          <w:tcPr>
            <w:tcW w:w="1050" w:type="dxa"/>
            <w:tcBorders>
              <w:left w:val="nil"/>
              <w:bottom w:val="nil"/>
              <w:right w:val="nil"/>
            </w:tcBorders>
            <w:tcMar>
              <w:top w:w="0" w:type="dxa"/>
              <w:left w:w="0" w:type="dxa"/>
              <w:bottom w:w="0" w:type="dxa"/>
              <w:right w:w="0" w:type="dxa"/>
            </w:tcMar>
            <w:vAlign w:val="center"/>
          </w:tcPr>
          <w:p w14:paraId="5A5A9D17" w14:textId="77777777" w:rsidR="00124A30" w:rsidRDefault="00000000">
            <w:pPr>
              <w:spacing w:after="0" w:line="240" w:lineRule="auto"/>
              <w:rPr>
                <w:b/>
                <w:color w:val="999999"/>
              </w:rPr>
            </w:pPr>
            <w:r>
              <w:rPr>
                <w:b/>
                <w:color w:val="999999"/>
              </w:rPr>
              <w:t>1.0.0</w:t>
            </w:r>
          </w:p>
        </w:tc>
        <w:tc>
          <w:tcPr>
            <w:tcW w:w="2490" w:type="dxa"/>
            <w:tcBorders>
              <w:left w:val="nil"/>
              <w:bottom w:val="nil"/>
              <w:right w:val="nil"/>
            </w:tcBorders>
            <w:tcMar>
              <w:top w:w="0" w:type="dxa"/>
              <w:left w:w="0" w:type="dxa"/>
              <w:bottom w:w="0" w:type="dxa"/>
              <w:right w:w="0" w:type="dxa"/>
            </w:tcMar>
            <w:vAlign w:val="center"/>
          </w:tcPr>
          <w:p w14:paraId="614962FB" w14:textId="77777777" w:rsidR="00124A30" w:rsidRDefault="00000000">
            <w:pPr>
              <w:spacing w:after="0" w:line="240" w:lineRule="auto"/>
              <w:rPr>
                <w:color w:val="999999"/>
              </w:rPr>
            </w:pPr>
            <w:hyperlink r:id="rId8">
              <w:r>
                <w:rPr>
                  <w:color w:val="0000EE"/>
                  <w:u w:val="single"/>
                </w:rPr>
                <w:t>Cristina Jácome</w:t>
              </w:r>
            </w:hyperlink>
          </w:p>
        </w:tc>
        <w:tc>
          <w:tcPr>
            <w:tcW w:w="1590" w:type="dxa"/>
            <w:tcBorders>
              <w:left w:val="nil"/>
              <w:bottom w:val="nil"/>
              <w:right w:val="nil"/>
            </w:tcBorders>
            <w:tcMar>
              <w:top w:w="0" w:type="dxa"/>
              <w:left w:w="0" w:type="dxa"/>
              <w:bottom w:w="0" w:type="dxa"/>
              <w:right w:w="0" w:type="dxa"/>
            </w:tcMar>
            <w:vAlign w:val="center"/>
          </w:tcPr>
          <w:p w14:paraId="5767190A" w14:textId="77777777" w:rsidR="00124A30" w:rsidRDefault="00000000">
            <w:pPr>
              <w:spacing w:after="0" w:line="240" w:lineRule="auto"/>
              <w:rPr>
                <w:color w:val="999999"/>
              </w:rPr>
            </w:pPr>
            <w:r>
              <w:rPr>
                <w:color w:val="999999"/>
              </w:rPr>
              <w:t>May 29, 2025</w:t>
            </w:r>
          </w:p>
        </w:tc>
        <w:tc>
          <w:tcPr>
            <w:tcW w:w="2790" w:type="dxa"/>
            <w:tcBorders>
              <w:left w:val="nil"/>
              <w:bottom w:val="nil"/>
              <w:right w:val="nil"/>
            </w:tcBorders>
            <w:tcMar>
              <w:top w:w="0" w:type="dxa"/>
              <w:left w:w="0" w:type="dxa"/>
              <w:bottom w:w="0" w:type="dxa"/>
              <w:right w:w="0" w:type="dxa"/>
            </w:tcMar>
            <w:vAlign w:val="center"/>
          </w:tcPr>
          <w:p w14:paraId="29387704" w14:textId="77777777" w:rsidR="00124A30" w:rsidRDefault="00000000">
            <w:pPr>
              <w:spacing w:after="0" w:line="240" w:lineRule="auto"/>
              <w:rPr>
                <w:color w:val="999999"/>
              </w:rPr>
            </w:pPr>
            <w:r>
              <w:rPr>
                <w:color w:val="999999"/>
              </w:rPr>
              <w:t>Initial Version</w:t>
            </w:r>
          </w:p>
        </w:tc>
        <w:tc>
          <w:tcPr>
            <w:tcW w:w="1110" w:type="dxa"/>
            <w:tcBorders>
              <w:left w:val="nil"/>
              <w:bottom w:val="nil"/>
              <w:right w:val="nil"/>
            </w:tcBorders>
            <w:tcMar>
              <w:top w:w="0" w:type="dxa"/>
              <w:left w:w="0" w:type="dxa"/>
              <w:bottom w:w="0" w:type="dxa"/>
              <w:right w:w="0" w:type="dxa"/>
            </w:tcMar>
          </w:tcPr>
          <w:p w14:paraId="763A9AE2" w14:textId="77777777" w:rsidR="00124A30" w:rsidRDefault="00124A30">
            <w:pPr>
              <w:spacing w:after="0" w:line="240" w:lineRule="auto"/>
              <w:rPr>
                <w:color w:val="999999"/>
              </w:rPr>
            </w:pPr>
          </w:p>
        </w:tc>
      </w:tr>
      <w:tr w:rsidR="00124A30" w14:paraId="2F324E87" w14:textId="77777777">
        <w:trPr>
          <w:trHeight w:val="431"/>
        </w:trPr>
        <w:tc>
          <w:tcPr>
            <w:tcW w:w="1050" w:type="dxa"/>
            <w:tcBorders>
              <w:left w:val="nil"/>
              <w:bottom w:val="nil"/>
              <w:right w:val="nil"/>
            </w:tcBorders>
            <w:tcMar>
              <w:top w:w="0" w:type="dxa"/>
              <w:left w:w="0" w:type="dxa"/>
              <w:bottom w:w="0" w:type="dxa"/>
              <w:right w:w="0" w:type="dxa"/>
            </w:tcMar>
            <w:vAlign w:val="center"/>
          </w:tcPr>
          <w:p w14:paraId="6C4CA327" w14:textId="77777777" w:rsidR="00124A30" w:rsidRDefault="00124A30">
            <w:pPr>
              <w:spacing w:after="0" w:line="240" w:lineRule="auto"/>
              <w:rPr>
                <w:b/>
                <w:color w:val="999999"/>
              </w:rPr>
            </w:pPr>
          </w:p>
        </w:tc>
        <w:tc>
          <w:tcPr>
            <w:tcW w:w="2490" w:type="dxa"/>
            <w:tcBorders>
              <w:left w:val="nil"/>
              <w:bottom w:val="nil"/>
              <w:right w:val="nil"/>
            </w:tcBorders>
            <w:tcMar>
              <w:top w:w="0" w:type="dxa"/>
              <w:left w:w="0" w:type="dxa"/>
              <w:bottom w:w="0" w:type="dxa"/>
              <w:right w:w="0" w:type="dxa"/>
            </w:tcMar>
            <w:vAlign w:val="center"/>
          </w:tcPr>
          <w:p w14:paraId="531BF66B" w14:textId="77777777" w:rsidR="00124A30" w:rsidRDefault="00124A30">
            <w:pPr>
              <w:spacing w:after="0" w:line="240" w:lineRule="auto"/>
              <w:rPr>
                <w:color w:val="999999"/>
              </w:rPr>
            </w:pPr>
          </w:p>
        </w:tc>
        <w:tc>
          <w:tcPr>
            <w:tcW w:w="1590" w:type="dxa"/>
            <w:tcBorders>
              <w:left w:val="nil"/>
              <w:bottom w:val="nil"/>
              <w:right w:val="nil"/>
            </w:tcBorders>
            <w:tcMar>
              <w:top w:w="0" w:type="dxa"/>
              <w:left w:w="0" w:type="dxa"/>
              <w:bottom w:w="0" w:type="dxa"/>
              <w:right w:w="0" w:type="dxa"/>
            </w:tcMar>
            <w:vAlign w:val="center"/>
          </w:tcPr>
          <w:p w14:paraId="72C94C65" w14:textId="77777777" w:rsidR="00124A30" w:rsidRDefault="00124A30">
            <w:pPr>
              <w:spacing w:after="0" w:line="240" w:lineRule="auto"/>
              <w:rPr>
                <w:color w:val="999999"/>
              </w:rPr>
            </w:pPr>
          </w:p>
        </w:tc>
        <w:tc>
          <w:tcPr>
            <w:tcW w:w="2790" w:type="dxa"/>
            <w:tcBorders>
              <w:left w:val="nil"/>
              <w:bottom w:val="nil"/>
              <w:right w:val="nil"/>
            </w:tcBorders>
            <w:tcMar>
              <w:top w:w="0" w:type="dxa"/>
              <w:left w:w="0" w:type="dxa"/>
              <w:bottom w:w="0" w:type="dxa"/>
              <w:right w:w="0" w:type="dxa"/>
            </w:tcMar>
            <w:vAlign w:val="center"/>
          </w:tcPr>
          <w:p w14:paraId="2F84C39E" w14:textId="77777777" w:rsidR="00124A30" w:rsidRDefault="00124A30">
            <w:pPr>
              <w:spacing w:after="0" w:line="240" w:lineRule="auto"/>
              <w:rPr>
                <w:color w:val="999999"/>
              </w:rPr>
            </w:pPr>
          </w:p>
        </w:tc>
        <w:tc>
          <w:tcPr>
            <w:tcW w:w="1110" w:type="dxa"/>
            <w:tcBorders>
              <w:left w:val="nil"/>
              <w:bottom w:val="nil"/>
              <w:right w:val="nil"/>
            </w:tcBorders>
            <w:tcMar>
              <w:top w:w="0" w:type="dxa"/>
              <w:left w:w="0" w:type="dxa"/>
              <w:bottom w:w="0" w:type="dxa"/>
              <w:right w:w="0" w:type="dxa"/>
            </w:tcMar>
          </w:tcPr>
          <w:p w14:paraId="135140DE" w14:textId="77777777" w:rsidR="00124A30" w:rsidRDefault="00124A30">
            <w:pPr>
              <w:spacing w:after="0" w:line="240" w:lineRule="auto"/>
              <w:rPr>
                <w:color w:val="999999"/>
              </w:rPr>
            </w:pPr>
          </w:p>
        </w:tc>
      </w:tr>
      <w:tr w:rsidR="00124A30" w14:paraId="7F30F18D" w14:textId="77777777">
        <w:trPr>
          <w:trHeight w:val="431"/>
        </w:trPr>
        <w:tc>
          <w:tcPr>
            <w:tcW w:w="1050" w:type="dxa"/>
            <w:tcBorders>
              <w:left w:val="nil"/>
              <w:bottom w:val="nil"/>
              <w:right w:val="nil"/>
            </w:tcBorders>
            <w:tcMar>
              <w:top w:w="0" w:type="dxa"/>
              <w:left w:w="0" w:type="dxa"/>
              <w:bottom w:w="0" w:type="dxa"/>
              <w:right w:w="0" w:type="dxa"/>
            </w:tcMar>
            <w:vAlign w:val="center"/>
          </w:tcPr>
          <w:p w14:paraId="37FB6EA1" w14:textId="77777777" w:rsidR="00124A30" w:rsidRDefault="00124A30">
            <w:pPr>
              <w:spacing w:after="0" w:line="240" w:lineRule="auto"/>
              <w:rPr>
                <w:b/>
                <w:color w:val="999999"/>
              </w:rPr>
            </w:pPr>
          </w:p>
        </w:tc>
        <w:tc>
          <w:tcPr>
            <w:tcW w:w="2490" w:type="dxa"/>
            <w:tcBorders>
              <w:left w:val="nil"/>
              <w:bottom w:val="nil"/>
              <w:right w:val="nil"/>
            </w:tcBorders>
            <w:tcMar>
              <w:top w:w="0" w:type="dxa"/>
              <w:left w:w="0" w:type="dxa"/>
              <w:bottom w:w="0" w:type="dxa"/>
              <w:right w:w="0" w:type="dxa"/>
            </w:tcMar>
            <w:vAlign w:val="center"/>
          </w:tcPr>
          <w:p w14:paraId="43CFEB4F" w14:textId="77777777" w:rsidR="00124A30" w:rsidRDefault="00124A30">
            <w:pPr>
              <w:spacing w:after="0" w:line="240" w:lineRule="auto"/>
              <w:rPr>
                <w:color w:val="999999"/>
              </w:rPr>
            </w:pPr>
          </w:p>
        </w:tc>
        <w:tc>
          <w:tcPr>
            <w:tcW w:w="1590" w:type="dxa"/>
            <w:tcBorders>
              <w:left w:val="nil"/>
              <w:bottom w:val="nil"/>
              <w:right w:val="nil"/>
            </w:tcBorders>
            <w:tcMar>
              <w:top w:w="0" w:type="dxa"/>
              <w:left w:w="0" w:type="dxa"/>
              <w:bottom w:w="0" w:type="dxa"/>
              <w:right w:w="0" w:type="dxa"/>
            </w:tcMar>
            <w:vAlign w:val="center"/>
          </w:tcPr>
          <w:p w14:paraId="1A8300DB" w14:textId="77777777" w:rsidR="00124A30" w:rsidRDefault="00124A30">
            <w:pPr>
              <w:spacing w:after="0" w:line="240" w:lineRule="auto"/>
              <w:rPr>
                <w:color w:val="999999"/>
              </w:rPr>
            </w:pPr>
          </w:p>
        </w:tc>
        <w:tc>
          <w:tcPr>
            <w:tcW w:w="2790" w:type="dxa"/>
            <w:tcBorders>
              <w:left w:val="nil"/>
              <w:bottom w:val="nil"/>
              <w:right w:val="nil"/>
            </w:tcBorders>
            <w:tcMar>
              <w:top w:w="0" w:type="dxa"/>
              <w:left w:w="0" w:type="dxa"/>
              <w:bottom w:w="0" w:type="dxa"/>
              <w:right w:w="0" w:type="dxa"/>
            </w:tcMar>
            <w:vAlign w:val="center"/>
          </w:tcPr>
          <w:p w14:paraId="2EC48C27" w14:textId="77777777" w:rsidR="00124A30" w:rsidRDefault="00124A30">
            <w:pPr>
              <w:spacing w:after="0" w:line="240" w:lineRule="auto"/>
              <w:rPr>
                <w:color w:val="999999"/>
                <w:highlight w:val="white"/>
              </w:rPr>
            </w:pPr>
          </w:p>
        </w:tc>
        <w:tc>
          <w:tcPr>
            <w:tcW w:w="1110" w:type="dxa"/>
            <w:tcBorders>
              <w:left w:val="nil"/>
              <w:bottom w:val="nil"/>
              <w:right w:val="nil"/>
            </w:tcBorders>
            <w:tcMar>
              <w:top w:w="0" w:type="dxa"/>
              <w:left w:w="0" w:type="dxa"/>
              <w:bottom w:w="0" w:type="dxa"/>
              <w:right w:w="0" w:type="dxa"/>
            </w:tcMar>
            <w:vAlign w:val="center"/>
          </w:tcPr>
          <w:p w14:paraId="45418FA8" w14:textId="77777777" w:rsidR="00124A30" w:rsidRDefault="00124A30">
            <w:pPr>
              <w:spacing w:after="0" w:line="240" w:lineRule="auto"/>
              <w:rPr>
                <w:color w:val="999999"/>
              </w:rPr>
            </w:pPr>
          </w:p>
        </w:tc>
      </w:tr>
    </w:tbl>
    <w:p w14:paraId="13AFA00B" w14:textId="77777777" w:rsidR="00124A30" w:rsidRDefault="00124A30">
      <w:pPr>
        <w:pStyle w:val="Heading4"/>
        <w:jc w:val="both"/>
        <w:rPr>
          <w:color w:val="999999"/>
        </w:rPr>
      </w:pPr>
      <w:bookmarkStart w:id="2" w:name="_8it14dwc4lut" w:colFirst="0" w:colLast="0"/>
      <w:bookmarkEnd w:id="2"/>
    </w:p>
    <w:p w14:paraId="539B762D" w14:textId="77777777" w:rsidR="00124A30" w:rsidRDefault="00000000">
      <w:pPr>
        <w:pStyle w:val="Heading4"/>
        <w:jc w:val="both"/>
        <w:rPr>
          <w:color w:val="999999"/>
          <w:highlight w:val="white"/>
        </w:rPr>
      </w:pPr>
      <w:bookmarkStart w:id="3" w:name="_pfu11pltzrhg" w:colFirst="0" w:colLast="0"/>
      <w:bookmarkEnd w:id="3"/>
      <w:r>
        <w:rPr>
          <w:color w:val="999999"/>
        </w:rPr>
        <w:t>Instructions</w:t>
      </w:r>
    </w:p>
    <w:p w14:paraId="0E116E53" w14:textId="77777777" w:rsidR="00124A30" w:rsidRDefault="00000000">
      <w:pPr>
        <w:spacing w:before="120" w:after="120"/>
        <w:rPr>
          <w:color w:val="999999"/>
        </w:rPr>
      </w:pPr>
      <w:r>
        <w:rPr>
          <w:color w:val="999999"/>
        </w:rPr>
        <w:t xml:space="preserve">This DPIA template is intended for use when producing Tier 1 Tables only. To verify the appropriate DPIA to use, please refer to the SOP DPIA Templates </w:t>
      </w:r>
      <w:hyperlink r:id="rId9">
        <w:r>
          <w:rPr>
            <w:color w:val="1155CC"/>
            <w:u w:val="single"/>
          </w:rPr>
          <w:t>[MTG-DOC-014]</w:t>
        </w:r>
      </w:hyperlink>
      <w:r>
        <w:rPr>
          <w:color w:val="999999"/>
        </w:rPr>
        <w:t>.</w:t>
      </w:r>
    </w:p>
    <w:p w14:paraId="4DC20EB0" w14:textId="77777777" w:rsidR="00124A30" w:rsidRDefault="00000000">
      <w:pPr>
        <w:spacing w:before="120" w:after="120"/>
        <w:rPr>
          <w:color w:val="999999"/>
        </w:rPr>
      </w:pPr>
      <w:r>
        <w:rPr>
          <w:color w:val="999999"/>
        </w:rPr>
        <w:t>Text inside curly brackets ({}) indicates a field to fill in with relevant information. This information should be added to the ‘data’ spreadsheet of the Excel file ‘DPIA Template Consumer’.  After running the script in the Excel, check that all {} blocks were replaced by the specific text.</w:t>
      </w:r>
    </w:p>
    <w:p w14:paraId="28BA5A0B" w14:textId="77777777" w:rsidR="00124A30" w:rsidRDefault="00000000">
      <w:pPr>
        <w:spacing w:before="120" w:after="120"/>
        <w:rPr>
          <w:color w:val="999999"/>
          <w:highlight w:val="white"/>
        </w:rPr>
      </w:pPr>
      <w:r>
        <w:rPr>
          <w:color w:val="999999"/>
          <w:highlight w:val="white"/>
        </w:rPr>
        <w:t xml:space="preserve">Replace the example table provided in </w:t>
      </w:r>
      <w:hyperlink w:anchor="_89wmexph6072">
        <w:r>
          <w:rPr>
            <w:color w:val="1155CC"/>
            <w:highlight w:val="white"/>
            <w:u w:val="single"/>
          </w:rPr>
          <w:t>Section 2.3</w:t>
        </w:r>
      </w:hyperlink>
      <w:r>
        <w:rPr>
          <w:color w:val="999999"/>
          <w:highlight w:val="white"/>
        </w:rPr>
        <w:t xml:space="preserve"> by the specific table of this project.</w:t>
      </w:r>
    </w:p>
    <w:p w14:paraId="101D2540" w14:textId="77777777" w:rsidR="00124A30" w:rsidRDefault="00000000">
      <w:pPr>
        <w:spacing w:before="120" w:after="120"/>
        <w:rPr>
          <w:color w:val="999999"/>
          <w:highlight w:val="white"/>
        </w:rPr>
      </w:pPr>
      <w:r>
        <w:rPr>
          <w:color w:val="999999"/>
          <w:highlight w:val="white"/>
        </w:rPr>
        <w:t xml:space="preserve">Insert annexes of all processing artifacts into </w:t>
      </w:r>
      <w:hyperlink w:anchor="_klcn5eijuvu">
        <w:r>
          <w:rPr>
            <w:color w:val="1155CC"/>
            <w:highlight w:val="white"/>
            <w:u w:val="single"/>
          </w:rPr>
          <w:t>Section 7</w:t>
        </w:r>
      </w:hyperlink>
      <w:r>
        <w:rPr>
          <w:color w:val="999999"/>
          <w:highlight w:val="white"/>
        </w:rPr>
        <w:t xml:space="preserve"> and delete the examples provided. </w:t>
      </w:r>
    </w:p>
    <w:p w14:paraId="492AC624" w14:textId="77777777" w:rsidR="00124A30" w:rsidRDefault="00000000">
      <w:pPr>
        <w:jc w:val="both"/>
        <w:rPr>
          <w:color w:val="999999"/>
          <w:highlight w:val="white"/>
        </w:rPr>
      </w:pPr>
      <w:r>
        <w:rPr>
          <w:color w:val="999999"/>
          <w:highlight w:val="white"/>
        </w:rPr>
        <w:t>Verify all hyperlinks before finalizing the document.</w:t>
      </w:r>
    </w:p>
    <w:p w14:paraId="09002E45" w14:textId="77777777" w:rsidR="00124A30" w:rsidRDefault="00000000">
      <w:pPr>
        <w:spacing w:before="120" w:after="120"/>
        <w:rPr>
          <w:color w:val="999999"/>
        </w:rPr>
      </w:pPr>
      <w:r>
        <w:rPr>
          <w:color w:val="999999"/>
          <w:highlight w:val="white"/>
        </w:rPr>
        <w:t xml:space="preserve">Check that instructions, highlighted in </w:t>
      </w:r>
      <w:proofErr w:type="gramStart"/>
      <w:r>
        <w:rPr>
          <w:color w:val="999999"/>
          <w:highlight w:val="white"/>
        </w:rPr>
        <w:t>grey  inside</w:t>
      </w:r>
      <w:proofErr w:type="gramEnd"/>
      <w:r>
        <w:rPr>
          <w:color w:val="999999"/>
          <w:highlight w:val="white"/>
        </w:rPr>
        <w:t xml:space="preserve"> curly brackets </w:t>
      </w:r>
      <w:r>
        <w:rPr>
          <w:color w:val="999999"/>
          <w:shd w:val="clear" w:color="auto" w:fill="D9D9D9"/>
        </w:rPr>
        <w:t>{},</w:t>
      </w:r>
      <w:r>
        <w:rPr>
          <w:color w:val="999999"/>
          <w:highlight w:val="white"/>
        </w:rPr>
        <w:t xml:space="preserve"> are dele</w:t>
      </w:r>
      <w:r>
        <w:rPr>
          <w:color w:val="999999"/>
        </w:rPr>
        <w:t>ted before finalizing the document.</w:t>
      </w:r>
    </w:p>
    <w:p w14:paraId="66FBC2B7" w14:textId="77777777" w:rsidR="00124A30" w:rsidRDefault="00000000">
      <w:pPr>
        <w:spacing w:before="120" w:after="120"/>
      </w:pPr>
      <w:r>
        <w:rPr>
          <w:color w:val="999999"/>
        </w:rPr>
        <w:t>Delete this page and refresh the table of contents when closing the document.</w:t>
      </w:r>
      <w:r>
        <w:br w:type="page"/>
      </w:r>
    </w:p>
    <w:p w14:paraId="6369C26A" w14:textId="77777777" w:rsidR="00124A30" w:rsidRDefault="00000000">
      <w:pPr>
        <w:pStyle w:val="Title"/>
        <w:rPr>
          <w:highlight w:val="white"/>
        </w:rPr>
      </w:pPr>
      <w:bookmarkStart w:id="4" w:name="_oajn0bkntsk6" w:colFirst="0" w:colLast="0"/>
      <w:bookmarkEnd w:id="4"/>
      <w:r>
        <w:rPr>
          <w:highlight w:val="white"/>
        </w:rPr>
        <w:lastRenderedPageBreak/>
        <w:t>Data Protection Impact Assessment</w:t>
      </w:r>
    </w:p>
    <w:p w14:paraId="6B5457D6" w14:textId="77777777" w:rsidR="00124A30" w:rsidRDefault="00000000">
      <w:pPr>
        <w:pStyle w:val="Heading1"/>
        <w:rPr>
          <w:highlight w:val="white"/>
        </w:rPr>
      </w:pPr>
      <w:bookmarkStart w:id="5" w:name="_x0g9hogw5xpe" w:colFirst="0" w:colLast="0"/>
      <w:bookmarkEnd w:id="5"/>
      <w:r>
        <w:rPr>
          <w:highlight w:val="white"/>
        </w:rPr>
        <w:t>Project Acronym</w:t>
      </w:r>
    </w:p>
    <w:p w14:paraId="1DBAAC33" w14:textId="77777777" w:rsidR="00124A30" w:rsidRDefault="00000000">
      <w:pPr>
        <w:rPr>
          <w:highlight w:val="white"/>
        </w:rPr>
      </w:pPr>
      <w:r>
        <w:rPr>
          <w:highlight w:val="white"/>
        </w:rPr>
        <w:t>{</w:t>
      </w:r>
      <w:proofErr w:type="spellStart"/>
      <w:r>
        <w:rPr>
          <w:highlight w:val="white"/>
        </w:rPr>
        <w:t>acronimo</w:t>
      </w:r>
      <w:proofErr w:type="spellEnd"/>
      <w:r>
        <w:rPr>
          <w:highlight w:val="white"/>
        </w:rPr>
        <w:t>}</w:t>
      </w:r>
    </w:p>
    <w:p w14:paraId="1D6CD2F5" w14:textId="77777777" w:rsidR="00124A30" w:rsidRDefault="00000000">
      <w:pPr>
        <w:pStyle w:val="Heading1"/>
        <w:rPr>
          <w:highlight w:val="white"/>
        </w:rPr>
      </w:pPr>
      <w:bookmarkStart w:id="6" w:name="_ei26rs155hrr" w:colFirst="0" w:colLast="0"/>
      <w:bookmarkEnd w:id="6"/>
      <w:r>
        <w:rPr>
          <w:highlight w:val="white"/>
        </w:rPr>
        <w:t>Project name</w:t>
      </w:r>
    </w:p>
    <w:p w14:paraId="72E5BDD8" w14:textId="77777777" w:rsidR="00124A30" w:rsidRDefault="00000000">
      <w:pPr>
        <w:rPr>
          <w:highlight w:val="white"/>
        </w:rPr>
      </w:pPr>
      <w:r>
        <w:rPr>
          <w:highlight w:val="white"/>
        </w:rPr>
        <w:t>{</w:t>
      </w:r>
      <w:proofErr w:type="spellStart"/>
      <w:r>
        <w:rPr>
          <w:highlight w:val="white"/>
        </w:rPr>
        <w:t>nome_projeto</w:t>
      </w:r>
      <w:proofErr w:type="spellEnd"/>
      <w:r>
        <w:rPr>
          <w:highlight w:val="white"/>
        </w:rPr>
        <w:t>}</w:t>
      </w:r>
    </w:p>
    <w:p w14:paraId="72B0F430" w14:textId="77777777" w:rsidR="00124A30" w:rsidRDefault="00000000">
      <w:pPr>
        <w:pStyle w:val="Heading1"/>
        <w:rPr>
          <w:highlight w:val="white"/>
        </w:rPr>
      </w:pPr>
      <w:bookmarkStart w:id="7" w:name="_ph6tk8keeldt" w:colFirst="0" w:colLast="0"/>
      <w:bookmarkEnd w:id="7"/>
      <w:r>
        <w:rPr>
          <w:highlight w:val="white"/>
        </w:rPr>
        <w:t>Authors</w:t>
      </w:r>
    </w:p>
    <w:p w14:paraId="0994C4DC" w14:textId="77777777" w:rsidR="00124A30" w:rsidRDefault="00000000">
      <w:pPr>
        <w:jc w:val="both"/>
        <w:rPr>
          <w:highlight w:val="white"/>
        </w:rPr>
      </w:pPr>
      <w:r>
        <w:rPr>
          <w:highlight w:val="white"/>
        </w:rPr>
        <w:t>{autor_1} {entidade_1}</w:t>
      </w:r>
    </w:p>
    <w:p w14:paraId="2B50E34C" w14:textId="77777777" w:rsidR="00124A30" w:rsidRDefault="00000000">
      <w:pPr>
        <w:jc w:val="both"/>
        <w:rPr>
          <w:highlight w:val="white"/>
        </w:rPr>
      </w:pPr>
      <w:r>
        <w:rPr>
          <w:highlight w:val="white"/>
        </w:rPr>
        <w:t>{autor_2} {entidade_2}</w:t>
      </w:r>
    </w:p>
    <w:p w14:paraId="592C9700" w14:textId="77777777" w:rsidR="00124A30" w:rsidRDefault="00000000">
      <w:pPr>
        <w:jc w:val="both"/>
        <w:rPr>
          <w:highlight w:val="white"/>
        </w:rPr>
      </w:pPr>
      <w:r>
        <w:rPr>
          <w:highlight w:val="white"/>
        </w:rPr>
        <w:t>{autor_3} {entidade_3}</w:t>
      </w:r>
    </w:p>
    <w:p w14:paraId="1EA9C447" w14:textId="77777777" w:rsidR="00124A30" w:rsidRDefault="00000000">
      <w:pPr>
        <w:pStyle w:val="Heading1"/>
        <w:rPr>
          <w:highlight w:val="white"/>
        </w:rPr>
      </w:pPr>
      <w:bookmarkStart w:id="8" w:name="_legt9be0inek" w:colFirst="0" w:colLast="0"/>
      <w:bookmarkEnd w:id="8"/>
      <w:r>
        <w:br w:type="page"/>
      </w:r>
    </w:p>
    <w:p w14:paraId="71DB9322" w14:textId="77777777" w:rsidR="00124A30" w:rsidRDefault="00000000">
      <w:pPr>
        <w:pStyle w:val="Heading1"/>
        <w:rPr>
          <w:highlight w:val="white"/>
        </w:rPr>
      </w:pPr>
      <w:bookmarkStart w:id="9" w:name="_2yjj62gzsvqp" w:colFirst="0" w:colLast="0"/>
      <w:bookmarkEnd w:id="9"/>
      <w:r>
        <w:rPr>
          <w:highlight w:val="white"/>
        </w:rPr>
        <w:lastRenderedPageBreak/>
        <w:t>Index</w:t>
      </w:r>
    </w:p>
    <w:sdt>
      <w:sdtPr>
        <w:id w:val="-406188817"/>
        <w:docPartObj>
          <w:docPartGallery w:val="Table of Contents"/>
          <w:docPartUnique/>
        </w:docPartObj>
      </w:sdtPr>
      <w:sdtContent>
        <w:p w14:paraId="0FA87A2A" w14:textId="77777777" w:rsidR="00124A30" w:rsidRDefault="00000000">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3,3,Heading 5,5,Heading 6,6,"</w:instrText>
          </w:r>
          <w:r>
            <w:fldChar w:fldCharType="separate"/>
          </w:r>
          <w:hyperlink w:anchor="_4gggr0div8cv">
            <w:r>
              <w:rPr>
                <w:rFonts w:ascii="Arial" w:eastAsia="Arial" w:hAnsi="Arial" w:cs="Arial"/>
                <w:b/>
                <w:color w:val="000000"/>
                <w:highlight w:val="white"/>
              </w:rPr>
              <w:t>List of Abbreviations</w:t>
            </w:r>
            <w:r>
              <w:rPr>
                <w:rFonts w:ascii="Arial" w:eastAsia="Arial" w:hAnsi="Arial" w:cs="Arial"/>
                <w:b/>
                <w:color w:val="000000"/>
                <w:highlight w:val="white"/>
              </w:rPr>
              <w:tab/>
              <w:t>4</w:t>
            </w:r>
          </w:hyperlink>
        </w:p>
        <w:p w14:paraId="4D6345A5" w14:textId="77777777" w:rsidR="00124A30" w:rsidRDefault="00000000">
          <w:pPr>
            <w:widowControl w:val="0"/>
            <w:tabs>
              <w:tab w:val="right" w:pos="12000"/>
            </w:tabs>
            <w:spacing w:before="60" w:after="0" w:line="240" w:lineRule="auto"/>
            <w:rPr>
              <w:rFonts w:ascii="Arial" w:eastAsia="Arial" w:hAnsi="Arial" w:cs="Arial"/>
              <w:b/>
              <w:color w:val="000000"/>
            </w:rPr>
          </w:pPr>
          <w:hyperlink w:anchor="_f19z9ix71a3j">
            <w:r>
              <w:rPr>
                <w:rFonts w:ascii="Arial" w:eastAsia="Arial" w:hAnsi="Arial" w:cs="Arial"/>
                <w:b/>
                <w:color w:val="000000"/>
                <w:highlight w:val="white"/>
              </w:rPr>
              <w:t>Preamble</w:t>
            </w:r>
            <w:r>
              <w:rPr>
                <w:rFonts w:ascii="Arial" w:eastAsia="Arial" w:hAnsi="Arial" w:cs="Arial"/>
                <w:b/>
                <w:color w:val="000000"/>
                <w:highlight w:val="white"/>
              </w:rPr>
              <w:tab/>
              <w:t>5</w:t>
            </w:r>
          </w:hyperlink>
        </w:p>
        <w:p w14:paraId="7473A11B" w14:textId="77777777" w:rsidR="00124A30" w:rsidRDefault="00000000">
          <w:pPr>
            <w:widowControl w:val="0"/>
            <w:tabs>
              <w:tab w:val="right" w:pos="12000"/>
            </w:tabs>
            <w:spacing w:before="60" w:after="0" w:line="240" w:lineRule="auto"/>
            <w:rPr>
              <w:rFonts w:ascii="Arial" w:eastAsia="Arial" w:hAnsi="Arial" w:cs="Arial"/>
              <w:b/>
              <w:color w:val="000000"/>
            </w:rPr>
          </w:pPr>
          <w:hyperlink w:anchor="_jjc1np6rrq84">
            <w:r>
              <w:rPr>
                <w:rFonts w:ascii="Arial" w:eastAsia="Arial" w:hAnsi="Arial" w:cs="Arial"/>
                <w:b/>
                <w:color w:val="000000"/>
                <w:highlight w:val="white"/>
              </w:rPr>
              <w:t>1. Project Identification</w:t>
            </w:r>
            <w:r>
              <w:rPr>
                <w:rFonts w:ascii="Arial" w:eastAsia="Arial" w:hAnsi="Arial" w:cs="Arial"/>
                <w:b/>
                <w:color w:val="000000"/>
                <w:highlight w:val="white"/>
              </w:rPr>
              <w:tab/>
              <w:t>6</w:t>
            </w:r>
          </w:hyperlink>
        </w:p>
        <w:p w14:paraId="12F884AB" w14:textId="77777777" w:rsidR="00124A30" w:rsidRDefault="00000000">
          <w:pPr>
            <w:widowControl w:val="0"/>
            <w:tabs>
              <w:tab w:val="right" w:pos="12000"/>
            </w:tabs>
            <w:spacing w:before="60" w:after="0" w:line="240" w:lineRule="auto"/>
            <w:rPr>
              <w:rFonts w:ascii="Arial" w:eastAsia="Arial" w:hAnsi="Arial" w:cs="Arial"/>
              <w:b/>
              <w:color w:val="000000"/>
            </w:rPr>
          </w:pPr>
          <w:hyperlink w:anchor="_j4wkwnwgfzme">
            <w:r>
              <w:rPr>
                <w:rFonts w:ascii="Arial" w:eastAsia="Arial" w:hAnsi="Arial" w:cs="Arial"/>
                <w:b/>
                <w:color w:val="000000"/>
              </w:rPr>
              <w:t>2. General Information on Data Processing</w:t>
            </w:r>
            <w:r>
              <w:rPr>
                <w:rFonts w:ascii="Arial" w:eastAsia="Arial" w:hAnsi="Arial" w:cs="Arial"/>
                <w:b/>
                <w:color w:val="000000"/>
              </w:rPr>
              <w:tab/>
              <w:t>7</w:t>
            </w:r>
          </w:hyperlink>
        </w:p>
        <w:p w14:paraId="63065156"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zah1wec5fn37">
            <w:r>
              <w:rPr>
                <w:rFonts w:ascii="Arial" w:eastAsia="Arial" w:hAnsi="Arial" w:cs="Arial"/>
                <w:color w:val="000000"/>
                <w:highlight w:val="white"/>
              </w:rPr>
              <w:t>2.1. Categories of Data Subjects</w:t>
            </w:r>
            <w:r>
              <w:rPr>
                <w:rFonts w:ascii="Arial" w:eastAsia="Arial" w:hAnsi="Arial" w:cs="Arial"/>
                <w:color w:val="000000"/>
                <w:highlight w:val="white"/>
              </w:rPr>
              <w:tab/>
              <w:t>7</w:t>
            </w:r>
          </w:hyperlink>
        </w:p>
        <w:p w14:paraId="046B3972"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ybk1n8yngb">
            <w:r>
              <w:rPr>
                <w:rFonts w:ascii="Arial" w:eastAsia="Arial" w:hAnsi="Arial" w:cs="Arial"/>
                <w:color w:val="000000"/>
              </w:rPr>
              <w:t>2.2. Data Sources</w:t>
            </w:r>
            <w:r>
              <w:rPr>
                <w:rFonts w:ascii="Arial" w:eastAsia="Arial" w:hAnsi="Arial" w:cs="Arial"/>
                <w:color w:val="000000"/>
              </w:rPr>
              <w:tab/>
              <w:t>7</w:t>
            </w:r>
          </w:hyperlink>
        </w:p>
        <w:p w14:paraId="20877ECB"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89wmexph6072">
            <w:r>
              <w:rPr>
                <w:rFonts w:ascii="Arial" w:eastAsia="Arial" w:hAnsi="Arial" w:cs="Arial"/>
                <w:color w:val="000000"/>
              </w:rPr>
              <w:t>2.3. Identification of Data to be Processed</w:t>
            </w:r>
            <w:r>
              <w:rPr>
                <w:rFonts w:ascii="Arial" w:eastAsia="Arial" w:hAnsi="Arial" w:cs="Arial"/>
                <w:color w:val="000000"/>
              </w:rPr>
              <w:tab/>
              <w:t>7</w:t>
            </w:r>
          </w:hyperlink>
        </w:p>
        <w:p w14:paraId="0917E3F4"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w5nfe2l68mqi">
            <w:r>
              <w:rPr>
                <w:rFonts w:ascii="Arial" w:eastAsia="Arial" w:hAnsi="Arial" w:cs="Arial"/>
                <w:color w:val="000000"/>
              </w:rPr>
              <w:t>2.4. Data Processing Methodology</w:t>
            </w:r>
            <w:r>
              <w:rPr>
                <w:rFonts w:ascii="Arial" w:eastAsia="Arial" w:hAnsi="Arial" w:cs="Arial"/>
                <w:color w:val="000000"/>
              </w:rPr>
              <w:tab/>
              <w:t>9</w:t>
            </w:r>
          </w:hyperlink>
        </w:p>
        <w:p w14:paraId="7490AF93" w14:textId="77777777" w:rsidR="00124A30" w:rsidRDefault="00000000">
          <w:pPr>
            <w:widowControl w:val="0"/>
            <w:tabs>
              <w:tab w:val="right" w:pos="12000"/>
            </w:tabs>
            <w:spacing w:before="60" w:after="0" w:line="240" w:lineRule="auto"/>
            <w:rPr>
              <w:rFonts w:ascii="Arial" w:eastAsia="Arial" w:hAnsi="Arial" w:cs="Arial"/>
              <w:b/>
              <w:color w:val="000000"/>
            </w:rPr>
          </w:pPr>
          <w:hyperlink w:anchor="_eugomv8vaddq">
            <w:r>
              <w:rPr>
                <w:rFonts w:ascii="Arial" w:eastAsia="Arial" w:hAnsi="Arial" w:cs="Arial"/>
                <w:b/>
                <w:color w:val="000000"/>
              </w:rPr>
              <w:t>3. Zero Trust Processing Model</w:t>
            </w:r>
            <w:r>
              <w:rPr>
                <w:rFonts w:ascii="Arial" w:eastAsia="Arial" w:hAnsi="Arial" w:cs="Arial"/>
                <w:b/>
                <w:color w:val="000000"/>
              </w:rPr>
              <w:tab/>
              <w:t>12</w:t>
            </w:r>
          </w:hyperlink>
        </w:p>
        <w:p w14:paraId="6DAC937C"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99l9qfaluh29">
            <w:r>
              <w:rPr>
                <w:rFonts w:ascii="Arial" w:eastAsia="Arial" w:hAnsi="Arial" w:cs="Arial"/>
                <w:color w:val="000000"/>
              </w:rPr>
              <w:t>3.1. Data Flow</w:t>
            </w:r>
            <w:r>
              <w:rPr>
                <w:rFonts w:ascii="Arial" w:eastAsia="Arial" w:hAnsi="Arial" w:cs="Arial"/>
                <w:color w:val="000000"/>
              </w:rPr>
              <w:tab/>
              <w:t>12</w:t>
            </w:r>
          </w:hyperlink>
        </w:p>
        <w:p w14:paraId="10A2EA45"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dp1tiofgpm7o">
            <w:r>
              <w:rPr>
                <w:rFonts w:ascii="Arial" w:eastAsia="Arial" w:hAnsi="Arial" w:cs="Arial"/>
                <w:color w:val="000000"/>
              </w:rPr>
              <w:t>3.2. Description of Personal Data Processing Operations</w:t>
            </w:r>
            <w:r>
              <w:rPr>
                <w:rFonts w:ascii="Arial" w:eastAsia="Arial" w:hAnsi="Arial" w:cs="Arial"/>
                <w:color w:val="000000"/>
              </w:rPr>
              <w:tab/>
              <w:t>14</w:t>
            </w:r>
          </w:hyperlink>
        </w:p>
        <w:p w14:paraId="55021409"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i0qn8cvqoxmh">
            <w:r>
              <w:rPr>
                <w:rFonts w:ascii="Arial" w:eastAsia="Arial" w:hAnsi="Arial" w:cs="Arial"/>
                <w:color w:val="000000"/>
              </w:rPr>
              <w:t>3.3. Responsibilities of the various stakeholders</w:t>
            </w:r>
            <w:r>
              <w:rPr>
                <w:rFonts w:ascii="Arial" w:eastAsia="Arial" w:hAnsi="Arial" w:cs="Arial"/>
                <w:color w:val="000000"/>
              </w:rPr>
              <w:tab/>
              <w:t>15</w:t>
            </w:r>
          </w:hyperlink>
        </w:p>
        <w:p w14:paraId="4BC7753C" w14:textId="77777777" w:rsidR="00124A30" w:rsidRDefault="00000000">
          <w:pPr>
            <w:widowControl w:val="0"/>
            <w:tabs>
              <w:tab w:val="right" w:pos="12000"/>
            </w:tabs>
            <w:spacing w:before="60" w:after="0" w:line="240" w:lineRule="auto"/>
            <w:rPr>
              <w:rFonts w:ascii="Arial" w:eastAsia="Arial" w:hAnsi="Arial" w:cs="Arial"/>
              <w:b/>
              <w:color w:val="000000"/>
            </w:rPr>
          </w:pPr>
          <w:hyperlink w:anchor="_wi8d52tyf3d7">
            <w:r>
              <w:rPr>
                <w:rFonts w:ascii="Arial" w:eastAsia="Arial" w:hAnsi="Arial" w:cs="Arial"/>
                <w:b/>
                <w:color w:val="000000"/>
              </w:rPr>
              <w:t>4. Data Protection Principles</w:t>
            </w:r>
            <w:r>
              <w:rPr>
                <w:rFonts w:ascii="Arial" w:eastAsia="Arial" w:hAnsi="Arial" w:cs="Arial"/>
                <w:b/>
                <w:color w:val="000000"/>
              </w:rPr>
              <w:tab/>
              <w:t>16</w:t>
            </w:r>
          </w:hyperlink>
        </w:p>
        <w:p w14:paraId="3DE96214"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dgmf6uiqvmea">
            <w:r>
              <w:rPr>
                <w:rFonts w:ascii="Arial" w:eastAsia="Arial" w:hAnsi="Arial" w:cs="Arial"/>
                <w:color w:val="000000"/>
              </w:rPr>
              <w:t>4.1. Lawfulness of the processing activity</w:t>
            </w:r>
            <w:r>
              <w:rPr>
                <w:rFonts w:ascii="Arial" w:eastAsia="Arial" w:hAnsi="Arial" w:cs="Arial"/>
                <w:color w:val="000000"/>
              </w:rPr>
              <w:tab/>
              <w:t>16</w:t>
            </w:r>
          </w:hyperlink>
        </w:p>
        <w:p w14:paraId="3D646698"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8zxs3pk672p7">
            <w:r>
              <w:rPr>
                <w:rFonts w:ascii="Arial" w:eastAsia="Arial" w:hAnsi="Arial" w:cs="Arial"/>
                <w:color w:val="000000"/>
              </w:rPr>
              <w:t>4.2. Data retention and sharing</w:t>
            </w:r>
            <w:r>
              <w:rPr>
                <w:rFonts w:ascii="Arial" w:eastAsia="Arial" w:hAnsi="Arial" w:cs="Arial"/>
                <w:color w:val="000000"/>
              </w:rPr>
              <w:tab/>
              <w:t>17</w:t>
            </w:r>
          </w:hyperlink>
        </w:p>
        <w:p w14:paraId="4FC09A14"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23d8bhapckvx">
            <w:r>
              <w:rPr>
                <w:rFonts w:ascii="Arial" w:eastAsia="Arial" w:hAnsi="Arial" w:cs="Arial"/>
                <w:color w:val="000000"/>
              </w:rPr>
              <w:t>4.3. Information to the data subject</w:t>
            </w:r>
            <w:r>
              <w:rPr>
                <w:rFonts w:ascii="Arial" w:eastAsia="Arial" w:hAnsi="Arial" w:cs="Arial"/>
                <w:color w:val="000000"/>
              </w:rPr>
              <w:tab/>
              <w:t>18</w:t>
            </w:r>
          </w:hyperlink>
        </w:p>
        <w:p w14:paraId="2AE3C855" w14:textId="77777777" w:rsidR="00124A30" w:rsidRDefault="00000000">
          <w:pPr>
            <w:widowControl w:val="0"/>
            <w:tabs>
              <w:tab w:val="right" w:pos="12000"/>
            </w:tabs>
            <w:spacing w:before="60" w:after="0" w:line="240" w:lineRule="auto"/>
            <w:rPr>
              <w:rFonts w:ascii="Arial" w:eastAsia="Arial" w:hAnsi="Arial" w:cs="Arial"/>
              <w:b/>
              <w:color w:val="000000"/>
            </w:rPr>
          </w:pPr>
          <w:hyperlink w:anchor="_q5u5inw94oz2">
            <w:r>
              <w:rPr>
                <w:rFonts w:ascii="Arial" w:eastAsia="Arial" w:hAnsi="Arial" w:cs="Arial"/>
                <w:b/>
                <w:color w:val="000000"/>
              </w:rPr>
              <w:t>5. Risks</w:t>
            </w:r>
            <w:r>
              <w:rPr>
                <w:rFonts w:ascii="Arial" w:eastAsia="Arial" w:hAnsi="Arial" w:cs="Arial"/>
                <w:b/>
                <w:color w:val="000000"/>
              </w:rPr>
              <w:tab/>
              <w:t>22</w:t>
            </w:r>
          </w:hyperlink>
        </w:p>
        <w:p w14:paraId="7F894143"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mkhim0wo6wy">
            <w:r>
              <w:rPr>
                <w:rFonts w:ascii="Arial" w:eastAsia="Arial" w:hAnsi="Arial" w:cs="Arial"/>
                <w:color w:val="000000"/>
              </w:rPr>
              <w:t>5.1. Risk Analysis</w:t>
            </w:r>
            <w:r>
              <w:rPr>
                <w:rFonts w:ascii="Arial" w:eastAsia="Arial" w:hAnsi="Arial" w:cs="Arial"/>
                <w:color w:val="000000"/>
              </w:rPr>
              <w:tab/>
              <w:t>22</w:t>
            </w:r>
          </w:hyperlink>
        </w:p>
        <w:p w14:paraId="4F99A61E"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l3ggq5597fhw">
            <w:r>
              <w:rPr>
                <w:rFonts w:ascii="Arial" w:eastAsia="Arial" w:hAnsi="Arial" w:cs="Arial"/>
                <w:color w:val="000000"/>
              </w:rPr>
              <w:t>5.2. Unlawful access to data</w:t>
            </w:r>
            <w:r>
              <w:rPr>
                <w:rFonts w:ascii="Arial" w:eastAsia="Arial" w:hAnsi="Arial" w:cs="Arial"/>
                <w:color w:val="000000"/>
              </w:rPr>
              <w:tab/>
              <w:t>23</w:t>
            </w:r>
          </w:hyperlink>
        </w:p>
        <w:p w14:paraId="5486B3A0"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xjnzz8pwwv80">
            <w:r>
              <w:rPr>
                <w:rFonts w:ascii="Arial" w:eastAsia="Arial" w:hAnsi="Arial" w:cs="Arial"/>
                <w:color w:val="000000"/>
              </w:rPr>
              <w:t>5.3. Unwanted modification/disappearance of data</w:t>
            </w:r>
            <w:r>
              <w:rPr>
                <w:rFonts w:ascii="Arial" w:eastAsia="Arial" w:hAnsi="Arial" w:cs="Arial"/>
                <w:color w:val="000000"/>
              </w:rPr>
              <w:tab/>
              <w:t>25</w:t>
            </w:r>
          </w:hyperlink>
        </w:p>
        <w:p w14:paraId="4EA5DC16" w14:textId="77777777" w:rsidR="00124A30" w:rsidRDefault="00000000">
          <w:pPr>
            <w:widowControl w:val="0"/>
            <w:tabs>
              <w:tab w:val="right" w:pos="12000"/>
            </w:tabs>
            <w:spacing w:before="60" w:after="0" w:line="240" w:lineRule="auto"/>
            <w:ind w:left="360"/>
            <w:rPr>
              <w:rFonts w:ascii="Arial" w:eastAsia="Arial" w:hAnsi="Arial" w:cs="Arial"/>
              <w:color w:val="000000"/>
            </w:rPr>
          </w:pPr>
          <w:hyperlink w:anchor="_kn3ge957axp">
            <w:r>
              <w:rPr>
                <w:rFonts w:ascii="Arial" w:eastAsia="Arial" w:hAnsi="Arial" w:cs="Arial"/>
                <w:color w:val="000000"/>
              </w:rPr>
              <w:t>5.4. Risk Summary Table</w:t>
            </w:r>
            <w:r>
              <w:rPr>
                <w:rFonts w:ascii="Arial" w:eastAsia="Arial" w:hAnsi="Arial" w:cs="Arial"/>
                <w:color w:val="000000"/>
              </w:rPr>
              <w:tab/>
              <w:t>27</w:t>
            </w:r>
          </w:hyperlink>
        </w:p>
        <w:p w14:paraId="4BF92576" w14:textId="77777777" w:rsidR="00124A30" w:rsidRDefault="00000000">
          <w:pPr>
            <w:widowControl w:val="0"/>
            <w:tabs>
              <w:tab w:val="right" w:pos="12000"/>
            </w:tabs>
            <w:spacing w:before="60" w:after="0" w:line="240" w:lineRule="auto"/>
            <w:rPr>
              <w:rFonts w:ascii="Arial" w:eastAsia="Arial" w:hAnsi="Arial" w:cs="Arial"/>
              <w:b/>
              <w:color w:val="000000"/>
            </w:rPr>
          </w:pPr>
          <w:hyperlink w:anchor="_6dyilr19uo5">
            <w:r>
              <w:rPr>
                <w:rFonts w:ascii="Arial" w:eastAsia="Arial" w:hAnsi="Arial" w:cs="Arial"/>
                <w:b/>
                <w:color w:val="000000"/>
              </w:rPr>
              <w:t>6. Glossary</w:t>
            </w:r>
            <w:r>
              <w:rPr>
                <w:rFonts w:ascii="Arial" w:eastAsia="Arial" w:hAnsi="Arial" w:cs="Arial"/>
                <w:b/>
                <w:color w:val="000000"/>
              </w:rPr>
              <w:tab/>
              <w:t>29</w:t>
            </w:r>
          </w:hyperlink>
        </w:p>
        <w:p w14:paraId="301F082B" w14:textId="77777777" w:rsidR="00124A30" w:rsidRDefault="00000000">
          <w:pPr>
            <w:widowControl w:val="0"/>
            <w:tabs>
              <w:tab w:val="right" w:pos="12000"/>
            </w:tabs>
            <w:spacing w:before="60" w:after="0" w:line="240" w:lineRule="auto"/>
            <w:rPr>
              <w:rFonts w:ascii="Arial" w:eastAsia="Arial" w:hAnsi="Arial" w:cs="Arial"/>
              <w:b/>
              <w:color w:val="000000"/>
            </w:rPr>
          </w:pPr>
          <w:hyperlink w:anchor="_klcn5eijuvu">
            <w:r>
              <w:rPr>
                <w:rFonts w:ascii="Arial" w:eastAsia="Arial" w:hAnsi="Arial" w:cs="Arial"/>
                <w:b/>
                <w:color w:val="000000"/>
              </w:rPr>
              <w:t>7. Annexes</w:t>
            </w:r>
            <w:r>
              <w:rPr>
                <w:rFonts w:ascii="Arial" w:eastAsia="Arial" w:hAnsi="Arial" w:cs="Arial"/>
                <w:b/>
                <w:color w:val="000000"/>
              </w:rPr>
              <w:tab/>
              <w:t>32</w:t>
            </w:r>
          </w:hyperlink>
          <w:r>
            <w:fldChar w:fldCharType="end"/>
          </w:r>
        </w:p>
      </w:sdtContent>
    </w:sdt>
    <w:p w14:paraId="31892D78" w14:textId="77777777" w:rsidR="00124A30" w:rsidRDefault="00000000">
      <w:pPr>
        <w:pStyle w:val="Heading1"/>
        <w:rPr>
          <w:highlight w:val="white"/>
        </w:rPr>
      </w:pPr>
      <w:bookmarkStart w:id="10" w:name="_2kj3ziok4f18" w:colFirst="0" w:colLast="0"/>
      <w:bookmarkEnd w:id="10"/>
      <w:r>
        <w:br w:type="page"/>
      </w:r>
    </w:p>
    <w:p w14:paraId="76A211E2" w14:textId="77777777" w:rsidR="00124A30" w:rsidRDefault="00000000">
      <w:pPr>
        <w:pStyle w:val="Heading1"/>
        <w:rPr>
          <w:highlight w:val="white"/>
        </w:rPr>
      </w:pPr>
      <w:bookmarkStart w:id="11" w:name="_4gggr0div8cv" w:colFirst="0" w:colLast="0"/>
      <w:bookmarkEnd w:id="11"/>
      <w:r>
        <w:rPr>
          <w:highlight w:val="white"/>
        </w:rPr>
        <w:lastRenderedPageBreak/>
        <w:t>List of Abbreviations</w:t>
      </w:r>
    </w:p>
    <w:p w14:paraId="4294FB45" w14:textId="77777777" w:rsidR="00124A30" w:rsidRDefault="00000000">
      <w:pPr>
        <w:rPr>
          <w:highlight w:val="white"/>
        </w:rPr>
      </w:pPr>
      <w:r>
        <w:rPr>
          <w:b/>
          <w:highlight w:val="white"/>
        </w:rPr>
        <w:t>DPIA</w:t>
      </w:r>
      <w:r>
        <w:rPr>
          <w:highlight w:val="white"/>
        </w:rPr>
        <w:t xml:space="preserve"> </w:t>
      </w:r>
      <w:r>
        <w:rPr>
          <w:highlight w:val="white"/>
        </w:rPr>
        <w:tab/>
      </w:r>
      <w:r>
        <w:rPr>
          <w:highlight w:val="white"/>
        </w:rPr>
        <w:tab/>
        <w:t>Data Protection Impact Assessment</w:t>
      </w:r>
    </w:p>
    <w:p w14:paraId="68785CC2" w14:textId="77777777" w:rsidR="00124A30" w:rsidRDefault="00000000">
      <w:pPr>
        <w:jc w:val="both"/>
      </w:pPr>
      <w:r>
        <w:rPr>
          <w:b/>
        </w:rPr>
        <w:t>DPO</w:t>
      </w:r>
      <w:r>
        <w:tab/>
      </w:r>
      <w:r>
        <w:tab/>
        <w:t>Data Protection Officer</w:t>
      </w:r>
    </w:p>
    <w:p w14:paraId="6C8B5E62" w14:textId="77777777" w:rsidR="00124A30" w:rsidRDefault="00000000">
      <w:pPr>
        <w:jc w:val="both"/>
      </w:pPr>
      <w:r>
        <w:rPr>
          <w:b/>
        </w:rPr>
        <w:t>DPT</w:t>
      </w:r>
      <w:r>
        <w:tab/>
      </w:r>
      <w:r>
        <w:tab/>
        <w:t>Data Protection Team</w:t>
      </w:r>
    </w:p>
    <w:p w14:paraId="39B0C29F" w14:textId="77777777" w:rsidR="00124A30" w:rsidRDefault="00000000">
      <w:pPr>
        <w:rPr>
          <w:highlight w:val="white"/>
        </w:rPr>
      </w:pPr>
      <w:r>
        <w:rPr>
          <w:b/>
          <w:highlight w:val="white"/>
        </w:rPr>
        <w:t xml:space="preserve">EHR </w:t>
      </w:r>
      <w:r>
        <w:rPr>
          <w:highlight w:val="white"/>
        </w:rPr>
        <w:tab/>
      </w:r>
      <w:r>
        <w:rPr>
          <w:highlight w:val="white"/>
        </w:rPr>
        <w:tab/>
        <w:t>Electronic Health Records</w:t>
      </w:r>
    </w:p>
    <w:p w14:paraId="4D2732B1" w14:textId="77777777" w:rsidR="00124A30" w:rsidRDefault="00000000">
      <w:pPr>
        <w:rPr>
          <w:highlight w:val="white"/>
        </w:rPr>
      </w:pPr>
      <w:r>
        <w:rPr>
          <w:b/>
          <w:highlight w:val="white"/>
        </w:rPr>
        <w:t>GPDR</w:t>
      </w:r>
      <w:r>
        <w:rPr>
          <w:highlight w:val="white"/>
        </w:rPr>
        <w:t xml:space="preserve"> </w:t>
      </w:r>
      <w:r>
        <w:rPr>
          <w:highlight w:val="white"/>
        </w:rPr>
        <w:tab/>
      </w:r>
      <w:r>
        <w:rPr>
          <w:highlight w:val="white"/>
        </w:rPr>
        <w:tab/>
        <w:t>General Data Protection Regulation</w:t>
      </w:r>
    </w:p>
    <w:p w14:paraId="73D07D79" w14:textId="77777777" w:rsidR="00124A30" w:rsidRDefault="00000000">
      <w:pPr>
        <w:jc w:val="both"/>
        <w:rPr>
          <w:b/>
        </w:rPr>
      </w:pPr>
      <w:r>
        <w:rPr>
          <w:b/>
        </w:rPr>
        <w:t>HREC</w:t>
      </w:r>
      <w:r>
        <w:rPr>
          <w:b/>
        </w:rPr>
        <w:tab/>
      </w:r>
      <w:r>
        <w:rPr>
          <w:b/>
        </w:rPr>
        <w:tab/>
      </w:r>
      <w:r>
        <w:t>Human Research Ethics Committee</w:t>
      </w:r>
    </w:p>
    <w:p w14:paraId="206A8E9C" w14:textId="77777777" w:rsidR="00124A30" w:rsidRDefault="00000000">
      <w:pPr>
        <w:jc w:val="both"/>
        <w:rPr>
          <w:highlight w:val="white"/>
        </w:rPr>
      </w:pPr>
      <w:r>
        <w:rPr>
          <w:b/>
          <w:highlight w:val="white"/>
        </w:rPr>
        <w:t>MTG</w:t>
      </w:r>
      <w:r>
        <w:rPr>
          <w:highlight w:val="white"/>
        </w:rPr>
        <w:t xml:space="preserve"> </w:t>
      </w:r>
      <w:r>
        <w:rPr>
          <w:highlight w:val="white"/>
        </w:rPr>
        <w:tab/>
      </w:r>
      <w:r>
        <w:rPr>
          <w:highlight w:val="white"/>
        </w:rPr>
        <w:tab/>
      </w:r>
      <w:proofErr w:type="spellStart"/>
      <w:r>
        <w:rPr>
          <w:highlight w:val="white"/>
        </w:rPr>
        <w:t>MTG</w:t>
      </w:r>
      <w:proofErr w:type="spellEnd"/>
      <w:r>
        <w:rPr>
          <w:highlight w:val="white"/>
        </w:rPr>
        <w:t xml:space="preserve"> Research and Development Lab</w:t>
      </w:r>
    </w:p>
    <w:p w14:paraId="32EDAFB2" w14:textId="77777777" w:rsidR="00124A30" w:rsidRDefault="00000000">
      <w:pPr>
        <w:jc w:val="both"/>
        <w:rPr>
          <w:highlight w:val="white"/>
        </w:rPr>
      </w:pPr>
      <w:r>
        <w:rPr>
          <w:b/>
          <w:highlight w:val="white"/>
        </w:rPr>
        <w:t>R&amp;D</w:t>
      </w:r>
      <w:r>
        <w:rPr>
          <w:highlight w:val="white"/>
        </w:rPr>
        <w:tab/>
      </w:r>
      <w:r>
        <w:rPr>
          <w:highlight w:val="white"/>
        </w:rPr>
        <w:tab/>
        <w:t>Research and Development</w:t>
      </w:r>
    </w:p>
    <w:p w14:paraId="6379FBE8" w14:textId="77777777" w:rsidR="00124A30" w:rsidRDefault="00000000">
      <w:pPr>
        <w:jc w:val="both"/>
        <w:rPr>
          <w:highlight w:val="white"/>
        </w:rPr>
      </w:pPr>
      <w:r>
        <w:rPr>
          <w:b/>
          <w:highlight w:val="white"/>
        </w:rPr>
        <w:t>TI</w:t>
      </w:r>
      <w:r>
        <w:rPr>
          <w:b/>
          <w:highlight w:val="white"/>
        </w:rPr>
        <w:tab/>
      </w:r>
      <w:r>
        <w:rPr>
          <w:b/>
          <w:highlight w:val="white"/>
        </w:rPr>
        <w:tab/>
      </w:r>
      <w:r>
        <w:rPr>
          <w:highlight w:val="white"/>
        </w:rPr>
        <w:t>Information Technology</w:t>
      </w:r>
    </w:p>
    <w:p w14:paraId="59C1CE9E" w14:textId="77777777" w:rsidR="00124A30" w:rsidRDefault="00000000">
      <w:pPr>
        <w:pStyle w:val="Heading1"/>
        <w:rPr>
          <w:highlight w:val="white"/>
        </w:rPr>
      </w:pPr>
      <w:bookmarkStart w:id="12" w:name="_a7isf2d5ny4g" w:colFirst="0" w:colLast="0"/>
      <w:bookmarkEnd w:id="12"/>
      <w:r>
        <w:br w:type="page"/>
      </w:r>
    </w:p>
    <w:p w14:paraId="7B206D58" w14:textId="77777777" w:rsidR="00124A30" w:rsidRDefault="00000000">
      <w:pPr>
        <w:pStyle w:val="Heading1"/>
        <w:rPr>
          <w:highlight w:val="white"/>
        </w:rPr>
      </w:pPr>
      <w:bookmarkStart w:id="13" w:name="_f19z9ix71a3j" w:colFirst="0" w:colLast="0"/>
      <w:bookmarkEnd w:id="13"/>
      <w:r>
        <w:rPr>
          <w:highlight w:val="white"/>
        </w:rPr>
        <w:lastRenderedPageBreak/>
        <w:t>Preamble</w:t>
      </w:r>
    </w:p>
    <w:p w14:paraId="260FC307" w14:textId="77777777" w:rsidR="00124A30" w:rsidRDefault="00000000">
      <w:pPr>
        <w:jc w:val="both"/>
      </w:pPr>
      <w:r>
        <w:t>This Data Protection Impact Assessment (DPIA) follows the signing of the Memorandum of Understanding between the MTG Research and Development Lab (hereinafter referred to as MTG) and {</w:t>
      </w:r>
      <w:proofErr w:type="spellStart"/>
      <w:r>
        <w:rPr>
          <w:highlight w:val="white"/>
        </w:rPr>
        <w:t>nome_instituicao</w:t>
      </w:r>
      <w:proofErr w:type="spellEnd"/>
      <w:r>
        <w:t xml:space="preserve">} (hereinafter referred to as the </w:t>
      </w:r>
      <w:hyperlink w:anchor="_2bqzfla4w6gr">
        <w:r>
          <w:rPr>
            <w:color w:val="1155CC"/>
            <w:u w:val="single"/>
          </w:rPr>
          <w:t>Institution</w:t>
        </w:r>
      </w:hyperlink>
      <w:r>
        <w:t>) for collaboration on Research and Development (R&amp;D) initiatives involving the processing of electronic health records (EHR).</w:t>
      </w:r>
    </w:p>
    <w:p w14:paraId="45B9B956" w14:textId="77777777" w:rsidR="00124A30" w:rsidRDefault="00000000">
      <w:pPr>
        <w:jc w:val="both"/>
        <w:rPr>
          <w:highlight w:val="white"/>
        </w:rPr>
      </w:pPr>
      <w:r>
        <w:rPr>
          <w:highlight w:val="white"/>
        </w:rPr>
        <w:t xml:space="preserve">Under the aforementioned Memorandum of Understanding, MTG aims to promote the scientific capacity of the Institution so that it can develop and participate in R&amp;D initiatives using EHR, whether independently, in partnership with MTG, or with any other </w:t>
      </w:r>
      <w:hyperlink w:anchor="_ul36u0xchuo5">
        <w:r>
          <w:rPr>
            <w:color w:val="1155CC"/>
            <w:highlight w:val="white"/>
            <w:u w:val="single"/>
          </w:rPr>
          <w:t xml:space="preserve">partner entities </w:t>
        </w:r>
      </w:hyperlink>
      <w:r>
        <w:rPr>
          <w:highlight w:val="white"/>
        </w:rPr>
        <w:t>[Memorandum of Understanding, Clause Three, No. 2], respecting the limits established by the General Data Protection Regulation (GDPR) [Memorandum of Understanding, Clause Two].</w:t>
      </w:r>
    </w:p>
    <w:p w14:paraId="0107F143" w14:textId="77777777" w:rsidR="00124A30" w:rsidRDefault="00000000">
      <w:pPr>
        <w:jc w:val="both"/>
        <w:rPr>
          <w:highlight w:val="white"/>
        </w:rPr>
      </w:pPr>
      <w:r>
        <w:rPr>
          <w:highlight w:val="white"/>
        </w:rPr>
        <w:t>The Institution's scientific capacity includes carrying out R&amp;D initiatives based on EHR using exclusively '</w:t>
      </w:r>
      <w:hyperlink w:anchor="_57s24jzg8aov">
        <w:r>
          <w:rPr>
            <w:color w:val="1155CC"/>
            <w:highlight w:val="white"/>
            <w:u w:val="single"/>
          </w:rPr>
          <w:t>algorithm-goes-to-data</w:t>
        </w:r>
      </w:hyperlink>
      <w:r>
        <w:rPr>
          <w:highlight w:val="white"/>
        </w:rPr>
        <w:t xml:space="preserve">' methodologies, ensuring a complete separation between the development activity of an R&amp;D initiative and its respective Study Package by the </w:t>
      </w:r>
      <w:hyperlink w:anchor="_ev0l62vxdodn">
        <w:r>
          <w:rPr>
            <w:color w:val="1155CC"/>
            <w:highlight w:val="white"/>
            <w:u w:val="single"/>
          </w:rPr>
          <w:t>researchers</w:t>
        </w:r>
      </w:hyperlink>
      <w:r>
        <w:rPr>
          <w:highlight w:val="white"/>
        </w:rPr>
        <w:t>, and the execution of the Study Package by the Institution (</w:t>
      </w:r>
      <w:proofErr w:type="spellStart"/>
      <w:r>
        <w:rPr>
          <w:highlight w:val="white"/>
        </w:rPr>
        <w:t>internalisation</w:t>
      </w:r>
      <w:proofErr w:type="spellEnd"/>
      <w:r>
        <w:rPr>
          <w:highlight w:val="white"/>
        </w:rPr>
        <w:t xml:space="preserve"> of the provided source code and its execution on the local infrastructure for secure processing of EHR). The results of this execution can be viewed in </w:t>
      </w:r>
      <w:hyperlink w:anchor="_kw1ccikbpbwq">
        <w:r>
          <w:rPr>
            <w:color w:val="1155CC"/>
            <w:highlight w:val="white"/>
            <w:u w:val="single"/>
          </w:rPr>
          <w:t>Tier 1 Tables</w:t>
        </w:r>
      </w:hyperlink>
      <w:r>
        <w:rPr>
          <w:highlight w:val="white"/>
        </w:rPr>
        <w:t>, or other processing artefacts. In this way, the Institution ensures that it is not necessary, at any time, to provide researchers with access to EHR, and maintains full control and traceability over data processing and the sharing of processing artefacts.</w:t>
      </w:r>
    </w:p>
    <w:p w14:paraId="28BF42BA" w14:textId="77777777" w:rsidR="00124A30" w:rsidRDefault="00000000">
      <w:pPr>
        <w:jc w:val="both"/>
        <w:rPr>
          <w:highlight w:val="white"/>
        </w:rPr>
      </w:pPr>
      <w:r>
        <w:rPr>
          <w:highlight w:val="white"/>
        </w:rPr>
        <w:t xml:space="preserve">All </w:t>
      </w:r>
      <w:hyperlink w:anchor="_h7jq90nfismt">
        <w:r>
          <w:rPr>
            <w:color w:val="1155CC"/>
            <w:highlight w:val="white"/>
            <w:u w:val="single"/>
          </w:rPr>
          <w:t>personal data</w:t>
        </w:r>
      </w:hyperlink>
      <w:r>
        <w:rPr>
          <w:highlight w:val="white"/>
        </w:rPr>
        <w:t xml:space="preserve"> processing operations described in this DPIA assume the exclusive use of the Institution's capacity for R&amp;D initiatives that require EHR processing.</w:t>
      </w:r>
    </w:p>
    <w:p w14:paraId="4C6F9391" w14:textId="77777777" w:rsidR="00124A30" w:rsidRDefault="00000000">
      <w:pPr>
        <w:pStyle w:val="Heading1"/>
        <w:jc w:val="both"/>
        <w:rPr>
          <w:highlight w:val="white"/>
        </w:rPr>
      </w:pPr>
      <w:bookmarkStart w:id="14" w:name="_yp6psguhskru" w:colFirst="0" w:colLast="0"/>
      <w:bookmarkEnd w:id="14"/>
      <w:r>
        <w:br w:type="page"/>
      </w:r>
    </w:p>
    <w:p w14:paraId="6F7CF747" w14:textId="77777777" w:rsidR="00124A30" w:rsidRDefault="00000000">
      <w:pPr>
        <w:pStyle w:val="Heading1"/>
        <w:numPr>
          <w:ilvl w:val="0"/>
          <w:numId w:val="1"/>
        </w:numPr>
        <w:spacing w:after="200"/>
        <w:ind w:left="450" w:hanging="180"/>
        <w:jc w:val="both"/>
        <w:rPr>
          <w:highlight w:val="white"/>
        </w:rPr>
      </w:pPr>
      <w:bookmarkStart w:id="15" w:name="_jjc1np6rrq84" w:colFirst="0" w:colLast="0"/>
      <w:bookmarkEnd w:id="15"/>
      <w:r>
        <w:rPr>
          <w:highlight w:val="white"/>
        </w:rPr>
        <w:lastRenderedPageBreak/>
        <w:t>Project Identification</w:t>
      </w:r>
    </w:p>
    <w:p w14:paraId="28275FF9" w14:textId="77777777" w:rsidR="00124A30" w:rsidRDefault="00000000">
      <w:pPr>
        <w:pStyle w:val="Heading4"/>
        <w:numPr>
          <w:ilvl w:val="1"/>
          <w:numId w:val="1"/>
        </w:numPr>
        <w:ind w:left="450" w:hanging="90"/>
        <w:rPr>
          <w:highlight w:val="white"/>
        </w:rPr>
      </w:pPr>
      <w:bookmarkStart w:id="16" w:name="_yzu1icmk0wt5" w:colFirst="0" w:colLast="0"/>
      <w:bookmarkEnd w:id="16"/>
      <w:r>
        <w:rPr>
          <w:highlight w:val="white"/>
        </w:rPr>
        <w:t>Project Acronym</w:t>
      </w:r>
    </w:p>
    <w:p w14:paraId="09998CA2" w14:textId="77777777" w:rsidR="00124A30" w:rsidRDefault="00000000">
      <w:pPr>
        <w:rPr>
          <w:highlight w:val="white"/>
        </w:rPr>
      </w:pPr>
      <w:r>
        <w:rPr>
          <w:highlight w:val="white"/>
        </w:rPr>
        <w:t>{</w:t>
      </w:r>
      <w:proofErr w:type="spellStart"/>
      <w:r>
        <w:rPr>
          <w:highlight w:val="white"/>
        </w:rPr>
        <w:t>acronimo</w:t>
      </w:r>
      <w:proofErr w:type="spellEnd"/>
      <w:r>
        <w:rPr>
          <w:highlight w:val="white"/>
        </w:rPr>
        <w:t>}</w:t>
      </w:r>
    </w:p>
    <w:p w14:paraId="62B4C6AA" w14:textId="77777777" w:rsidR="00124A30" w:rsidRDefault="00000000">
      <w:pPr>
        <w:pStyle w:val="Heading4"/>
        <w:numPr>
          <w:ilvl w:val="1"/>
          <w:numId w:val="1"/>
        </w:numPr>
        <w:pBdr>
          <w:top w:val="nil"/>
          <w:left w:val="nil"/>
          <w:bottom w:val="nil"/>
          <w:right w:val="nil"/>
          <w:between w:val="nil"/>
        </w:pBdr>
        <w:ind w:left="450" w:hanging="90"/>
        <w:rPr>
          <w:highlight w:val="white"/>
        </w:rPr>
      </w:pPr>
      <w:bookmarkStart w:id="17" w:name="_t7lg3kg3akf5" w:colFirst="0" w:colLast="0"/>
      <w:bookmarkEnd w:id="17"/>
      <w:r>
        <w:rPr>
          <w:highlight w:val="white"/>
        </w:rPr>
        <w:t>Project Name</w:t>
      </w:r>
    </w:p>
    <w:p w14:paraId="4C366137" w14:textId="77777777" w:rsidR="00124A30" w:rsidRDefault="00000000">
      <w:pPr>
        <w:rPr>
          <w:highlight w:val="white"/>
        </w:rPr>
      </w:pPr>
      <w:r>
        <w:rPr>
          <w:highlight w:val="white"/>
        </w:rPr>
        <w:t>{</w:t>
      </w:r>
      <w:proofErr w:type="spellStart"/>
      <w:r>
        <w:rPr>
          <w:highlight w:val="white"/>
        </w:rPr>
        <w:t>nome_projeto</w:t>
      </w:r>
      <w:proofErr w:type="spellEnd"/>
      <w:r>
        <w:rPr>
          <w:highlight w:val="white"/>
        </w:rPr>
        <w:t>}</w:t>
      </w:r>
    </w:p>
    <w:p w14:paraId="5D3C65AD" w14:textId="77777777" w:rsidR="00124A30" w:rsidRDefault="00000000">
      <w:pPr>
        <w:pStyle w:val="Heading4"/>
        <w:numPr>
          <w:ilvl w:val="1"/>
          <w:numId w:val="1"/>
        </w:numPr>
        <w:pBdr>
          <w:top w:val="nil"/>
          <w:left w:val="nil"/>
          <w:bottom w:val="nil"/>
          <w:right w:val="nil"/>
          <w:between w:val="nil"/>
        </w:pBdr>
        <w:ind w:left="450" w:hanging="90"/>
        <w:rPr>
          <w:highlight w:val="white"/>
        </w:rPr>
      </w:pPr>
      <w:bookmarkStart w:id="18" w:name="_sy7cc5h0hqd" w:colFirst="0" w:colLast="0"/>
      <w:bookmarkEnd w:id="18"/>
      <w:r>
        <w:rPr>
          <w:highlight w:val="white"/>
        </w:rPr>
        <w:t>Institution</w:t>
      </w:r>
    </w:p>
    <w:p w14:paraId="711590DC" w14:textId="77777777" w:rsidR="00124A30" w:rsidRDefault="00000000">
      <w:pPr>
        <w:rPr>
          <w:highlight w:val="white"/>
        </w:rPr>
      </w:pPr>
      <w:r>
        <w:rPr>
          <w:highlight w:val="white"/>
        </w:rPr>
        <w:t>{</w:t>
      </w:r>
      <w:proofErr w:type="spellStart"/>
      <w:r>
        <w:rPr>
          <w:highlight w:val="white"/>
        </w:rPr>
        <w:t>nome_instituicao</w:t>
      </w:r>
      <w:proofErr w:type="spellEnd"/>
      <w:r>
        <w:rPr>
          <w:highlight w:val="white"/>
        </w:rPr>
        <w:t>}</w:t>
      </w:r>
    </w:p>
    <w:p w14:paraId="63634127" w14:textId="77777777" w:rsidR="00124A30" w:rsidRDefault="00000000">
      <w:pPr>
        <w:pStyle w:val="Heading4"/>
        <w:numPr>
          <w:ilvl w:val="1"/>
          <w:numId w:val="1"/>
        </w:numPr>
        <w:pBdr>
          <w:top w:val="nil"/>
          <w:left w:val="nil"/>
          <w:bottom w:val="nil"/>
          <w:right w:val="nil"/>
          <w:between w:val="nil"/>
        </w:pBdr>
        <w:ind w:left="450" w:hanging="90"/>
        <w:rPr>
          <w:highlight w:val="white"/>
        </w:rPr>
      </w:pPr>
      <w:bookmarkStart w:id="19" w:name="_m1u19r16nwjy" w:colFirst="0" w:colLast="0"/>
      <w:bookmarkEnd w:id="19"/>
      <w:r>
        <w:rPr>
          <w:highlight w:val="white"/>
        </w:rPr>
        <w:t>Partner Entity</w:t>
      </w:r>
    </w:p>
    <w:p w14:paraId="71C77179" w14:textId="77777777" w:rsidR="00124A30" w:rsidRDefault="00000000">
      <w:pPr>
        <w:rPr>
          <w:highlight w:val="white"/>
        </w:rPr>
      </w:pPr>
      <w:r>
        <w:rPr>
          <w:highlight w:val="white"/>
        </w:rPr>
        <w:t>{</w:t>
      </w:r>
      <w:proofErr w:type="spellStart"/>
      <w:r>
        <w:rPr>
          <w:highlight w:val="white"/>
        </w:rPr>
        <w:t>entidade_parceira</w:t>
      </w:r>
      <w:proofErr w:type="spellEnd"/>
      <w:r>
        <w:rPr>
          <w:highlight w:val="white"/>
        </w:rPr>
        <w:t>}</w:t>
      </w:r>
    </w:p>
    <w:p w14:paraId="0B5915E9" w14:textId="77777777" w:rsidR="00124A30" w:rsidRDefault="00000000">
      <w:pPr>
        <w:pStyle w:val="Heading4"/>
        <w:numPr>
          <w:ilvl w:val="1"/>
          <w:numId w:val="1"/>
        </w:numPr>
        <w:pBdr>
          <w:top w:val="nil"/>
          <w:left w:val="nil"/>
          <w:bottom w:val="nil"/>
          <w:right w:val="nil"/>
          <w:between w:val="nil"/>
        </w:pBdr>
        <w:ind w:left="450" w:hanging="90"/>
        <w:rPr>
          <w:highlight w:val="white"/>
        </w:rPr>
      </w:pPr>
      <w:bookmarkStart w:id="20" w:name="_jihkm1vvt6qa" w:colFirst="0" w:colLast="0"/>
      <w:bookmarkEnd w:id="20"/>
      <w:r>
        <w:rPr>
          <w:highlight w:val="white"/>
        </w:rPr>
        <w:t>Principal Investigator</w:t>
      </w:r>
    </w:p>
    <w:p w14:paraId="73AA554C" w14:textId="77777777" w:rsidR="00124A30" w:rsidRDefault="00000000">
      <w:pPr>
        <w:rPr>
          <w:highlight w:val="white"/>
        </w:rPr>
      </w:pPr>
      <w:r>
        <w:rPr>
          <w:highlight w:val="white"/>
        </w:rPr>
        <w:t>{</w:t>
      </w:r>
      <w:proofErr w:type="spellStart"/>
      <w:r>
        <w:rPr>
          <w:highlight w:val="white"/>
        </w:rPr>
        <w:t>nome_investigador</w:t>
      </w:r>
      <w:proofErr w:type="spellEnd"/>
      <w:r>
        <w:rPr>
          <w:highlight w:val="white"/>
        </w:rPr>
        <w:t>}</w:t>
      </w:r>
    </w:p>
    <w:p w14:paraId="689733A7" w14:textId="77777777" w:rsidR="00124A30" w:rsidRDefault="00000000">
      <w:pPr>
        <w:pStyle w:val="Heading4"/>
        <w:numPr>
          <w:ilvl w:val="1"/>
          <w:numId w:val="1"/>
        </w:numPr>
        <w:pBdr>
          <w:top w:val="nil"/>
          <w:left w:val="nil"/>
          <w:bottom w:val="nil"/>
          <w:right w:val="nil"/>
          <w:between w:val="nil"/>
        </w:pBdr>
        <w:ind w:left="450" w:hanging="90"/>
        <w:rPr>
          <w:highlight w:val="white"/>
        </w:rPr>
      </w:pPr>
      <w:bookmarkStart w:id="21" w:name="_wp9fv6w2uhnl" w:colFirst="0" w:colLast="0"/>
      <w:bookmarkEnd w:id="21"/>
      <w:r>
        <w:rPr>
          <w:highlight w:val="white"/>
        </w:rPr>
        <w:t>Responsible for Personal Data Processing</w:t>
      </w:r>
    </w:p>
    <w:p w14:paraId="0BA56F01" w14:textId="77777777" w:rsidR="00124A30" w:rsidRDefault="00000000">
      <w:pPr>
        <w:jc w:val="both"/>
        <w:rPr>
          <w:highlight w:val="white"/>
        </w:rPr>
      </w:pPr>
      <w:r>
        <w:rPr>
          <w:highlight w:val="white"/>
        </w:rPr>
        <w:t>The Institution is solely and exclusively responsible for the processing of personal data to be carried out within the scope of this project, being represented in this DPIA by {</w:t>
      </w:r>
      <w:proofErr w:type="spellStart"/>
      <w:r>
        <w:rPr>
          <w:highlight w:val="white"/>
        </w:rPr>
        <w:t>nome_responsavel</w:t>
      </w:r>
      <w:proofErr w:type="spellEnd"/>
      <w:r>
        <w:rPr>
          <w:highlight w:val="white"/>
        </w:rPr>
        <w:t>}, {</w:t>
      </w:r>
      <w:proofErr w:type="spellStart"/>
      <w:r>
        <w:rPr>
          <w:highlight w:val="white"/>
        </w:rPr>
        <w:t>cargo_responsavel</w:t>
      </w:r>
      <w:proofErr w:type="spellEnd"/>
      <w:r>
        <w:rPr>
          <w:highlight w:val="white"/>
        </w:rPr>
        <w:t>}.</w:t>
      </w:r>
    </w:p>
    <w:p w14:paraId="64A02AF7" w14:textId="77777777" w:rsidR="00124A30" w:rsidRDefault="00000000">
      <w:pPr>
        <w:pStyle w:val="Heading4"/>
        <w:numPr>
          <w:ilvl w:val="1"/>
          <w:numId w:val="1"/>
        </w:numPr>
        <w:pBdr>
          <w:top w:val="nil"/>
          <w:left w:val="nil"/>
          <w:bottom w:val="nil"/>
          <w:right w:val="nil"/>
          <w:between w:val="nil"/>
        </w:pBdr>
        <w:ind w:left="450" w:hanging="90"/>
        <w:rPr>
          <w:highlight w:val="white"/>
        </w:rPr>
      </w:pPr>
      <w:bookmarkStart w:id="22" w:name="_wlqo69jzjrrg" w:colFirst="0" w:colLast="0"/>
      <w:bookmarkEnd w:id="22"/>
      <w:r>
        <w:rPr>
          <w:highlight w:val="white"/>
        </w:rPr>
        <w:t>Justification for Carrying out the Data Protection Impact Assessment (DPIA)</w:t>
      </w:r>
    </w:p>
    <w:p w14:paraId="6F9D2902" w14:textId="77777777" w:rsidR="00124A30" w:rsidRDefault="00000000">
      <w:pPr>
        <w:spacing w:before="200"/>
        <w:jc w:val="both"/>
        <w:rPr>
          <w:highlight w:val="white"/>
        </w:rPr>
      </w:pPr>
      <w:r>
        <w:rPr>
          <w:highlight w:val="white"/>
        </w:rPr>
        <w:t>The {</w:t>
      </w:r>
      <w:proofErr w:type="spellStart"/>
      <w:r>
        <w:rPr>
          <w:highlight w:val="white"/>
        </w:rPr>
        <w:t>acronimo</w:t>
      </w:r>
      <w:proofErr w:type="spellEnd"/>
      <w:r>
        <w:rPr>
          <w:highlight w:val="white"/>
        </w:rPr>
        <w:t>} project, which has the general objective of {</w:t>
      </w:r>
      <w:proofErr w:type="spellStart"/>
      <w:r>
        <w:rPr>
          <w:highlight w:val="white"/>
        </w:rPr>
        <w:t>objetivo_projeto</w:t>
      </w:r>
      <w:proofErr w:type="spellEnd"/>
      <w:r>
        <w:rPr>
          <w:highlight w:val="white"/>
        </w:rPr>
        <w:t xml:space="preserve">}, involves the processing of personal data held by the Institution, which makes the General Data Protection Regulation (GDPR) applicable. In this context, this DPIA serves as a tool to support the data protection impact assessment, as provided for in Article 35(2) of the GDPR, to be carried out by the Institution, and </w:t>
      </w:r>
      <w:proofErr w:type="gramStart"/>
      <w:r>
        <w:rPr>
          <w:highlight w:val="white"/>
        </w:rPr>
        <w:t>in particular by</w:t>
      </w:r>
      <w:proofErr w:type="gramEnd"/>
      <w:r>
        <w:rPr>
          <w:highlight w:val="white"/>
        </w:rPr>
        <w:t xml:space="preserve"> the Data Protection Team (EPD/Data Protection Officer - DPO).</w:t>
      </w:r>
    </w:p>
    <w:p w14:paraId="7B3B256A" w14:textId="77777777" w:rsidR="00124A30" w:rsidRDefault="00000000">
      <w:pPr>
        <w:spacing w:before="200"/>
        <w:jc w:val="both"/>
        <w:rPr>
          <w:highlight w:val="white"/>
        </w:rPr>
      </w:pPr>
      <w:r>
        <w:rPr>
          <w:highlight w:val="white"/>
        </w:rPr>
        <w:t xml:space="preserve">This DPIA, as provided for in Article 35(7) of the GDPR, includes in the following sections: </w:t>
      </w:r>
      <w:proofErr w:type="spellStart"/>
      <w:r>
        <w:rPr>
          <w:highlight w:val="white"/>
        </w:rPr>
        <w:t>i</w:t>
      </w:r>
      <w:proofErr w:type="spellEnd"/>
      <w:r>
        <w:rPr>
          <w:highlight w:val="white"/>
        </w:rPr>
        <w:t>) a description of the personal data to be processed (</w:t>
      </w:r>
      <w:hyperlink w:anchor="_j4wkwnwgfzme">
        <w:r>
          <w:rPr>
            <w:color w:val="1155CC"/>
            <w:highlight w:val="white"/>
            <w:u w:val="single"/>
          </w:rPr>
          <w:t>Section 2</w:t>
        </w:r>
      </w:hyperlink>
      <w:r>
        <w:rPr>
          <w:highlight w:val="white"/>
        </w:rPr>
        <w:t>), ii) a description of the data processing operations (</w:t>
      </w:r>
      <w:hyperlink w:anchor="_eugomv8vaddq">
        <w:r>
          <w:rPr>
            <w:color w:val="1155CC"/>
            <w:highlight w:val="white"/>
            <w:u w:val="single"/>
          </w:rPr>
          <w:t>Section 3</w:t>
        </w:r>
      </w:hyperlink>
      <w:r>
        <w:rPr>
          <w:highlight w:val="white"/>
        </w:rPr>
        <w:t>), iii) an assessment of the necessity and proportionality of the processing operations in relation to the objectives (</w:t>
      </w:r>
      <w:hyperlink w:anchor="_wi8d52tyf3d7">
        <w:r>
          <w:rPr>
            <w:color w:val="1155CC"/>
            <w:highlight w:val="white"/>
            <w:u w:val="single"/>
          </w:rPr>
          <w:t>Section 4</w:t>
        </w:r>
      </w:hyperlink>
      <w:r>
        <w:rPr>
          <w:highlight w:val="white"/>
        </w:rPr>
        <w:t>), iv) an assessment of the risks to the rights and freedoms of data subjects and the measures envisaged to address the risks (</w:t>
      </w:r>
      <w:hyperlink w:anchor="_q5u5inw94oz2">
        <w:r>
          <w:rPr>
            <w:color w:val="1155CC"/>
            <w:highlight w:val="white"/>
            <w:u w:val="single"/>
          </w:rPr>
          <w:t>Section 5</w:t>
        </w:r>
      </w:hyperlink>
      <w:r>
        <w:rPr>
          <w:highlight w:val="white"/>
        </w:rPr>
        <w:t>)</w:t>
      </w:r>
      <w:r>
        <w:br w:type="page"/>
      </w:r>
    </w:p>
    <w:p w14:paraId="27173EBB" w14:textId="77777777" w:rsidR="00124A30" w:rsidRDefault="00000000">
      <w:pPr>
        <w:pStyle w:val="Heading1"/>
        <w:numPr>
          <w:ilvl w:val="0"/>
          <w:numId w:val="1"/>
        </w:numPr>
        <w:pBdr>
          <w:top w:val="nil"/>
          <w:left w:val="nil"/>
          <w:bottom w:val="nil"/>
          <w:right w:val="nil"/>
          <w:between w:val="nil"/>
        </w:pBdr>
        <w:spacing w:after="200"/>
        <w:ind w:left="450" w:hanging="180"/>
        <w:jc w:val="both"/>
        <w:rPr>
          <w:highlight w:val="white"/>
        </w:rPr>
      </w:pPr>
      <w:bookmarkStart w:id="23" w:name="_j4wkwnwgfzme" w:colFirst="0" w:colLast="0"/>
      <w:bookmarkEnd w:id="23"/>
      <w:r>
        <w:rPr>
          <w:highlight w:val="white"/>
        </w:rPr>
        <w:lastRenderedPageBreak/>
        <w:t>General Information on Data Processing</w:t>
      </w:r>
    </w:p>
    <w:p w14:paraId="41CE6313" w14:textId="77777777" w:rsidR="00124A30" w:rsidRDefault="00000000">
      <w:pPr>
        <w:pStyle w:val="Heading2"/>
        <w:numPr>
          <w:ilvl w:val="1"/>
          <w:numId w:val="1"/>
        </w:numPr>
        <w:spacing w:before="200"/>
        <w:ind w:left="360" w:firstLine="0"/>
        <w:rPr>
          <w:highlight w:val="white"/>
        </w:rPr>
      </w:pPr>
      <w:bookmarkStart w:id="24" w:name="_zah1wec5fn37" w:colFirst="0" w:colLast="0"/>
      <w:bookmarkEnd w:id="24"/>
      <w:r>
        <w:rPr>
          <w:highlight w:val="white"/>
        </w:rPr>
        <w:t xml:space="preserve"> Categories of Data Subjects</w:t>
      </w:r>
    </w:p>
    <w:p w14:paraId="25BBB342" w14:textId="77777777" w:rsidR="00124A30" w:rsidRDefault="00000000">
      <w:pPr>
        <w:jc w:val="both"/>
        <w:rPr>
          <w:highlight w:val="white"/>
        </w:rPr>
      </w:pPr>
      <w:r>
        <w:rPr>
          <w:highlight w:val="white"/>
        </w:rPr>
        <w:t>Patients {</w:t>
      </w:r>
      <w:proofErr w:type="spellStart"/>
      <w:r>
        <w:rPr>
          <w:highlight w:val="white"/>
        </w:rPr>
        <w:t>categoria_titulares</w:t>
      </w:r>
      <w:proofErr w:type="spellEnd"/>
      <w:r>
        <w:rPr>
          <w:highlight w:val="white"/>
        </w:rPr>
        <w:t>} registered at the Institution. Within the scope of this project, there is no processing of data from vulnerable data subjects (e.g., children, pregnant women) or from data subjects with rare diseases.</w:t>
      </w:r>
    </w:p>
    <w:p w14:paraId="2CD8BF46"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25" w:name="_ybk1n8yngb" w:colFirst="0" w:colLast="0"/>
      <w:bookmarkEnd w:id="25"/>
      <w:r>
        <w:rPr>
          <w:highlight w:val="white"/>
        </w:rPr>
        <w:t xml:space="preserve"> Data Sources</w:t>
      </w:r>
    </w:p>
    <w:p w14:paraId="122EA12C" w14:textId="77777777" w:rsidR="00124A30" w:rsidRDefault="00000000">
      <w:pPr>
        <w:jc w:val="both"/>
        <w:rPr>
          <w:highlight w:val="white"/>
        </w:rPr>
      </w:pPr>
      <w:r>
        <w:rPr>
          <w:highlight w:val="white"/>
        </w:rPr>
        <w:t>All data to be processed come from an asynchronous copy of all data from electronic health records (EHR) from information systems and other data sources held by the Institution. This asynchronous copy is the exclusive property of the Institution and is stored exclusively on its local infrastructure.</w:t>
      </w:r>
    </w:p>
    <w:p w14:paraId="21E9C611"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26" w:name="_89wmexph6072" w:colFirst="0" w:colLast="0"/>
      <w:bookmarkEnd w:id="26"/>
      <w:r>
        <w:rPr>
          <w:highlight w:val="white"/>
        </w:rPr>
        <w:t xml:space="preserve"> Identification of Data to be Processed</w:t>
      </w:r>
    </w:p>
    <w:p w14:paraId="20602CAE" w14:textId="77777777" w:rsidR="00124A30" w:rsidRDefault="00000000">
      <w:pPr>
        <w:jc w:val="both"/>
        <w:rPr>
          <w:highlight w:val="white"/>
        </w:rPr>
      </w:pPr>
      <w:r>
        <w:rPr>
          <w:highlight w:val="white"/>
        </w:rPr>
        <w:t>The project intends to process identification data and general health data detailed in the following table. Only the data strictly necessary to meet the objectives of the {</w:t>
      </w:r>
      <w:proofErr w:type="spellStart"/>
      <w:r>
        <w:rPr>
          <w:highlight w:val="white"/>
        </w:rPr>
        <w:t>acronimo</w:t>
      </w:r>
      <w:proofErr w:type="spellEnd"/>
      <w:r>
        <w:rPr>
          <w:highlight w:val="white"/>
        </w:rPr>
        <w:t xml:space="preserve">} project have been identified, </w:t>
      </w:r>
      <w:proofErr w:type="gramStart"/>
      <w:r>
        <w:rPr>
          <w:highlight w:val="white"/>
        </w:rPr>
        <w:t>in order to</w:t>
      </w:r>
      <w:proofErr w:type="gramEnd"/>
      <w:r>
        <w:rPr>
          <w:highlight w:val="white"/>
        </w:rPr>
        <w:t xml:space="preserve"> </w:t>
      </w:r>
      <w:proofErr w:type="spellStart"/>
      <w:r>
        <w:rPr>
          <w:highlight w:val="white"/>
        </w:rPr>
        <w:t>minimise</w:t>
      </w:r>
      <w:proofErr w:type="spellEnd"/>
      <w:r>
        <w:rPr>
          <w:highlight w:val="white"/>
        </w:rPr>
        <w:t xml:space="preserve"> the risk of unnecessary exposure of sensitive information, respecting the principles of </w:t>
      </w:r>
      <w:proofErr w:type="spellStart"/>
      <w:r>
        <w:rPr>
          <w:highlight w:val="white"/>
        </w:rPr>
        <w:t>minimisation</w:t>
      </w:r>
      <w:proofErr w:type="spellEnd"/>
      <w:r>
        <w:rPr>
          <w:highlight w:val="white"/>
        </w:rPr>
        <w:t xml:space="preserve"> and proportionality. All data elements to be processed correspond to elements identified through the Institution's </w:t>
      </w:r>
      <w:hyperlink w:anchor="_ej3a8y6yimds">
        <w:r>
          <w:rPr>
            <w:color w:val="1155CC"/>
            <w:highlight w:val="white"/>
            <w:u w:val="single"/>
          </w:rPr>
          <w:t>metadata catalogues</w:t>
        </w:r>
      </w:hyperlink>
      <w:r>
        <w:rPr>
          <w:highlight w:val="white"/>
        </w:rPr>
        <w:t>.</w:t>
      </w:r>
    </w:p>
    <w:p w14:paraId="249ED306" w14:textId="77777777" w:rsidR="00124A30" w:rsidRDefault="00000000">
      <w:pPr>
        <w:jc w:val="both"/>
        <w:rPr>
          <w:highlight w:val="white"/>
        </w:rPr>
      </w:pPr>
      <w:r>
        <w:rPr>
          <w:highlight w:val="white"/>
        </w:rPr>
        <w:t>Table 1 - Minimum data to be processed within the scope of the {</w:t>
      </w:r>
      <w:proofErr w:type="spellStart"/>
      <w:r>
        <w:rPr>
          <w:highlight w:val="white"/>
        </w:rPr>
        <w:t>acronimo</w:t>
      </w:r>
      <w:proofErr w:type="spellEnd"/>
      <w:r>
        <w:rPr>
          <w:highlight w:val="white"/>
        </w:rPr>
        <w:t>} project.</w:t>
      </w:r>
    </w:p>
    <w:p w14:paraId="7C124F6A" w14:textId="77777777" w:rsidR="00124A30" w:rsidRDefault="00000000">
      <w:pPr>
        <w:rPr>
          <w:highlight w:val="yellow"/>
        </w:rPr>
      </w:pPr>
      <w:r>
        <w:rPr>
          <w:shd w:val="clear" w:color="auto" w:fill="D9D9D9"/>
        </w:rPr>
        <w:t xml:space="preserve">{This is an example table. Please maintain the structure (without vertical lines and with two sections: 'Dados de </w:t>
      </w:r>
      <w:proofErr w:type="spellStart"/>
      <w:r>
        <w:rPr>
          <w:shd w:val="clear" w:color="auto" w:fill="D9D9D9"/>
        </w:rPr>
        <w:t>Identificação</w:t>
      </w:r>
      <w:proofErr w:type="spellEnd"/>
      <w:r>
        <w:rPr>
          <w:shd w:val="clear" w:color="auto" w:fill="D9D9D9"/>
        </w:rPr>
        <w:t xml:space="preserve">' and 'Dados de </w:t>
      </w:r>
      <w:proofErr w:type="spellStart"/>
      <w:r>
        <w:rPr>
          <w:shd w:val="clear" w:color="auto" w:fill="D9D9D9"/>
        </w:rPr>
        <w:t>Saúde</w:t>
      </w:r>
      <w:proofErr w:type="spellEnd"/>
      <w:r>
        <w:rPr>
          <w:shd w:val="clear" w:color="auto" w:fill="D9D9D9"/>
        </w:rPr>
        <w:t>'). Ensure it is completed with all variables to be processed within the I&amp;D initiative.}</w:t>
      </w: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7395"/>
      </w:tblGrid>
      <w:tr w:rsidR="00124A30" w14:paraId="394056B3" w14:textId="77777777">
        <w:trPr>
          <w:trHeight w:val="495"/>
        </w:trPr>
        <w:tc>
          <w:tcPr>
            <w:tcW w:w="1515" w:type="dxa"/>
            <w:vMerge w:val="restart"/>
            <w:tcBorders>
              <w:top w:val="single" w:sz="5" w:space="0" w:color="000000"/>
              <w:left w:val="nil"/>
              <w:bottom w:val="single" w:sz="5" w:space="0" w:color="000000"/>
              <w:right w:val="nil"/>
            </w:tcBorders>
            <w:tcMar>
              <w:top w:w="100" w:type="dxa"/>
              <w:left w:w="100" w:type="dxa"/>
              <w:bottom w:w="100" w:type="dxa"/>
              <w:right w:w="100" w:type="dxa"/>
            </w:tcMar>
          </w:tcPr>
          <w:p w14:paraId="657D8539" w14:textId="77777777" w:rsidR="00124A30" w:rsidRDefault="00000000">
            <w:pPr>
              <w:spacing w:after="0" w:line="240" w:lineRule="auto"/>
              <w:rPr>
                <w:b/>
                <w:highlight w:val="white"/>
              </w:rPr>
            </w:pPr>
            <w:r>
              <w:rPr>
                <w:b/>
                <w:highlight w:val="white"/>
              </w:rPr>
              <w:t>Identification data</w:t>
            </w:r>
          </w:p>
        </w:tc>
        <w:tc>
          <w:tcPr>
            <w:tcW w:w="7395" w:type="dxa"/>
            <w:tcBorders>
              <w:top w:val="single" w:sz="5" w:space="0" w:color="000000"/>
              <w:left w:val="nil"/>
              <w:bottom w:val="single" w:sz="5" w:space="0" w:color="000000"/>
              <w:right w:val="nil"/>
            </w:tcBorders>
            <w:tcMar>
              <w:top w:w="100" w:type="dxa"/>
              <w:left w:w="100" w:type="dxa"/>
              <w:bottom w:w="100" w:type="dxa"/>
              <w:right w:w="100" w:type="dxa"/>
            </w:tcMar>
          </w:tcPr>
          <w:p w14:paraId="1B6CD551" w14:textId="77777777" w:rsidR="00124A30" w:rsidRDefault="00000000">
            <w:pPr>
              <w:spacing w:after="0" w:line="240" w:lineRule="auto"/>
              <w:jc w:val="both"/>
              <w:rPr>
                <w:highlight w:val="white"/>
              </w:rPr>
            </w:pPr>
            <w:r>
              <w:rPr>
                <w:highlight w:val="white"/>
              </w:rPr>
              <w:t>Sex</w:t>
            </w:r>
          </w:p>
        </w:tc>
      </w:tr>
      <w:tr w:rsidR="00124A30" w14:paraId="53048E73" w14:textId="77777777">
        <w:trPr>
          <w:trHeight w:val="495"/>
        </w:trPr>
        <w:tc>
          <w:tcPr>
            <w:tcW w:w="1515" w:type="dxa"/>
            <w:vMerge/>
            <w:tcBorders>
              <w:top w:val="single" w:sz="5" w:space="0" w:color="000000"/>
              <w:left w:val="nil"/>
              <w:bottom w:val="single" w:sz="5" w:space="0" w:color="000000"/>
              <w:right w:val="nil"/>
            </w:tcBorders>
            <w:tcMar>
              <w:top w:w="100" w:type="dxa"/>
              <w:left w:w="100" w:type="dxa"/>
              <w:bottom w:w="100" w:type="dxa"/>
              <w:right w:w="100" w:type="dxa"/>
            </w:tcMar>
          </w:tcPr>
          <w:p w14:paraId="744AD56F" w14:textId="77777777" w:rsidR="00124A30" w:rsidRDefault="00124A30">
            <w:pPr>
              <w:jc w:val="both"/>
              <w:rPr>
                <w:highlight w:val="yellow"/>
              </w:rPr>
            </w:pPr>
          </w:p>
        </w:tc>
        <w:tc>
          <w:tcPr>
            <w:tcW w:w="7395" w:type="dxa"/>
            <w:tcBorders>
              <w:top w:val="nil"/>
              <w:left w:val="nil"/>
              <w:bottom w:val="single" w:sz="5" w:space="0" w:color="000000"/>
              <w:right w:val="nil"/>
            </w:tcBorders>
            <w:tcMar>
              <w:top w:w="100" w:type="dxa"/>
              <w:left w:w="100" w:type="dxa"/>
              <w:bottom w:w="100" w:type="dxa"/>
              <w:right w:w="100" w:type="dxa"/>
            </w:tcMar>
          </w:tcPr>
          <w:p w14:paraId="75EAFD4E" w14:textId="77777777" w:rsidR="00124A30" w:rsidRDefault="00000000">
            <w:pPr>
              <w:spacing w:after="0" w:line="240" w:lineRule="auto"/>
              <w:jc w:val="both"/>
              <w:rPr>
                <w:highlight w:val="white"/>
              </w:rPr>
            </w:pPr>
            <w:r>
              <w:rPr>
                <w:highlight w:val="white"/>
              </w:rPr>
              <w:t>Year of birth</w:t>
            </w:r>
          </w:p>
        </w:tc>
      </w:tr>
      <w:tr w:rsidR="00124A30" w14:paraId="181E1754" w14:textId="77777777">
        <w:trPr>
          <w:trHeight w:val="495"/>
        </w:trPr>
        <w:tc>
          <w:tcPr>
            <w:tcW w:w="1515" w:type="dxa"/>
            <w:vMerge w:val="restart"/>
            <w:tcBorders>
              <w:top w:val="nil"/>
              <w:left w:val="nil"/>
              <w:bottom w:val="single" w:sz="5" w:space="0" w:color="000000"/>
              <w:right w:val="nil"/>
            </w:tcBorders>
            <w:tcMar>
              <w:top w:w="100" w:type="dxa"/>
              <w:left w:w="100" w:type="dxa"/>
              <w:bottom w:w="100" w:type="dxa"/>
              <w:right w:w="100" w:type="dxa"/>
            </w:tcMar>
          </w:tcPr>
          <w:p w14:paraId="70D9A804" w14:textId="77777777" w:rsidR="00124A30" w:rsidRDefault="00000000">
            <w:pPr>
              <w:spacing w:after="0" w:line="240" w:lineRule="auto"/>
              <w:rPr>
                <w:b/>
                <w:highlight w:val="white"/>
              </w:rPr>
            </w:pPr>
            <w:r>
              <w:rPr>
                <w:b/>
                <w:highlight w:val="white"/>
              </w:rPr>
              <w:t>General health data</w:t>
            </w:r>
          </w:p>
        </w:tc>
        <w:tc>
          <w:tcPr>
            <w:tcW w:w="7395" w:type="dxa"/>
            <w:tcBorders>
              <w:top w:val="nil"/>
              <w:left w:val="nil"/>
              <w:bottom w:val="single" w:sz="5" w:space="0" w:color="000000"/>
              <w:right w:val="nil"/>
            </w:tcBorders>
            <w:tcMar>
              <w:top w:w="100" w:type="dxa"/>
              <w:left w:w="100" w:type="dxa"/>
              <w:bottom w:w="100" w:type="dxa"/>
              <w:right w:w="100" w:type="dxa"/>
            </w:tcMar>
          </w:tcPr>
          <w:p w14:paraId="690FA447" w14:textId="77777777" w:rsidR="00124A30" w:rsidRDefault="00000000">
            <w:pPr>
              <w:spacing w:after="0" w:line="240" w:lineRule="auto"/>
              <w:jc w:val="both"/>
              <w:rPr>
                <w:highlight w:val="white"/>
              </w:rPr>
            </w:pPr>
            <w:r>
              <w:rPr>
                <w:highlight w:val="white"/>
              </w:rPr>
              <w:t>Lifestyle data (physical activity)</w:t>
            </w:r>
          </w:p>
        </w:tc>
      </w:tr>
      <w:tr w:rsidR="00124A30" w14:paraId="67B7F32C" w14:textId="77777777">
        <w:trPr>
          <w:trHeight w:val="510"/>
        </w:trPr>
        <w:tc>
          <w:tcPr>
            <w:tcW w:w="1515" w:type="dxa"/>
            <w:vMerge/>
            <w:tcBorders>
              <w:top w:val="nil"/>
              <w:left w:val="nil"/>
              <w:bottom w:val="single" w:sz="5" w:space="0" w:color="000000"/>
              <w:right w:val="nil"/>
            </w:tcBorders>
            <w:tcMar>
              <w:top w:w="100" w:type="dxa"/>
              <w:left w:w="100" w:type="dxa"/>
              <w:bottom w:w="100" w:type="dxa"/>
              <w:right w:w="100" w:type="dxa"/>
            </w:tcMar>
          </w:tcPr>
          <w:p w14:paraId="5571BBB2" w14:textId="77777777" w:rsidR="00124A30" w:rsidRDefault="00124A30">
            <w:pPr>
              <w:jc w:val="both"/>
              <w:rPr>
                <w:highlight w:val="yellow"/>
              </w:rPr>
            </w:pPr>
          </w:p>
        </w:tc>
        <w:tc>
          <w:tcPr>
            <w:tcW w:w="7395" w:type="dxa"/>
            <w:tcBorders>
              <w:top w:val="nil"/>
              <w:left w:val="nil"/>
              <w:bottom w:val="single" w:sz="5" w:space="0" w:color="000000"/>
              <w:right w:val="nil"/>
            </w:tcBorders>
            <w:tcMar>
              <w:top w:w="100" w:type="dxa"/>
              <w:left w:w="100" w:type="dxa"/>
              <w:bottom w:w="100" w:type="dxa"/>
              <w:right w:w="100" w:type="dxa"/>
            </w:tcMar>
          </w:tcPr>
          <w:p w14:paraId="073A6EC3" w14:textId="77777777" w:rsidR="00124A30" w:rsidRDefault="00000000">
            <w:pPr>
              <w:spacing w:after="0" w:line="240" w:lineRule="auto"/>
              <w:jc w:val="both"/>
              <w:rPr>
                <w:highlight w:val="white"/>
              </w:rPr>
            </w:pPr>
            <w:r>
              <w:rPr>
                <w:highlight w:val="white"/>
              </w:rPr>
              <w:t>Consumption habits (smoking)</w:t>
            </w:r>
          </w:p>
        </w:tc>
      </w:tr>
      <w:tr w:rsidR="00124A30" w14:paraId="40696CCE" w14:textId="77777777">
        <w:trPr>
          <w:trHeight w:val="495"/>
        </w:trPr>
        <w:tc>
          <w:tcPr>
            <w:tcW w:w="1515" w:type="dxa"/>
            <w:vMerge/>
            <w:tcBorders>
              <w:top w:val="nil"/>
              <w:left w:val="nil"/>
              <w:bottom w:val="single" w:sz="5" w:space="0" w:color="000000"/>
              <w:right w:val="nil"/>
            </w:tcBorders>
            <w:tcMar>
              <w:top w:w="100" w:type="dxa"/>
              <w:left w:w="100" w:type="dxa"/>
              <w:bottom w:w="100" w:type="dxa"/>
              <w:right w:w="100" w:type="dxa"/>
            </w:tcMar>
          </w:tcPr>
          <w:p w14:paraId="16F8D201" w14:textId="77777777" w:rsidR="00124A30" w:rsidRDefault="00124A30">
            <w:pPr>
              <w:jc w:val="both"/>
              <w:rPr>
                <w:highlight w:val="yellow"/>
              </w:rPr>
            </w:pPr>
          </w:p>
        </w:tc>
        <w:tc>
          <w:tcPr>
            <w:tcW w:w="7395" w:type="dxa"/>
            <w:tcBorders>
              <w:top w:val="nil"/>
              <w:left w:val="nil"/>
              <w:bottom w:val="single" w:sz="5" w:space="0" w:color="000000"/>
              <w:right w:val="nil"/>
            </w:tcBorders>
            <w:tcMar>
              <w:top w:w="100" w:type="dxa"/>
              <w:left w:w="100" w:type="dxa"/>
              <w:bottom w:w="100" w:type="dxa"/>
              <w:right w:w="100" w:type="dxa"/>
            </w:tcMar>
          </w:tcPr>
          <w:p w14:paraId="629D1CDE" w14:textId="77777777" w:rsidR="00124A30" w:rsidRDefault="00000000">
            <w:pPr>
              <w:spacing w:after="0" w:line="240" w:lineRule="auto"/>
              <w:jc w:val="both"/>
              <w:rPr>
                <w:highlight w:val="white"/>
              </w:rPr>
            </w:pPr>
            <w:r>
              <w:rPr>
                <w:highlight w:val="white"/>
              </w:rPr>
              <w:t>Diagnoses</w:t>
            </w:r>
          </w:p>
        </w:tc>
      </w:tr>
      <w:tr w:rsidR="00124A30" w14:paraId="01FBD4EA" w14:textId="77777777">
        <w:trPr>
          <w:trHeight w:val="495"/>
        </w:trPr>
        <w:tc>
          <w:tcPr>
            <w:tcW w:w="1515" w:type="dxa"/>
            <w:vMerge/>
            <w:tcBorders>
              <w:top w:val="nil"/>
              <w:left w:val="nil"/>
              <w:bottom w:val="single" w:sz="5" w:space="0" w:color="000000"/>
              <w:right w:val="nil"/>
            </w:tcBorders>
            <w:tcMar>
              <w:top w:w="100" w:type="dxa"/>
              <w:left w:w="100" w:type="dxa"/>
              <w:bottom w:w="100" w:type="dxa"/>
              <w:right w:w="100" w:type="dxa"/>
            </w:tcMar>
          </w:tcPr>
          <w:p w14:paraId="277FF3DA" w14:textId="77777777" w:rsidR="00124A30" w:rsidRDefault="00124A30">
            <w:pPr>
              <w:jc w:val="both"/>
              <w:rPr>
                <w:highlight w:val="yellow"/>
              </w:rPr>
            </w:pPr>
          </w:p>
        </w:tc>
        <w:tc>
          <w:tcPr>
            <w:tcW w:w="7395" w:type="dxa"/>
            <w:tcBorders>
              <w:top w:val="nil"/>
              <w:left w:val="nil"/>
              <w:bottom w:val="single" w:sz="5" w:space="0" w:color="000000"/>
              <w:right w:val="nil"/>
            </w:tcBorders>
            <w:tcMar>
              <w:top w:w="100" w:type="dxa"/>
              <w:left w:w="100" w:type="dxa"/>
              <w:bottom w:w="100" w:type="dxa"/>
              <w:right w:w="100" w:type="dxa"/>
            </w:tcMar>
          </w:tcPr>
          <w:p w14:paraId="72BAC3F0" w14:textId="77777777" w:rsidR="00124A30" w:rsidRDefault="00000000">
            <w:pPr>
              <w:spacing w:after="0" w:line="240" w:lineRule="auto"/>
              <w:jc w:val="both"/>
              <w:rPr>
                <w:highlight w:val="white"/>
              </w:rPr>
            </w:pPr>
            <w:r>
              <w:rPr>
                <w:highlight w:val="white"/>
              </w:rPr>
              <w:t xml:space="preserve">Use of health resources (consultations, procedures, </w:t>
            </w:r>
            <w:proofErr w:type="spellStart"/>
            <w:r>
              <w:rPr>
                <w:highlight w:val="white"/>
              </w:rPr>
              <w:t>hospitalisation</w:t>
            </w:r>
            <w:proofErr w:type="spellEnd"/>
            <w:r>
              <w:rPr>
                <w:highlight w:val="white"/>
              </w:rPr>
              <w:t>)</w:t>
            </w:r>
          </w:p>
        </w:tc>
      </w:tr>
      <w:tr w:rsidR="00124A30" w14:paraId="613E8FFA" w14:textId="77777777">
        <w:trPr>
          <w:trHeight w:val="495"/>
        </w:trPr>
        <w:tc>
          <w:tcPr>
            <w:tcW w:w="1515" w:type="dxa"/>
            <w:vMerge/>
            <w:tcBorders>
              <w:top w:val="nil"/>
              <w:left w:val="nil"/>
              <w:bottom w:val="single" w:sz="5" w:space="0" w:color="000000"/>
              <w:right w:val="nil"/>
            </w:tcBorders>
            <w:tcMar>
              <w:top w:w="100" w:type="dxa"/>
              <w:left w:w="100" w:type="dxa"/>
              <w:bottom w:w="100" w:type="dxa"/>
              <w:right w:w="100" w:type="dxa"/>
            </w:tcMar>
          </w:tcPr>
          <w:p w14:paraId="3523B8E6" w14:textId="77777777" w:rsidR="00124A30" w:rsidRDefault="00124A30">
            <w:pPr>
              <w:jc w:val="both"/>
              <w:rPr>
                <w:highlight w:val="yellow"/>
              </w:rPr>
            </w:pPr>
          </w:p>
        </w:tc>
        <w:tc>
          <w:tcPr>
            <w:tcW w:w="7395" w:type="dxa"/>
            <w:tcBorders>
              <w:top w:val="nil"/>
              <w:left w:val="nil"/>
              <w:bottom w:val="single" w:sz="5" w:space="0" w:color="000000"/>
              <w:right w:val="nil"/>
            </w:tcBorders>
            <w:tcMar>
              <w:top w:w="100" w:type="dxa"/>
              <w:left w:w="100" w:type="dxa"/>
              <w:bottom w:w="100" w:type="dxa"/>
              <w:right w:w="100" w:type="dxa"/>
            </w:tcMar>
          </w:tcPr>
          <w:p w14:paraId="3679299F" w14:textId="77777777" w:rsidR="00124A30" w:rsidRDefault="00000000">
            <w:pPr>
              <w:spacing w:after="0" w:line="240" w:lineRule="auto"/>
              <w:jc w:val="both"/>
              <w:rPr>
                <w:highlight w:val="white"/>
              </w:rPr>
            </w:pPr>
            <w:r>
              <w:rPr>
                <w:highlight w:val="white"/>
              </w:rPr>
              <w:t>Death</w:t>
            </w:r>
          </w:p>
        </w:tc>
      </w:tr>
    </w:tbl>
    <w:p w14:paraId="38265425" w14:textId="77777777" w:rsidR="00124A30" w:rsidRDefault="00000000">
      <w:pPr>
        <w:jc w:val="both"/>
      </w:pPr>
      <w:r>
        <w:br w:type="page"/>
      </w:r>
    </w:p>
    <w:p w14:paraId="3176DF9E"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27" w:name="_w5nfe2l68mqi" w:colFirst="0" w:colLast="0"/>
      <w:bookmarkEnd w:id="27"/>
      <w:r>
        <w:rPr>
          <w:highlight w:val="white"/>
        </w:rPr>
        <w:lastRenderedPageBreak/>
        <w:t xml:space="preserve"> Data Processing Methodology</w:t>
      </w:r>
    </w:p>
    <w:p w14:paraId="386D7183" w14:textId="77777777" w:rsidR="00124A30" w:rsidRDefault="00000000">
      <w:pPr>
        <w:jc w:val="both"/>
        <w:rPr>
          <w:highlight w:val="white"/>
        </w:rPr>
      </w:pPr>
      <w:r>
        <w:rPr>
          <w:highlight w:val="white"/>
        </w:rPr>
        <w:t xml:space="preserve">Within the scope of this project, the aim is to use the Zero Trust processing model (Figure 1), described in detail in </w:t>
      </w:r>
      <w:hyperlink w:anchor="_eugomv8vaddq">
        <w:r>
          <w:rPr>
            <w:color w:val="1155CC"/>
            <w:highlight w:val="white"/>
            <w:u w:val="single"/>
          </w:rPr>
          <w:t>Section 3</w:t>
        </w:r>
      </w:hyperlink>
      <w:r>
        <w:rPr>
          <w:highlight w:val="white"/>
        </w:rPr>
        <w:t>.</w:t>
      </w:r>
    </w:p>
    <w:p w14:paraId="59A88282" w14:textId="77777777" w:rsidR="00124A30" w:rsidRDefault="00000000">
      <w:pPr>
        <w:jc w:val="both"/>
        <w:rPr>
          <w:highlight w:val="white"/>
        </w:rPr>
      </w:pPr>
      <w:r>
        <w:rPr>
          <w:highlight w:val="white"/>
        </w:rPr>
        <w:t xml:space="preserve">In summary, the model consists of executing the Study Package to be provided by the </w:t>
      </w:r>
      <w:proofErr w:type="gramStart"/>
      <w:r>
        <w:rPr>
          <w:highlight w:val="white"/>
        </w:rPr>
        <w:t>researchers, and</w:t>
      </w:r>
      <w:proofErr w:type="gramEnd"/>
      <w:r>
        <w:rPr>
          <w:highlight w:val="white"/>
        </w:rPr>
        <w:t xml:space="preserve"> exclusively producing </w:t>
      </w:r>
      <w:hyperlink w:anchor="_cafrmkm31h20">
        <w:r>
          <w:rPr>
            <w:color w:val="1155CC"/>
            <w:highlight w:val="white"/>
            <w:u w:val="single"/>
          </w:rPr>
          <w:t xml:space="preserve">aggregated and irreversibly </w:t>
        </w:r>
        <w:proofErr w:type="spellStart"/>
        <w:r>
          <w:rPr>
            <w:color w:val="1155CC"/>
            <w:highlight w:val="white"/>
            <w:u w:val="single"/>
          </w:rPr>
          <w:t>anonymised</w:t>
        </w:r>
        <w:proofErr w:type="spellEnd"/>
        <w:r>
          <w:rPr>
            <w:color w:val="1155CC"/>
            <w:highlight w:val="white"/>
            <w:u w:val="single"/>
          </w:rPr>
          <w:t xml:space="preserve"> results</w:t>
        </w:r>
      </w:hyperlink>
      <w:r>
        <w:rPr>
          <w:highlight w:val="white"/>
        </w:rPr>
        <w:t>, ensuring the impossibility of re-identifying data subjects.</w:t>
      </w:r>
    </w:p>
    <w:p w14:paraId="30A39FDA" w14:textId="77777777" w:rsidR="00124A30" w:rsidRDefault="00000000">
      <w:pPr>
        <w:jc w:val="both"/>
        <w:rPr>
          <w:highlight w:val="white"/>
        </w:rPr>
      </w:pPr>
      <w:r>
        <w:rPr>
          <w:highlight w:val="white"/>
        </w:rPr>
        <w:t xml:space="preserve">Researchers have access to aggregated and </w:t>
      </w:r>
      <w:proofErr w:type="spellStart"/>
      <w:r>
        <w:rPr>
          <w:highlight w:val="white"/>
        </w:rPr>
        <w:t>anonymised</w:t>
      </w:r>
      <w:proofErr w:type="spellEnd"/>
      <w:r>
        <w:rPr>
          <w:highlight w:val="white"/>
        </w:rPr>
        <w:t xml:space="preserve"> results in the form of </w:t>
      </w:r>
      <w:hyperlink w:anchor="_kw1ccikbpbwq">
        <w:r>
          <w:rPr>
            <w:color w:val="1155CC"/>
            <w:highlight w:val="white"/>
            <w:u w:val="single"/>
          </w:rPr>
          <w:t>Tier 1 Tables</w:t>
        </w:r>
      </w:hyperlink>
      <w:r>
        <w:rPr>
          <w:highlight w:val="white"/>
        </w:rPr>
        <w:t>.</w:t>
      </w:r>
    </w:p>
    <w:p w14:paraId="103833E2" w14:textId="77777777" w:rsidR="00124A30" w:rsidRDefault="00000000">
      <w:pPr>
        <w:spacing w:after="0"/>
        <w:jc w:val="both"/>
        <w:rPr>
          <w:highlight w:val="white"/>
        </w:rPr>
      </w:pPr>
      <w:r>
        <w:rPr>
          <w:noProof/>
          <w:highlight w:val="white"/>
        </w:rPr>
        <mc:AlternateContent>
          <mc:Choice Requires="wpg">
            <w:drawing>
              <wp:inline distT="114300" distB="114300" distL="114300" distR="114300" wp14:anchorId="29A3E6C6" wp14:editId="0FD904C9">
                <wp:extent cx="4424363" cy="3871317"/>
                <wp:effectExtent l="0" t="0" r="0" b="0"/>
                <wp:docPr id="1" name="Group 1"/>
                <wp:cNvGraphicFramePr/>
                <a:graphic xmlns:a="http://schemas.openxmlformats.org/drawingml/2006/main">
                  <a:graphicData uri="http://schemas.microsoft.com/office/word/2010/wordprocessingGroup">
                    <wpg:wgp>
                      <wpg:cNvGrpSpPr/>
                      <wpg:grpSpPr>
                        <a:xfrm>
                          <a:off x="0" y="0"/>
                          <a:ext cx="4424363" cy="3871317"/>
                          <a:chOff x="3181350" y="1889025"/>
                          <a:chExt cx="4329750" cy="3781900"/>
                        </a:xfrm>
                      </wpg:grpSpPr>
                      <wpg:grpSp>
                        <wpg:cNvPr id="647451426" name="Group 647451426"/>
                        <wpg:cNvGrpSpPr/>
                        <wpg:grpSpPr>
                          <a:xfrm>
                            <a:off x="3181374" y="1889026"/>
                            <a:ext cx="4328986" cy="3781891"/>
                            <a:chOff x="2593171" y="443625"/>
                            <a:chExt cx="5109154" cy="4458725"/>
                          </a:xfrm>
                        </wpg:grpSpPr>
                        <wps:wsp>
                          <wps:cNvPr id="2067056631" name="Rectangle 2067056631"/>
                          <wps:cNvSpPr/>
                          <wps:spPr>
                            <a:xfrm>
                              <a:off x="2593175" y="443625"/>
                              <a:ext cx="5109150" cy="4458725"/>
                            </a:xfrm>
                            <a:prstGeom prst="rect">
                              <a:avLst/>
                            </a:prstGeom>
                            <a:noFill/>
                            <a:ln>
                              <a:noFill/>
                            </a:ln>
                          </wps:spPr>
                          <wps:txbx>
                            <w:txbxContent>
                              <w:p w14:paraId="492C51F0" w14:textId="77777777" w:rsidR="00124A30" w:rsidRDefault="00124A30">
                                <w:pPr>
                                  <w:spacing w:after="0" w:line="240" w:lineRule="auto"/>
                                  <w:textDirection w:val="btLr"/>
                                </w:pPr>
                              </w:p>
                            </w:txbxContent>
                          </wps:txbx>
                          <wps:bodyPr spcFirstLastPara="1" wrap="square" lIns="91425" tIns="91425" rIns="91425" bIns="91425" anchor="ctr" anchorCtr="0">
                            <a:noAutofit/>
                          </wps:bodyPr>
                        </wps:wsp>
                        <wps:wsp>
                          <wps:cNvPr id="1450042279" name="Rectangle 1450042279"/>
                          <wps:cNvSpPr/>
                          <wps:spPr>
                            <a:xfrm>
                              <a:off x="2711825" y="959275"/>
                              <a:ext cx="1043700" cy="531600"/>
                            </a:xfrm>
                            <a:prstGeom prst="rect">
                              <a:avLst/>
                            </a:prstGeom>
                            <a:solidFill>
                              <a:srgbClr val="FFFFFF"/>
                            </a:solidFill>
                            <a:ln w="9525" cap="flat" cmpd="sng">
                              <a:solidFill>
                                <a:srgbClr val="1A1A1A"/>
                              </a:solidFill>
                              <a:prstDash val="solid"/>
                              <a:round/>
                              <a:headEnd type="none" w="sm" len="sm"/>
                              <a:tailEnd type="none" w="sm" len="sm"/>
                            </a:ln>
                          </wps:spPr>
                          <wps:txbx>
                            <w:txbxContent>
                              <w:p w14:paraId="583FA37F" w14:textId="77777777" w:rsidR="00124A30" w:rsidRDefault="00000000">
                                <w:pPr>
                                  <w:spacing w:after="0" w:line="240" w:lineRule="auto"/>
                                  <w:jc w:val="center"/>
                                  <w:textDirection w:val="btLr"/>
                                </w:pPr>
                                <w:r>
                                  <w:rPr>
                                    <w:color w:val="000000"/>
                                    <w:sz w:val="20"/>
                                  </w:rPr>
                                  <w:t>Study Protocol</w:t>
                                </w:r>
                              </w:p>
                            </w:txbxContent>
                          </wps:txbx>
                          <wps:bodyPr spcFirstLastPara="1" wrap="square" lIns="91425" tIns="91425" rIns="91425" bIns="91425" anchor="ctr" anchorCtr="0">
                            <a:noAutofit/>
                          </wps:bodyPr>
                        </wps:wsp>
                        <wps:wsp>
                          <wps:cNvPr id="1238630622" name="Rectangle 1238630622"/>
                          <wps:cNvSpPr/>
                          <wps:spPr>
                            <a:xfrm>
                              <a:off x="2711825" y="1727125"/>
                              <a:ext cx="1043700" cy="531600"/>
                            </a:xfrm>
                            <a:prstGeom prst="rect">
                              <a:avLst/>
                            </a:prstGeom>
                            <a:solidFill>
                              <a:srgbClr val="FFFFFF"/>
                            </a:solidFill>
                            <a:ln w="9525" cap="flat" cmpd="sng">
                              <a:solidFill>
                                <a:srgbClr val="1A1A1A"/>
                              </a:solidFill>
                              <a:prstDash val="solid"/>
                              <a:round/>
                              <a:headEnd type="none" w="sm" len="sm"/>
                              <a:tailEnd type="none" w="sm" len="sm"/>
                            </a:ln>
                          </wps:spPr>
                          <wps:txbx>
                            <w:txbxContent>
                              <w:p w14:paraId="12642D0A" w14:textId="77777777" w:rsidR="00124A30" w:rsidRDefault="00000000">
                                <w:pPr>
                                  <w:spacing w:after="0" w:line="240" w:lineRule="auto"/>
                                  <w:jc w:val="center"/>
                                  <w:textDirection w:val="btLr"/>
                                </w:pPr>
                                <w:r>
                                  <w:rPr>
                                    <w:color w:val="000000"/>
                                    <w:sz w:val="20"/>
                                  </w:rPr>
                                  <w:t>Study Package</w:t>
                                </w:r>
                              </w:p>
                            </w:txbxContent>
                          </wps:txbx>
                          <wps:bodyPr spcFirstLastPara="1" wrap="square" lIns="91425" tIns="91425" rIns="91425" bIns="91425" anchor="ctr" anchorCtr="0">
                            <a:noAutofit/>
                          </wps:bodyPr>
                        </wps:wsp>
                        <wps:wsp>
                          <wps:cNvPr id="397820536" name="Rectangle 397820536"/>
                          <wps:cNvSpPr/>
                          <wps:spPr>
                            <a:xfrm>
                              <a:off x="5043450" y="959275"/>
                              <a:ext cx="1043700" cy="531600"/>
                            </a:xfrm>
                            <a:prstGeom prst="rect">
                              <a:avLst/>
                            </a:prstGeom>
                            <a:solidFill>
                              <a:srgbClr val="FFFFFF"/>
                            </a:solidFill>
                            <a:ln w="9525" cap="flat" cmpd="sng">
                              <a:solidFill>
                                <a:srgbClr val="1A1A1A"/>
                              </a:solidFill>
                              <a:prstDash val="solid"/>
                              <a:round/>
                              <a:headEnd type="none" w="sm" len="sm"/>
                              <a:tailEnd type="none" w="sm" len="sm"/>
                            </a:ln>
                          </wps:spPr>
                          <wps:txbx>
                            <w:txbxContent>
                              <w:p w14:paraId="0604A4D2" w14:textId="77777777" w:rsidR="00124A30" w:rsidRDefault="00000000">
                                <w:pPr>
                                  <w:spacing w:after="0" w:line="240" w:lineRule="auto"/>
                                  <w:jc w:val="center"/>
                                  <w:textDirection w:val="btLr"/>
                                </w:pPr>
                                <w:r>
                                  <w:rPr>
                                    <w:color w:val="000000"/>
                                    <w:sz w:val="20"/>
                                  </w:rPr>
                                  <w:t>Study approval</w:t>
                                </w:r>
                              </w:p>
                            </w:txbxContent>
                          </wps:txbx>
                          <wps:bodyPr spcFirstLastPara="1" wrap="square" lIns="91425" tIns="91425" rIns="91425" bIns="91425" anchor="ctr" anchorCtr="0">
                            <a:noAutofit/>
                          </wps:bodyPr>
                        </wps:wsp>
                        <wps:wsp>
                          <wps:cNvPr id="439331432" name="Elbow Connector 439331432"/>
                          <wps:cNvCnPr/>
                          <wps:spPr>
                            <a:xfrm>
                              <a:off x="3755525" y="1225075"/>
                              <a:ext cx="1287900" cy="600"/>
                            </a:xfrm>
                            <a:prstGeom prst="bentConnector3">
                              <a:avLst>
                                <a:gd name="adj1" fmla="val 75272"/>
                              </a:avLst>
                            </a:prstGeom>
                            <a:noFill/>
                            <a:ln w="9525" cap="flat" cmpd="sng">
                              <a:solidFill>
                                <a:srgbClr val="1A1A1A"/>
                              </a:solidFill>
                              <a:prstDash val="solid"/>
                              <a:round/>
                              <a:headEnd type="none" w="sm" len="sm"/>
                              <a:tailEnd type="triangle" w="med" len="med"/>
                            </a:ln>
                          </wps:spPr>
                          <wps:bodyPr/>
                        </wps:wsp>
                        <wps:wsp>
                          <wps:cNvPr id="1854947006" name="Elbow Connector 1854947006"/>
                          <wps:cNvCnPr/>
                          <wps:spPr>
                            <a:xfrm rot="10800000" flipH="1">
                              <a:off x="3755525" y="1225225"/>
                              <a:ext cx="1287900" cy="767700"/>
                            </a:xfrm>
                            <a:prstGeom prst="bentConnector3">
                              <a:avLst>
                                <a:gd name="adj1" fmla="val 75272"/>
                              </a:avLst>
                            </a:prstGeom>
                            <a:noFill/>
                            <a:ln w="9525" cap="flat" cmpd="sng">
                              <a:solidFill>
                                <a:srgbClr val="1A1A1A"/>
                              </a:solidFill>
                              <a:prstDash val="solid"/>
                              <a:round/>
                              <a:headEnd type="none" w="sm" len="sm"/>
                              <a:tailEnd type="triangle" w="med" len="med"/>
                            </a:ln>
                          </wps:spPr>
                          <wps:bodyPr/>
                        </wps:wsp>
                        <wps:wsp>
                          <wps:cNvPr id="821904050" name="Rectangle 821904050"/>
                          <wps:cNvSpPr/>
                          <wps:spPr>
                            <a:xfrm>
                              <a:off x="6381150" y="959275"/>
                              <a:ext cx="1316400" cy="531600"/>
                            </a:xfrm>
                            <a:prstGeom prst="rect">
                              <a:avLst/>
                            </a:prstGeom>
                            <a:solidFill>
                              <a:srgbClr val="FFFFFF"/>
                            </a:solidFill>
                            <a:ln w="9525" cap="flat" cmpd="sng">
                              <a:solidFill>
                                <a:srgbClr val="CC0000"/>
                              </a:solidFill>
                              <a:prstDash val="solid"/>
                              <a:round/>
                              <a:headEnd type="none" w="sm" len="sm"/>
                              <a:tailEnd type="none" w="sm" len="sm"/>
                            </a:ln>
                          </wps:spPr>
                          <wps:txbx>
                            <w:txbxContent>
                              <w:p w14:paraId="08A75287" w14:textId="77777777" w:rsidR="00124A30" w:rsidRDefault="00000000">
                                <w:pPr>
                                  <w:spacing w:after="0" w:line="240" w:lineRule="auto"/>
                                  <w:jc w:val="center"/>
                                  <w:textDirection w:val="btLr"/>
                                </w:pPr>
                                <w:r>
                                  <w:rPr>
                                    <w:color w:val="000000"/>
                                    <w:sz w:val="20"/>
                                  </w:rPr>
                                  <w:t>Study Package Execution</w:t>
                                </w:r>
                              </w:p>
                            </w:txbxContent>
                          </wps:txbx>
                          <wps:bodyPr spcFirstLastPara="1" wrap="square" lIns="91425" tIns="91425" rIns="91425" bIns="91425" anchor="ctr" anchorCtr="0">
                            <a:noAutofit/>
                          </wps:bodyPr>
                        </wps:wsp>
                        <wps:wsp>
                          <wps:cNvPr id="1524859650" name="Rectangle 1524859650"/>
                          <wps:cNvSpPr/>
                          <wps:spPr>
                            <a:xfrm>
                              <a:off x="2593171" y="538236"/>
                              <a:ext cx="1576200" cy="384900"/>
                            </a:xfrm>
                            <a:prstGeom prst="rect">
                              <a:avLst/>
                            </a:prstGeom>
                            <a:noFill/>
                            <a:ln>
                              <a:noFill/>
                            </a:ln>
                          </wps:spPr>
                          <wps:txbx>
                            <w:txbxContent>
                              <w:p w14:paraId="5CE9BA3E" w14:textId="77777777" w:rsidR="00124A30" w:rsidRDefault="00000000">
                                <w:pPr>
                                  <w:spacing w:after="0" w:line="240" w:lineRule="auto"/>
                                  <w:textDirection w:val="btLr"/>
                                </w:pPr>
                                <w:r>
                                  <w:rPr>
                                    <w:b/>
                                    <w:color w:val="595959"/>
                                    <w:sz w:val="26"/>
                                  </w:rPr>
                                  <w:t>Researchers</w:t>
                                </w:r>
                              </w:p>
                            </w:txbxContent>
                          </wps:txbx>
                          <wps:bodyPr spcFirstLastPara="1" wrap="square" lIns="91425" tIns="91425" rIns="91425" bIns="91425" anchor="t" anchorCtr="0">
                            <a:noAutofit/>
                          </wps:bodyPr>
                        </wps:wsp>
                        <wps:wsp>
                          <wps:cNvPr id="1719028439" name="Rectangle 1719028439"/>
                          <wps:cNvSpPr/>
                          <wps:spPr>
                            <a:xfrm>
                              <a:off x="4935114" y="538236"/>
                              <a:ext cx="2304600" cy="384900"/>
                            </a:xfrm>
                            <a:prstGeom prst="rect">
                              <a:avLst/>
                            </a:prstGeom>
                            <a:noFill/>
                            <a:ln w="9525" cap="flat" cmpd="sng">
                              <a:solidFill>
                                <a:srgbClr val="FFFFFF"/>
                              </a:solidFill>
                              <a:prstDash val="solid"/>
                              <a:round/>
                              <a:headEnd type="none" w="sm" len="sm"/>
                              <a:tailEnd type="none" w="sm" len="sm"/>
                            </a:ln>
                          </wps:spPr>
                          <wps:txbx>
                            <w:txbxContent>
                              <w:p w14:paraId="04F0CCD7" w14:textId="77777777" w:rsidR="00124A30" w:rsidRDefault="00000000">
                                <w:pPr>
                                  <w:spacing w:after="0" w:line="240" w:lineRule="auto"/>
                                  <w:textDirection w:val="btLr"/>
                                </w:pPr>
                                <w:r>
                                  <w:rPr>
                                    <w:b/>
                                    <w:color w:val="595959"/>
                                    <w:sz w:val="26"/>
                                    <w:highlight w:val="white"/>
                                  </w:rPr>
                                  <w:t>Institution</w:t>
                                </w:r>
                              </w:p>
                            </w:txbxContent>
                          </wps:txbx>
                          <wps:bodyPr spcFirstLastPara="1" wrap="square" lIns="91425" tIns="91425" rIns="91425" bIns="91425" anchor="t" anchorCtr="0">
                            <a:noAutofit/>
                          </wps:bodyPr>
                        </wps:wsp>
                        <wps:wsp>
                          <wps:cNvPr id="2045425454" name="Straight Arrow Connector 2045425454"/>
                          <wps:cNvCnPr/>
                          <wps:spPr>
                            <a:xfrm flipH="1">
                              <a:off x="4570425" y="631850"/>
                              <a:ext cx="17100" cy="3571200"/>
                            </a:xfrm>
                            <a:prstGeom prst="straightConnector1">
                              <a:avLst/>
                            </a:prstGeom>
                            <a:noFill/>
                            <a:ln w="38100" cap="flat" cmpd="sng">
                              <a:solidFill>
                                <a:srgbClr val="B7B7B7"/>
                              </a:solidFill>
                              <a:prstDash val="solid"/>
                              <a:round/>
                              <a:headEnd type="none" w="sm" len="sm"/>
                              <a:tailEnd type="none" w="sm" len="sm"/>
                            </a:ln>
                          </wps:spPr>
                          <wps:bodyPr/>
                        </wps:wsp>
                        <wps:wsp>
                          <wps:cNvPr id="935240530" name="Rectangle 935240530"/>
                          <wps:cNvSpPr/>
                          <wps:spPr>
                            <a:xfrm>
                              <a:off x="2711825" y="2800350"/>
                              <a:ext cx="1043700" cy="531600"/>
                            </a:xfrm>
                            <a:prstGeom prst="rect">
                              <a:avLst/>
                            </a:prstGeom>
                            <a:solidFill>
                              <a:srgbClr val="FFFFFF"/>
                            </a:solidFill>
                            <a:ln w="9525" cap="flat" cmpd="sng">
                              <a:solidFill>
                                <a:srgbClr val="6AA84F"/>
                              </a:solidFill>
                              <a:prstDash val="solid"/>
                              <a:round/>
                              <a:headEnd type="none" w="sm" len="sm"/>
                              <a:tailEnd type="none" w="sm" len="sm"/>
                            </a:ln>
                          </wps:spPr>
                          <wps:txbx>
                            <w:txbxContent>
                              <w:p w14:paraId="7E3F909D" w14:textId="77777777" w:rsidR="00124A30" w:rsidRDefault="00000000">
                                <w:pPr>
                                  <w:spacing w:after="0" w:line="240" w:lineRule="auto"/>
                                  <w:jc w:val="center"/>
                                  <w:textDirection w:val="btLr"/>
                                </w:pPr>
                                <w:r>
                                  <w:rPr>
                                    <w:color w:val="000000"/>
                                    <w:sz w:val="20"/>
                                  </w:rPr>
                                  <w:t>Tier 1 Tables</w:t>
                                </w:r>
                              </w:p>
                            </w:txbxContent>
                          </wps:txbx>
                          <wps:bodyPr spcFirstLastPara="1" wrap="square" lIns="91425" tIns="91425" rIns="91425" bIns="91425" anchor="ctr" anchorCtr="0">
                            <a:noAutofit/>
                          </wps:bodyPr>
                        </wps:wsp>
                        <wps:wsp>
                          <wps:cNvPr id="1651899963" name="Rectangle 1651899963"/>
                          <wps:cNvSpPr/>
                          <wps:spPr>
                            <a:xfrm>
                              <a:off x="6517500" y="2800350"/>
                              <a:ext cx="1043700" cy="531600"/>
                            </a:xfrm>
                            <a:prstGeom prst="rect">
                              <a:avLst/>
                            </a:prstGeom>
                            <a:solidFill>
                              <a:srgbClr val="FFFFFF"/>
                            </a:solidFill>
                            <a:ln w="9525" cap="flat" cmpd="sng">
                              <a:solidFill>
                                <a:srgbClr val="6AA84F"/>
                              </a:solidFill>
                              <a:prstDash val="solid"/>
                              <a:round/>
                              <a:headEnd type="none" w="sm" len="sm"/>
                              <a:tailEnd type="none" w="sm" len="sm"/>
                            </a:ln>
                          </wps:spPr>
                          <wps:txbx>
                            <w:txbxContent>
                              <w:p w14:paraId="5D3EB7B4" w14:textId="77777777" w:rsidR="00124A30" w:rsidRDefault="00000000">
                                <w:pPr>
                                  <w:spacing w:after="0" w:line="240" w:lineRule="auto"/>
                                  <w:jc w:val="center"/>
                                  <w:textDirection w:val="btLr"/>
                                </w:pPr>
                                <w:r>
                                  <w:rPr>
                                    <w:color w:val="000000"/>
                                    <w:sz w:val="20"/>
                                  </w:rPr>
                                  <w:t>Aggregated Results</w:t>
                                </w:r>
                              </w:p>
                            </w:txbxContent>
                          </wps:txbx>
                          <wps:bodyPr spcFirstLastPara="1" wrap="square" lIns="91425" tIns="91425" rIns="91425" bIns="91425" anchor="ctr" anchorCtr="0">
                            <a:noAutofit/>
                          </wps:bodyPr>
                        </wps:wsp>
                        <wps:wsp>
                          <wps:cNvPr id="306253779" name="Elbow Connector 306253779"/>
                          <wps:cNvCnPr/>
                          <wps:spPr>
                            <a:xfrm rot="-5400000" flipH="1">
                              <a:off x="6384900" y="2145325"/>
                              <a:ext cx="1309500" cy="600"/>
                            </a:xfrm>
                            <a:prstGeom prst="bentConnector3">
                              <a:avLst>
                                <a:gd name="adj1" fmla="val 73258"/>
                              </a:avLst>
                            </a:prstGeom>
                            <a:noFill/>
                            <a:ln w="9525" cap="flat" cmpd="sng">
                              <a:solidFill>
                                <a:srgbClr val="1A1A1A"/>
                              </a:solidFill>
                              <a:prstDash val="solid"/>
                              <a:round/>
                              <a:headEnd type="none" w="sm" len="sm"/>
                              <a:tailEnd type="triangle" w="med" len="med"/>
                            </a:ln>
                          </wps:spPr>
                          <wps:bodyPr/>
                        </wps:wsp>
                        <wps:wsp>
                          <wps:cNvPr id="713178521" name="Elbow Connector 713178521"/>
                          <wps:cNvCnPr/>
                          <wps:spPr>
                            <a:xfrm flipH="1">
                              <a:off x="3755400" y="3066150"/>
                              <a:ext cx="2762100" cy="600"/>
                            </a:xfrm>
                            <a:prstGeom prst="bentConnector3">
                              <a:avLst>
                                <a:gd name="adj1" fmla="val 33407"/>
                              </a:avLst>
                            </a:prstGeom>
                            <a:noFill/>
                            <a:ln w="9525" cap="flat" cmpd="sng">
                              <a:solidFill>
                                <a:srgbClr val="1A1A1A"/>
                              </a:solidFill>
                              <a:prstDash val="solid"/>
                              <a:round/>
                              <a:headEnd type="none" w="sm" len="sm"/>
                              <a:tailEnd type="triangle" w="med" len="med"/>
                            </a:ln>
                          </wps:spPr>
                          <wps:bodyPr/>
                        </wps:wsp>
                      </wpg:grpSp>
                      <wps:wsp>
                        <wps:cNvPr id="1108322668" name="Elbow Connector 1108322668"/>
                        <wps:cNvCnPr/>
                        <wps:spPr>
                          <a:xfrm>
                            <a:off x="6141823" y="2551852"/>
                            <a:ext cx="249000" cy="600"/>
                          </a:xfrm>
                          <a:prstGeom prst="bentConnector3">
                            <a:avLst>
                              <a:gd name="adj1" fmla="val 50021"/>
                            </a:avLst>
                          </a:prstGeom>
                          <a:noFill/>
                          <a:ln w="9525" cap="flat" cmpd="sng">
                            <a:solidFill>
                              <a:srgbClr val="1A1A1A"/>
                            </a:solidFill>
                            <a:prstDash val="solid"/>
                            <a:round/>
                            <a:headEnd type="none" w="sm" len="sm"/>
                            <a:tailEnd type="triangle" w="med" len="med"/>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424363" cy="3871317"/>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4424363" cy="3871317"/>
                        </a:xfrm>
                        <a:prstGeom prst="rect"/>
                        <a:ln/>
                      </pic:spPr>
                    </pic:pic>
                  </a:graphicData>
                </a:graphic>
              </wp:inline>
            </w:drawing>
          </mc:Fallback>
        </mc:AlternateContent>
      </w:r>
    </w:p>
    <w:p w14:paraId="572B15BB" w14:textId="77777777" w:rsidR="00124A30" w:rsidRDefault="00000000">
      <w:pPr>
        <w:rPr>
          <w:sz w:val="18"/>
          <w:szCs w:val="18"/>
          <w:highlight w:val="white"/>
        </w:rPr>
      </w:pPr>
      <w:r>
        <w:rPr>
          <w:sz w:val="18"/>
          <w:szCs w:val="18"/>
          <w:highlight w:val="white"/>
        </w:rPr>
        <w:t xml:space="preserve">Figure 1 - Zero Trust data processing model. The red outline indicates the presence of personal and identifiable </w:t>
      </w:r>
      <w:proofErr w:type="gramStart"/>
      <w:r>
        <w:rPr>
          <w:sz w:val="18"/>
          <w:szCs w:val="18"/>
          <w:highlight w:val="white"/>
        </w:rPr>
        <w:t>data,</w:t>
      </w:r>
      <w:proofErr w:type="gramEnd"/>
      <w:r>
        <w:rPr>
          <w:sz w:val="18"/>
          <w:szCs w:val="18"/>
          <w:highlight w:val="white"/>
        </w:rPr>
        <w:t xml:space="preserve"> the green outline indicates aggregated and irreversibly </w:t>
      </w:r>
      <w:proofErr w:type="spellStart"/>
      <w:r>
        <w:rPr>
          <w:sz w:val="18"/>
          <w:szCs w:val="18"/>
          <w:highlight w:val="white"/>
        </w:rPr>
        <w:t>anonymised</w:t>
      </w:r>
      <w:proofErr w:type="spellEnd"/>
      <w:r>
        <w:rPr>
          <w:sz w:val="18"/>
          <w:szCs w:val="18"/>
          <w:highlight w:val="white"/>
        </w:rPr>
        <w:t xml:space="preserve"> results.</w:t>
      </w:r>
    </w:p>
    <w:p w14:paraId="2AED7C5A" w14:textId="77777777" w:rsidR="00124A30" w:rsidRDefault="00000000">
      <w:pPr>
        <w:jc w:val="both"/>
        <w:rPr>
          <w:highlight w:val="white"/>
        </w:rPr>
      </w:pPr>
      <w:r>
        <w:br w:type="page"/>
      </w:r>
    </w:p>
    <w:p w14:paraId="73C8653B" w14:textId="77777777" w:rsidR="00124A30" w:rsidRDefault="00000000">
      <w:pPr>
        <w:jc w:val="both"/>
        <w:rPr>
          <w:highlight w:val="white"/>
        </w:rPr>
      </w:pPr>
      <w:r>
        <w:rPr>
          <w:highlight w:val="white"/>
        </w:rPr>
        <w:lastRenderedPageBreak/>
        <w:t>A summary of each stage of the Zero Trust model is presented below.</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6630"/>
      </w:tblGrid>
      <w:tr w:rsidR="00124A30" w14:paraId="3FBE3751" w14:textId="77777777">
        <w:trPr>
          <w:trHeight w:val="1271"/>
        </w:trPr>
        <w:tc>
          <w:tcPr>
            <w:tcW w:w="2250" w:type="dxa"/>
            <w:tcBorders>
              <w:top w:val="single" w:sz="6" w:space="0" w:color="000000"/>
              <w:left w:val="nil"/>
              <w:bottom w:val="single" w:sz="6" w:space="0" w:color="000000"/>
              <w:right w:val="nil"/>
            </w:tcBorders>
            <w:tcMar>
              <w:top w:w="100" w:type="dxa"/>
              <w:left w:w="100" w:type="dxa"/>
              <w:bottom w:w="100" w:type="dxa"/>
              <w:right w:w="100" w:type="dxa"/>
            </w:tcMar>
          </w:tcPr>
          <w:p w14:paraId="69E06EC9" w14:textId="77777777" w:rsidR="00124A30" w:rsidRDefault="00000000">
            <w:pPr>
              <w:spacing w:before="240" w:after="240"/>
              <w:rPr>
                <w:b/>
                <w:i/>
                <w:highlight w:val="white"/>
              </w:rPr>
            </w:pPr>
            <w:r>
              <w:rPr>
                <w:b/>
                <w:highlight w:val="white"/>
              </w:rPr>
              <w:t>Development of the Study Package</w:t>
            </w:r>
          </w:p>
        </w:tc>
        <w:tc>
          <w:tcPr>
            <w:tcW w:w="6630" w:type="dxa"/>
            <w:tcBorders>
              <w:top w:val="single" w:sz="6" w:space="0" w:color="000000"/>
              <w:left w:val="nil"/>
              <w:bottom w:val="single" w:sz="6" w:space="0" w:color="000000"/>
              <w:right w:val="nil"/>
            </w:tcBorders>
            <w:tcMar>
              <w:top w:w="100" w:type="dxa"/>
              <w:left w:w="100" w:type="dxa"/>
              <w:bottom w:w="100" w:type="dxa"/>
              <w:right w:w="100" w:type="dxa"/>
            </w:tcMar>
          </w:tcPr>
          <w:p w14:paraId="6206F3A7" w14:textId="77777777" w:rsidR="00124A30" w:rsidRDefault="00000000">
            <w:pPr>
              <w:spacing w:before="240" w:after="240"/>
              <w:jc w:val="both"/>
              <w:rPr>
                <w:highlight w:val="white"/>
              </w:rPr>
            </w:pPr>
            <w:r>
              <w:rPr>
                <w:highlight w:val="white"/>
              </w:rPr>
              <w:t>Researchers develop the Study Package in {</w:t>
            </w:r>
            <w:proofErr w:type="spellStart"/>
            <w:r>
              <w:rPr>
                <w:highlight w:val="white"/>
              </w:rPr>
              <w:t>formato_package</w:t>
            </w:r>
            <w:proofErr w:type="spellEnd"/>
            <w:r>
              <w:rPr>
                <w:highlight w:val="white"/>
              </w:rPr>
              <w:t>}.</w:t>
            </w:r>
          </w:p>
        </w:tc>
      </w:tr>
      <w:tr w:rsidR="00124A30" w14:paraId="0E0F259E" w14:textId="77777777">
        <w:trPr>
          <w:trHeight w:val="4470"/>
        </w:trPr>
        <w:tc>
          <w:tcPr>
            <w:tcW w:w="2250" w:type="dxa"/>
            <w:tcBorders>
              <w:top w:val="nil"/>
              <w:left w:val="nil"/>
              <w:bottom w:val="single" w:sz="6" w:space="0" w:color="000000"/>
              <w:right w:val="nil"/>
            </w:tcBorders>
            <w:tcMar>
              <w:top w:w="100" w:type="dxa"/>
              <w:left w:w="100" w:type="dxa"/>
              <w:bottom w:w="100" w:type="dxa"/>
              <w:right w:w="100" w:type="dxa"/>
            </w:tcMar>
          </w:tcPr>
          <w:p w14:paraId="7F5CFC9B" w14:textId="77777777" w:rsidR="00124A30" w:rsidRDefault="00000000">
            <w:pPr>
              <w:pBdr>
                <w:top w:val="nil"/>
                <w:left w:val="nil"/>
                <w:bottom w:val="nil"/>
                <w:right w:val="nil"/>
                <w:between w:val="nil"/>
              </w:pBdr>
              <w:spacing w:before="240" w:after="240"/>
              <w:rPr>
                <w:b/>
                <w:i/>
                <w:highlight w:val="white"/>
              </w:rPr>
            </w:pPr>
            <w:proofErr w:type="spellStart"/>
            <w:r>
              <w:rPr>
                <w:b/>
                <w:highlight w:val="white"/>
              </w:rPr>
              <w:t>Internalisation</w:t>
            </w:r>
            <w:proofErr w:type="spellEnd"/>
            <w:r>
              <w:rPr>
                <w:b/>
                <w:highlight w:val="white"/>
              </w:rPr>
              <w:t xml:space="preserve"> process of the Study Package</w:t>
            </w:r>
          </w:p>
        </w:tc>
        <w:tc>
          <w:tcPr>
            <w:tcW w:w="6630" w:type="dxa"/>
            <w:tcBorders>
              <w:top w:val="nil"/>
              <w:left w:val="nil"/>
              <w:bottom w:val="single" w:sz="6" w:space="0" w:color="000000"/>
              <w:right w:val="nil"/>
            </w:tcBorders>
            <w:tcMar>
              <w:top w:w="100" w:type="dxa"/>
              <w:left w:w="100" w:type="dxa"/>
              <w:bottom w:w="100" w:type="dxa"/>
              <w:right w:w="100" w:type="dxa"/>
            </w:tcMar>
          </w:tcPr>
          <w:p w14:paraId="2D53D2E0" w14:textId="77777777" w:rsidR="00124A30" w:rsidRDefault="00000000">
            <w:pPr>
              <w:spacing w:after="200"/>
              <w:jc w:val="both"/>
              <w:rPr>
                <w:highlight w:val="white"/>
              </w:rPr>
            </w:pPr>
            <w:r>
              <w:rPr>
                <w:highlight w:val="white"/>
              </w:rPr>
              <w:t>After project approval by the Institution, the Study Package is made available by the researchers in the repository of the Institution's account on the GitHub code versioning platform (hereinafter referred to as 'GitHub repository').</w:t>
            </w:r>
          </w:p>
          <w:p w14:paraId="03CDABED" w14:textId="77777777" w:rsidR="00124A30" w:rsidRDefault="00000000">
            <w:pPr>
              <w:spacing w:after="200"/>
              <w:jc w:val="both"/>
              <w:rPr>
                <w:highlight w:val="white"/>
              </w:rPr>
            </w:pPr>
            <w:r>
              <w:rPr>
                <w:highlight w:val="white"/>
              </w:rPr>
              <w:t xml:space="preserve">Write access to the GitHub repository, for the purpose of making the source code available, will be granted exclusively upon formal written request, indicating the requesting researchers, and will be subject to explicit </w:t>
            </w:r>
            <w:proofErr w:type="spellStart"/>
            <w:r>
              <w:rPr>
                <w:highlight w:val="white"/>
              </w:rPr>
              <w:t>authorisation</w:t>
            </w:r>
            <w:proofErr w:type="spellEnd"/>
            <w:r>
              <w:rPr>
                <w:highlight w:val="white"/>
              </w:rPr>
              <w:t xml:space="preserve"> for named access to the repository.</w:t>
            </w:r>
          </w:p>
          <w:p w14:paraId="044960B1" w14:textId="77777777" w:rsidR="00124A30" w:rsidRDefault="00000000">
            <w:pPr>
              <w:spacing w:after="200"/>
              <w:jc w:val="both"/>
              <w:rPr>
                <w:highlight w:val="white"/>
              </w:rPr>
            </w:pPr>
            <w:r>
              <w:rPr>
                <w:highlight w:val="white"/>
              </w:rPr>
              <w:t xml:space="preserve">The </w:t>
            </w:r>
            <w:proofErr w:type="spellStart"/>
            <w:r>
              <w:rPr>
                <w:highlight w:val="white"/>
              </w:rPr>
              <w:t>internalisation</w:t>
            </w:r>
            <w:proofErr w:type="spellEnd"/>
            <w:r>
              <w:rPr>
                <w:highlight w:val="white"/>
              </w:rPr>
              <w:t xml:space="preserve"> of the Study Package into the Institution's local infrastructure is carried out in a controlled manner and only by </w:t>
            </w:r>
            <w:proofErr w:type="spellStart"/>
            <w:r>
              <w:rPr>
                <w:highlight w:val="white"/>
              </w:rPr>
              <w:t>authorised</w:t>
            </w:r>
            <w:proofErr w:type="spellEnd"/>
            <w:r>
              <w:rPr>
                <w:highlight w:val="white"/>
              </w:rPr>
              <w:t xml:space="preserve"> personnel from the Institution's IT Department, ensuring compliance with institutional information security and data protection policies.</w:t>
            </w:r>
          </w:p>
        </w:tc>
      </w:tr>
      <w:tr w:rsidR="00124A30" w14:paraId="21EAAB58" w14:textId="77777777">
        <w:trPr>
          <w:trHeight w:val="4740"/>
        </w:trPr>
        <w:tc>
          <w:tcPr>
            <w:tcW w:w="2250" w:type="dxa"/>
            <w:tcBorders>
              <w:top w:val="nil"/>
              <w:left w:val="nil"/>
              <w:bottom w:val="single" w:sz="6" w:space="0" w:color="000000"/>
              <w:right w:val="nil"/>
            </w:tcBorders>
            <w:tcMar>
              <w:top w:w="100" w:type="dxa"/>
              <w:left w:w="100" w:type="dxa"/>
              <w:bottom w:w="100" w:type="dxa"/>
              <w:right w:w="100" w:type="dxa"/>
            </w:tcMar>
          </w:tcPr>
          <w:p w14:paraId="7622E487" w14:textId="77777777" w:rsidR="00124A30" w:rsidRDefault="00000000">
            <w:pPr>
              <w:spacing w:after="0"/>
              <w:rPr>
                <w:b/>
                <w:highlight w:val="white"/>
              </w:rPr>
            </w:pPr>
            <w:r>
              <w:rPr>
                <w:b/>
                <w:highlight w:val="white"/>
              </w:rPr>
              <w:lastRenderedPageBreak/>
              <w:t>Execution of the Study Package and processing artefacts</w:t>
            </w:r>
          </w:p>
        </w:tc>
        <w:tc>
          <w:tcPr>
            <w:tcW w:w="6630" w:type="dxa"/>
            <w:tcBorders>
              <w:top w:val="nil"/>
              <w:left w:val="nil"/>
              <w:bottom w:val="single" w:sz="6" w:space="0" w:color="000000"/>
              <w:right w:val="nil"/>
            </w:tcBorders>
            <w:tcMar>
              <w:top w:w="100" w:type="dxa"/>
              <w:left w:w="100" w:type="dxa"/>
              <w:bottom w:w="100" w:type="dxa"/>
              <w:right w:w="100" w:type="dxa"/>
            </w:tcMar>
          </w:tcPr>
          <w:p w14:paraId="33A60FD9" w14:textId="77777777" w:rsidR="00124A30" w:rsidRDefault="00000000">
            <w:pPr>
              <w:pBdr>
                <w:top w:val="nil"/>
                <w:left w:val="nil"/>
                <w:bottom w:val="nil"/>
                <w:right w:val="nil"/>
                <w:between w:val="nil"/>
              </w:pBdr>
              <w:spacing w:after="200"/>
              <w:jc w:val="both"/>
              <w:rPr>
                <w:highlight w:val="white"/>
              </w:rPr>
            </w:pPr>
            <w:r>
              <w:rPr>
                <w:highlight w:val="white"/>
              </w:rPr>
              <w:t xml:space="preserve">The execution of the Study Package is carried out in a controlled manner by </w:t>
            </w:r>
            <w:proofErr w:type="spellStart"/>
            <w:r>
              <w:rPr>
                <w:highlight w:val="white"/>
              </w:rPr>
              <w:t>authorised</w:t>
            </w:r>
            <w:proofErr w:type="spellEnd"/>
            <w:r>
              <w:rPr>
                <w:highlight w:val="white"/>
              </w:rPr>
              <w:t xml:space="preserve"> personnel from the Institution's IT Department and takes place on the Institution's local infrastructure, in accordance with the current data storage and processing policy.</w:t>
            </w:r>
          </w:p>
          <w:p w14:paraId="04BAB49A" w14:textId="77777777" w:rsidR="00124A30" w:rsidRDefault="00000000">
            <w:pPr>
              <w:pBdr>
                <w:top w:val="nil"/>
                <w:left w:val="nil"/>
                <w:bottom w:val="nil"/>
                <w:right w:val="nil"/>
                <w:between w:val="nil"/>
              </w:pBdr>
              <w:spacing w:after="200"/>
              <w:jc w:val="both"/>
              <w:rPr>
                <w:highlight w:val="white"/>
              </w:rPr>
            </w:pPr>
            <w:r>
              <w:rPr>
                <w:highlight w:val="white"/>
              </w:rPr>
              <w:t xml:space="preserve">From the execution of the Study Package, processing artefacts are produced in the form of aggregated results in Excel format, structured according to the </w:t>
            </w:r>
            <w:hyperlink w:anchor="_pwrg6gz4423p">
              <w:r>
                <w:rPr>
                  <w:color w:val="1155CC"/>
                  <w:highlight w:val="white"/>
                  <w:u w:val="single"/>
                </w:rPr>
                <w:t>Tier 1 Table Shells</w:t>
              </w:r>
            </w:hyperlink>
            <w:r>
              <w:rPr>
                <w:highlight w:val="white"/>
              </w:rPr>
              <w:t xml:space="preserve"> described in </w:t>
            </w:r>
            <w:hyperlink w:anchor="_wbt6gjaseww1">
              <w:r>
                <w:rPr>
                  <w:color w:val="1155CC"/>
                  <w:highlight w:val="white"/>
                  <w:u w:val="single"/>
                </w:rPr>
                <w:t>Annex 1</w:t>
              </w:r>
            </w:hyperlink>
            <w:r>
              <w:rPr>
                <w:highlight w:val="white"/>
              </w:rPr>
              <w:t xml:space="preserve">. These tables are stored in the GitHub repository, ensuring that only aggregated and </w:t>
            </w:r>
            <w:proofErr w:type="spellStart"/>
            <w:r>
              <w:rPr>
                <w:highlight w:val="white"/>
              </w:rPr>
              <w:t>anonymised</w:t>
            </w:r>
            <w:proofErr w:type="spellEnd"/>
            <w:r>
              <w:rPr>
                <w:highlight w:val="white"/>
              </w:rPr>
              <w:t xml:space="preserve"> data are made available.</w:t>
            </w:r>
          </w:p>
          <w:p w14:paraId="09AF3757" w14:textId="77777777" w:rsidR="00124A30" w:rsidRDefault="00000000">
            <w:pPr>
              <w:pBdr>
                <w:top w:val="nil"/>
                <w:left w:val="nil"/>
                <w:bottom w:val="nil"/>
                <w:right w:val="nil"/>
                <w:between w:val="nil"/>
              </w:pBdr>
              <w:spacing w:after="200"/>
              <w:jc w:val="both"/>
              <w:rPr>
                <w:highlight w:val="white"/>
              </w:rPr>
            </w:pPr>
            <w:r>
              <w:rPr>
                <w:highlight w:val="white"/>
              </w:rPr>
              <w:t xml:space="preserve">Furthermore, during the execution of the Study Package, intermediate tables generated during processing, as well as the aggregated datasets that are transposed to the </w:t>
            </w:r>
            <w:hyperlink w:anchor="_kw1ccikbpbwq">
              <w:r>
                <w:rPr>
                  <w:color w:val="1155CC"/>
                  <w:highlight w:val="white"/>
                  <w:u w:val="single"/>
                </w:rPr>
                <w:t>Tier 1 Tables</w:t>
              </w:r>
            </w:hyperlink>
            <w:r>
              <w:rPr>
                <w:highlight w:val="white"/>
              </w:rPr>
              <w:t>, are stored on the Institution's local infrastructure.</w:t>
            </w:r>
          </w:p>
        </w:tc>
      </w:tr>
      <w:tr w:rsidR="00124A30" w14:paraId="5F56061D" w14:textId="77777777">
        <w:trPr>
          <w:trHeight w:val="1530"/>
        </w:trPr>
        <w:tc>
          <w:tcPr>
            <w:tcW w:w="2250" w:type="dxa"/>
            <w:tcBorders>
              <w:top w:val="nil"/>
              <w:left w:val="nil"/>
              <w:bottom w:val="single" w:sz="6" w:space="0" w:color="000000"/>
              <w:right w:val="nil"/>
            </w:tcBorders>
            <w:tcMar>
              <w:top w:w="100" w:type="dxa"/>
              <w:left w:w="100" w:type="dxa"/>
              <w:bottom w:w="100" w:type="dxa"/>
              <w:right w:w="100" w:type="dxa"/>
            </w:tcMar>
          </w:tcPr>
          <w:p w14:paraId="42BC2549" w14:textId="77777777" w:rsidR="00124A30" w:rsidRDefault="00000000">
            <w:pPr>
              <w:spacing w:after="0"/>
              <w:rPr>
                <w:b/>
                <w:highlight w:val="white"/>
              </w:rPr>
            </w:pPr>
            <w:r>
              <w:rPr>
                <w:b/>
                <w:highlight w:val="white"/>
              </w:rPr>
              <w:t>Artefact export process</w:t>
            </w:r>
          </w:p>
        </w:tc>
        <w:tc>
          <w:tcPr>
            <w:tcW w:w="6630" w:type="dxa"/>
            <w:tcBorders>
              <w:top w:val="nil"/>
              <w:left w:val="nil"/>
              <w:bottom w:val="single" w:sz="6" w:space="0" w:color="000000"/>
              <w:right w:val="nil"/>
            </w:tcBorders>
            <w:tcMar>
              <w:top w:w="100" w:type="dxa"/>
              <w:left w:w="100" w:type="dxa"/>
              <w:bottom w:w="100" w:type="dxa"/>
              <w:right w:w="100" w:type="dxa"/>
            </w:tcMar>
          </w:tcPr>
          <w:p w14:paraId="46EF44F3" w14:textId="77777777" w:rsidR="00124A30" w:rsidRDefault="00000000">
            <w:pPr>
              <w:pBdr>
                <w:top w:val="nil"/>
                <w:left w:val="nil"/>
                <w:bottom w:val="nil"/>
                <w:right w:val="nil"/>
                <w:between w:val="nil"/>
              </w:pBdr>
              <w:spacing w:after="200"/>
              <w:jc w:val="both"/>
              <w:rPr>
                <w:highlight w:val="white"/>
              </w:rPr>
            </w:pPr>
            <w:r>
              <w:rPr>
                <w:highlight w:val="white"/>
              </w:rPr>
              <w:t>The {</w:t>
            </w:r>
            <w:proofErr w:type="spellStart"/>
            <w:r>
              <w:rPr>
                <w:highlight w:val="white"/>
              </w:rPr>
              <w:t>tipo_egress</w:t>
            </w:r>
            <w:proofErr w:type="spellEnd"/>
            <w:r>
              <w:rPr>
                <w:highlight w:val="white"/>
              </w:rPr>
              <w:t xml:space="preserve">} instruction to export the Tier 1 Tables is controlled by an </w:t>
            </w:r>
            <w:proofErr w:type="spellStart"/>
            <w:r>
              <w:rPr>
                <w:highlight w:val="white"/>
              </w:rPr>
              <w:t>authorised</w:t>
            </w:r>
            <w:proofErr w:type="spellEnd"/>
            <w:r>
              <w:rPr>
                <w:highlight w:val="white"/>
              </w:rPr>
              <w:t xml:space="preserve"> person from the Institution's IT Department.</w:t>
            </w:r>
          </w:p>
          <w:p w14:paraId="6434F98A" w14:textId="77777777" w:rsidR="00124A30" w:rsidRDefault="00000000">
            <w:pPr>
              <w:pBdr>
                <w:top w:val="nil"/>
                <w:left w:val="nil"/>
                <w:bottom w:val="nil"/>
                <w:right w:val="nil"/>
                <w:between w:val="nil"/>
              </w:pBdr>
              <w:spacing w:after="200"/>
              <w:jc w:val="both"/>
              <w:rPr>
                <w:highlight w:val="white"/>
              </w:rPr>
            </w:pPr>
            <w:r>
              <w:rPr>
                <w:highlight w:val="white"/>
              </w:rPr>
              <w:t>Researchers access the Tier 1 Tables {</w:t>
            </w:r>
            <w:proofErr w:type="spellStart"/>
            <w:r>
              <w:rPr>
                <w:highlight w:val="white"/>
              </w:rPr>
              <w:t>partilha_tables</w:t>
            </w:r>
            <w:proofErr w:type="spellEnd"/>
            <w:r>
              <w:rPr>
                <w:highlight w:val="white"/>
              </w:rPr>
              <w:t>}.</w:t>
            </w:r>
          </w:p>
        </w:tc>
      </w:tr>
    </w:tbl>
    <w:p w14:paraId="02355E5B" w14:textId="77777777" w:rsidR="00124A30" w:rsidRDefault="00000000">
      <w:pPr>
        <w:rPr>
          <w:highlight w:val="white"/>
        </w:rPr>
      </w:pPr>
      <w:r>
        <w:br w:type="page"/>
      </w:r>
    </w:p>
    <w:p w14:paraId="5471780A" w14:textId="77777777" w:rsidR="00124A30" w:rsidRDefault="00000000">
      <w:pPr>
        <w:pStyle w:val="Heading1"/>
        <w:numPr>
          <w:ilvl w:val="0"/>
          <w:numId w:val="1"/>
        </w:numPr>
        <w:pBdr>
          <w:top w:val="nil"/>
          <w:left w:val="nil"/>
          <w:bottom w:val="nil"/>
          <w:right w:val="nil"/>
          <w:between w:val="nil"/>
        </w:pBdr>
        <w:spacing w:after="200"/>
        <w:ind w:left="450" w:hanging="180"/>
        <w:jc w:val="both"/>
        <w:rPr>
          <w:highlight w:val="white"/>
        </w:rPr>
      </w:pPr>
      <w:bookmarkStart w:id="28" w:name="_eugomv8vaddq" w:colFirst="0" w:colLast="0"/>
      <w:bookmarkEnd w:id="28"/>
      <w:r>
        <w:rPr>
          <w:highlight w:val="white"/>
        </w:rPr>
        <w:lastRenderedPageBreak/>
        <w:t>Zero Trust Processing Model</w:t>
      </w:r>
    </w:p>
    <w:p w14:paraId="2016ED35" w14:textId="77777777" w:rsidR="00124A30" w:rsidRDefault="00000000">
      <w:pPr>
        <w:pStyle w:val="Heading2"/>
        <w:numPr>
          <w:ilvl w:val="1"/>
          <w:numId w:val="1"/>
        </w:numPr>
        <w:pBdr>
          <w:top w:val="nil"/>
          <w:left w:val="nil"/>
          <w:bottom w:val="nil"/>
          <w:right w:val="nil"/>
          <w:between w:val="nil"/>
        </w:pBdr>
        <w:spacing w:before="200"/>
        <w:ind w:left="360" w:firstLine="0"/>
        <w:rPr>
          <w:highlight w:val="white"/>
        </w:rPr>
      </w:pPr>
      <w:bookmarkStart w:id="29" w:name="_99l9qfaluh29" w:colFirst="0" w:colLast="0"/>
      <w:bookmarkEnd w:id="29"/>
      <w:r>
        <w:rPr>
          <w:highlight w:val="white"/>
        </w:rPr>
        <w:t xml:space="preserve"> Data Flow</w:t>
      </w:r>
    </w:p>
    <w:p w14:paraId="2A96BF01" w14:textId="77777777" w:rsidR="00124A30" w:rsidRDefault="00000000">
      <w:pPr>
        <w:jc w:val="both"/>
        <w:rPr>
          <w:highlight w:val="white"/>
        </w:rPr>
      </w:pPr>
      <w:r>
        <w:rPr>
          <w:highlight w:val="white"/>
        </w:rPr>
        <w:t xml:space="preserve">The data flow based on the Zero Trust processing model is detailed below, according to its four main stages: (1) development of the Study Package, (2) </w:t>
      </w:r>
      <w:proofErr w:type="spellStart"/>
      <w:r>
        <w:rPr>
          <w:highlight w:val="white"/>
        </w:rPr>
        <w:t>internalisation</w:t>
      </w:r>
      <w:proofErr w:type="spellEnd"/>
      <w:r>
        <w:rPr>
          <w:highlight w:val="white"/>
        </w:rPr>
        <w:t xml:space="preserve"> process of the Study Package, (3) execution of the Study Package and generation of processing artefacts, and (4) export process of the artefacts.</w:t>
      </w:r>
    </w:p>
    <w:p w14:paraId="742A5E67" w14:textId="77777777" w:rsidR="00124A30" w:rsidRDefault="00000000">
      <w:pPr>
        <w:pStyle w:val="Heading4"/>
        <w:jc w:val="both"/>
        <w:rPr>
          <w:highlight w:val="white"/>
        </w:rPr>
      </w:pPr>
      <w:bookmarkStart w:id="30" w:name="_6knfbsavkp3m" w:colFirst="0" w:colLast="0"/>
      <w:bookmarkEnd w:id="30"/>
      <w:r>
        <w:rPr>
          <w:highlight w:val="white"/>
        </w:rPr>
        <w:t>Development of the Study Package</w:t>
      </w:r>
    </w:p>
    <w:p w14:paraId="18749BD8" w14:textId="77777777" w:rsidR="00124A30" w:rsidRDefault="00000000">
      <w:pPr>
        <w:jc w:val="both"/>
        <w:rPr>
          <w:highlight w:val="white"/>
        </w:rPr>
      </w:pPr>
      <w:r>
        <w:rPr>
          <w:highlight w:val="white"/>
        </w:rPr>
        <w:t xml:space="preserve">The Study Package includes the analytical </w:t>
      </w:r>
      <w:proofErr w:type="spellStart"/>
      <w:r>
        <w:rPr>
          <w:highlight w:val="white"/>
        </w:rPr>
        <w:t>programmes</w:t>
      </w:r>
      <w:proofErr w:type="spellEnd"/>
      <w:r>
        <w:rPr>
          <w:highlight w:val="white"/>
        </w:rPr>
        <w:t xml:space="preserve"> necessary to process the datasets from EHR and other sources held by the Institution. It is the responsibility of the researchers to develop the Study Package using appropriate tools and technologies (e.g., open-source software </w:t>
      </w:r>
      <w:hyperlink w:anchor="_cjfed6orpuig">
        <w:r>
          <w:rPr>
            <w:color w:val="1155CC"/>
            <w:highlight w:val="white"/>
            <w:u w:val="single"/>
          </w:rPr>
          <w:t>ATLAS</w:t>
        </w:r>
      </w:hyperlink>
      <w:r>
        <w:rPr>
          <w:highlight w:val="white"/>
        </w:rPr>
        <w:t>, Python language code, among others). Researchers responsible for developing the Study Package must have specific training in data protection and information security, in accordance with institutional requirements and applicable legislation, including the GDPR and the Portuguese Law No. 58/2019, which ensures its execution in Portugal.</w:t>
      </w:r>
    </w:p>
    <w:p w14:paraId="4C8B5BD9" w14:textId="77777777" w:rsidR="00124A30" w:rsidRDefault="00000000">
      <w:pPr>
        <w:jc w:val="both"/>
        <w:rPr>
          <w:highlight w:val="white"/>
        </w:rPr>
      </w:pPr>
      <w:r>
        <w:rPr>
          <w:highlight w:val="white"/>
        </w:rPr>
        <w:t xml:space="preserve">During the development phase, consulting the </w:t>
      </w:r>
      <w:hyperlink w:anchor="_ej3a8y6yimds">
        <w:r>
          <w:rPr>
            <w:color w:val="1155CC"/>
            <w:highlight w:val="white"/>
            <w:u w:val="single"/>
          </w:rPr>
          <w:t>metadata catalogue</w:t>
        </w:r>
      </w:hyperlink>
      <w:r>
        <w:rPr>
          <w:highlight w:val="white"/>
        </w:rPr>
        <w:t xml:space="preserve"> allows researchers to identify and integrate relevant metadata into the Study Package. After the completion of the Study Package development, a quality control is carried out by an independent researcher, who is not involved in the project, </w:t>
      </w:r>
      <w:proofErr w:type="gramStart"/>
      <w:r>
        <w:rPr>
          <w:highlight w:val="white"/>
        </w:rPr>
        <w:t>in order to</w:t>
      </w:r>
      <w:proofErr w:type="gramEnd"/>
      <w:r>
        <w:rPr>
          <w:highlight w:val="white"/>
        </w:rPr>
        <w:t xml:space="preserve"> ensure the compliance of the source code with the study protocol. This review must include verification of the accuracy and consistency of the programming specifications, as well as the Tier 1 Table Shells. The Institution's DPO/DPT is encouraged to review the structure of the Tier 1 Table Shells, validating the variable categories, individual elements, and the minimum size of aggregated values reported in each cell, with the aim of mitigating the risk of re-identification of data subjects. In the absence of specific institutional guidelines, a minimum cell </w:t>
      </w:r>
      <w:proofErr w:type="gramStart"/>
      <w:r>
        <w:rPr>
          <w:highlight w:val="white"/>
        </w:rPr>
        <w:t>count</w:t>
      </w:r>
      <w:proofErr w:type="gramEnd"/>
      <w:r>
        <w:rPr>
          <w:highlight w:val="white"/>
        </w:rPr>
        <w:t xml:space="preserve"> greater than 5 will be applied, in accordance with good practice, to </w:t>
      </w:r>
      <w:proofErr w:type="spellStart"/>
      <w:r>
        <w:rPr>
          <w:highlight w:val="white"/>
        </w:rPr>
        <w:t>minimise</w:t>
      </w:r>
      <w:proofErr w:type="spellEnd"/>
      <w:r>
        <w:rPr>
          <w:highlight w:val="white"/>
        </w:rPr>
        <w:t xml:space="preserve"> any risk of re-identification of data subjects.</w:t>
      </w:r>
    </w:p>
    <w:p w14:paraId="194F7E62" w14:textId="77777777" w:rsidR="00124A30" w:rsidRDefault="00000000">
      <w:pPr>
        <w:pStyle w:val="Heading4"/>
        <w:jc w:val="both"/>
        <w:rPr>
          <w:highlight w:val="white"/>
        </w:rPr>
      </w:pPr>
      <w:bookmarkStart w:id="31" w:name="_8d7u8uo5c7g9" w:colFirst="0" w:colLast="0"/>
      <w:bookmarkEnd w:id="31"/>
      <w:proofErr w:type="spellStart"/>
      <w:r>
        <w:rPr>
          <w:highlight w:val="white"/>
        </w:rPr>
        <w:t>Internalisation</w:t>
      </w:r>
      <w:proofErr w:type="spellEnd"/>
      <w:r>
        <w:rPr>
          <w:highlight w:val="white"/>
        </w:rPr>
        <w:t xml:space="preserve"> process of the Study Package</w:t>
      </w:r>
    </w:p>
    <w:p w14:paraId="19B03452" w14:textId="77777777" w:rsidR="00124A30" w:rsidRDefault="00000000">
      <w:pPr>
        <w:jc w:val="both"/>
        <w:rPr>
          <w:highlight w:val="white"/>
        </w:rPr>
      </w:pPr>
      <w:r>
        <w:rPr>
          <w:highlight w:val="white"/>
        </w:rPr>
        <w:t xml:space="preserve">After </w:t>
      </w:r>
      <w:proofErr w:type="spellStart"/>
      <w:r>
        <w:rPr>
          <w:highlight w:val="white"/>
        </w:rPr>
        <w:t>authorisation</w:t>
      </w:r>
      <w:proofErr w:type="spellEnd"/>
      <w:r>
        <w:rPr>
          <w:highlight w:val="white"/>
        </w:rPr>
        <w:t xml:space="preserve"> of the project by the Institution, the researchers make the Study Package available in a private repository, hosted on the Institution's account on the GitHub code versioning platform (hereinafter referred to as GitHub repository). Write access to the repository is granted only to previously </w:t>
      </w:r>
      <w:proofErr w:type="spellStart"/>
      <w:r>
        <w:rPr>
          <w:highlight w:val="white"/>
        </w:rPr>
        <w:t>authorised</w:t>
      </w:r>
      <w:proofErr w:type="spellEnd"/>
      <w:r>
        <w:rPr>
          <w:highlight w:val="white"/>
        </w:rPr>
        <w:t xml:space="preserve"> researchers, upon formal request and named </w:t>
      </w:r>
      <w:proofErr w:type="spellStart"/>
      <w:r>
        <w:rPr>
          <w:highlight w:val="white"/>
        </w:rPr>
        <w:t>authorisation</w:t>
      </w:r>
      <w:proofErr w:type="spellEnd"/>
      <w:r>
        <w:rPr>
          <w:highlight w:val="white"/>
        </w:rPr>
        <w:t xml:space="preserve">. The </w:t>
      </w:r>
      <w:r>
        <w:rPr>
          <w:highlight w:val="white"/>
        </w:rPr>
        <w:lastRenderedPageBreak/>
        <w:t>GitHub repository is subject to strict security controls, including named authentication and detailed logging of all operations in auditable logs. These logs allow for tracking and monitoring of all actions performed in the repository, ensuring transparency and compliance with institutional guidelines. Supervision of these activities is the responsibility of the Institution's IT Department and DPO/DPT.</w:t>
      </w:r>
    </w:p>
    <w:p w14:paraId="17D3E28B" w14:textId="77777777" w:rsidR="00124A30" w:rsidRDefault="00000000">
      <w:pPr>
        <w:jc w:val="both"/>
        <w:rPr>
          <w:highlight w:val="white"/>
        </w:rPr>
      </w:pPr>
      <w:r>
        <w:rPr>
          <w:highlight w:val="white"/>
        </w:rPr>
        <w:t xml:space="preserve">The </w:t>
      </w:r>
      <w:proofErr w:type="spellStart"/>
      <w:r>
        <w:rPr>
          <w:highlight w:val="white"/>
        </w:rPr>
        <w:t>internalisation</w:t>
      </w:r>
      <w:proofErr w:type="spellEnd"/>
      <w:r>
        <w:rPr>
          <w:highlight w:val="white"/>
        </w:rPr>
        <w:t xml:space="preserve"> of the Study Package into the Institution's local infrastructure is carried out exclusively by </w:t>
      </w:r>
      <w:proofErr w:type="spellStart"/>
      <w:r>
        <w:rPr>
          <w:highlight w:val="white"/>
        </w:rPr>
        <w:t>authorised</w:t>
      </w:r>
      <w:proofErr w:type="spellEnd"/>
      <w:r>
        <w:rPr>
          <w:highlight w:val="white"/>
        </w:rPr>
        <w:t xml:space="preserve"> personnel from the IT Department, ensuring that the code is stored and executed in a secure and controlled environment. The data processed by the Study Package are designated as the </w:t>
      </w:r>
      <w:hyperlink w:anchor="_3vy5t6likyjn">
        <w:r>
          <w:rPr>
            <w:color w:val="1155CC"/>
            <w:highlight w:val="white"/>
            <w:u w:val="single"/>
          </w:rPr>
          <w:t>Study Dataset</w:t>
        </w:r>
      </w:hyperlink>
      <w:r>
        <w:rPr>
          <w:highlight w:val="white"/>
        </w:rPr>
        <w:t xml:space="preserve"> and are stored exclusively on the Institution's local infrastructure, without transfer to </w:t>
      </w:r>
      <w:proofErr w:type="spellStart"/>
      <w:r>
        <w:rPr>
          <w:highlight w:val="white"/>
        </w:rPr>
        <w:t>unauthorised</w:t>
      </w:r>
      <w:proofErr w:type="spellEnd"/>
      <w:r>
        <w:rPr>
          <w:highlight w:val="white"/>
        </w:rPr>
        <w:t xml:space="preserve"> external systems.</w:t>
      </w:r>
    </w:p>
    <w:p w14:paraId="36A69D2D" w14:textId="77777777" w:rsidR="00124A30" w:rsidRDefault="00000000">
      <w:pPr>
        <w:pStyle w:val="Heading4"/>
        <w:jc w:val="both"/>
        <w:rPr>
          <w:i/>
          <w:highlight w:val="white"/>
        </w:rPr>
      </w:pPr>
      <w:bookmarkStart w:id="32" w:name="_oui6d1j0zggf" w:colFirst="0" w:colLast="0"/>
      <w:bookmarkEnd w:id="32"/>
      <w:r>
        <w:rPr>
          <w:highlight w:val="white"/>
        </w:rPr>
        <w:t>Execution of the Study Package and processing artefacts</w:t>
      </w:r>
    </w:p>
    <w:p w14:paraId="30E8A768" w14:textId="77777777" w:rsidR="00124A30" w:rsidRDefault="00000000">
      <w:pPr>
        <w:jc w:val="both"/>
        <w:rPr>
          <w:highlight w:val="white"/>
        </w:rPr>
      </w:pPr>
      <w:r>
        <w:rPr>
          <w:highlight w:val="white"/>
        </w:rPr>
        <w:t xml:space="preserve">The execution of the Study Package is conducted exclusively by </w:t>
      </w:r>
      <w:proofErr w:type="spellStart"/>
      <w:r>
        <w:rPr>
          <w:highlight w:val="white"/>
        </w:rPr>
        <w:t>authorised</w:t>
      </w:r>
      <w:proofErr w:type="spellEnd"/>
      <w:r>
        <w:rPr>
          <w:highlight w:val="white"/>
        </w:rPr>
        <w:t xml:space="preserve"> personnel from the Institution's IT Department. This is the only stage in which personal data processing occurs and, as such, is carried out within the Institution's local infrastructure, in compliance with internal security standards and the requirements of the GDPR and Portuguese Law No. 58/2019.</w:t>
      </w:r>
    </w:p>
    <w:p w14:paraId="686B1560" w14:textId="77777777" w:rsidR="00124A30" w:rsidRDefault="00000000">
      <w:pPr>
        <w:jc w:val="both"/>
      </w:pPr>
      <w:r>
        <w:rPr>
          <w:highlight w:val="white"/>
        </w:rPr>
        <w:t xml:space="preserve">From the execution of the Study Package, processing artefacts are produced in the form of aggregated and </w:t>
      </w:r>
      <w:proofErr w:type="spellStart"/>
      <w:r>
        <w:rPr>
          <w:highlight w:val="white"/>
        </w:rPr>
        <w:t>anonymised</w:t>
      </w:r>
      <w:proofErr w:type="spellEnd"/>
      <w:r>
        <w:rPr>
          <w:highlight w:val="white"/>
        </w:rPr>
        <w:t xml:space="preserve"> results, formatted according to the </w:t>
      </w:r>
      <w:hyperlink w:anchor="_pwrg6gz4423p">
        <w:r>
          <w:rPr>
            <w:color w:val="1155CC"/>
            <w:highlight w:val="white"/>
            <w:u w:val="single"/>
          </w:rPr>
          <w:t>Tier 1 Table Shells</w:t>
        </w:r>
      </w:hyperlink>
      <w:r>
        <w:rPr>
          <w:highlight w:val="white"/>
        </w:rPr>
        <w:t>, following the previously defined specifications to ensure compliance with institutional data protection requirements.</w:t>
      </w:r>
    </w:p>
    <w:p w14:paraId="6F1FE07C" w14:textId="77777777" w:rsidR="00124A30" w:rsidRDefault="00000000">
      <w:pPr>
        <w:pStyle w:val="Heading4"/>
        <w:jc w:val="both"/>
        <w:rPr>
          <w:i/>
          <w:highlight w:val="white"/>
        </w:rPr>
      </w:pPr>
      <w:bookmarkStart w:id="33" w:name="_e7x1ibdv2jbz" w:colFirst="0" w:colLast="0"/>
      <w:bookmarkEnd w:id="33"/>
      <w:r>
        <w:rPr>
          <w:highlight w:val="white"/>
        </w:rPr>
        <w:t>Artefact export process</w:t>
      </w:r>
    </w:p>
    <w:p w14:paraId="34F3E25E" w14:textId="77777777" w:rsidR="00124A30" w:rsidRDefault="00000000">
      <w:pPr>
        <w:jc w:val="both"/>
        <w:rPr>
          <w:highlight w:val="white"/>
        </w:rPr>
      </w:pPr>
      <w:r>
        <w:rPr>
          <w:highlight w:val="white"/>
        </w:rPr>
        <w:t xml:space="preserve">The Institution provides researchers with only aggregated results, in the form of Tier 1 Tables. </w:t>
      </w:r>
      <w:proofErr w:type="spellStart"/>
      <w:r>
        <w:rPr>
          <w:highlight w:val="white"/>
        </w:rPr>
        <w:t>Anonymisation</w:t>
      </w:r>
      <w:proofErr w:type="spellEnd"/>
      <w:r>
        <w:rPr>
          <w:highlight w:val="white"/>
        </w:rPr>
        <w:t xml:space="preserve"> is implemented only at this distribution stage through aggregation and k-anonymity techniques. The instruction to export the Study Package is controlled by an </w:t>
      </w:r>
      <w:proofErr w:type="spellStart"/>
      <w:r>
        <w:rPr>
          <w:highlight w:val="white"/>
        </w:rPr>
        <w:t>authorised</w:t>
      </w:r>
      <w:proofErr w:type="spellEnd"/>
      <w:r>
        <w:rPr>
          <w:highlight w:val="white"/>
        </w:rPr>
        <w:t xml:space="preserve"> person from the Institution's IT Department. It is this responsible person who configures the manual or automatic export process according to the methodology chosen by the Institution. Regardless of the sharing method selected (e.g., via open-source software ATLAS, via GitHub repository), a record of all accesses (logs) is maintained. The Institution's IT Department has the capabilities to monitor and audit all activities carried out in the GitHub repository or in the Institution's ATLAS, having the ability to audit all elements if it deems necessary, as well as suspend any ongoing activity.</w:t>
      </w:r>
    </w:p>
    <w:p w14:paraId="0B400A97"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34" w:name="_dp1tiofgpm7o" w:colFirst="0" w:colLast="0"/>
      <w:bookmarkEnd w:id="34"/>
      <w:r>
        <w:rPr>
          <w:highlight w:val="white"/>
        </w:rPr>
        <w:lastRenderedPageBreak/>
        <w:t xml:space="preserve"> Description of Personal Data Processing Operations</w:t>
      </w:r>
    </w:p>
    <w:p w14:paraId="32E2FF8C" w14:textId="77777777" w:rsidR="00124A30" w:rsidRDefault="00000000">
      <w:pPr>
        <w:jc w:val="both"/>
        <w:rPr>
          <w:highlight w:val="white"/>
        </w:rPr>
      </w:pPr>
      <w:r>
        <w:rPr>
          <w:highlight w:val="white"/>
        </w:rPr>
        <w:t xml:space="preserve">The execution of the Study Package is the exclusive responsibility of the Institution's IT Department, being carried out entirely on the local infrastructure and in compliance with the internal data storage and processing policy. This stage must ensure the total integrity and security of the personal data processed, ensuring that no security incidents, </w:t>
      </w:r>
      <w:proofErr w:type="spellStart"/>
      <w:r>
        <w:rPr>
          <w:highlight w:val="white"/>
        </w:rPr>
        <w:t>unauthorised</w:t>
      </w:r>
      <w:proofErr w:type="spellEnd"/>
      <w:r>
        <w:rPr>
          <w:highlight w:val="white"/>
        </w:rPr>
        <w:t xml:space="preserve"> access, or failures in processing audits occur. Furthermore, all operations must fully comply with the GDPR, as well as internal regulations and other applicable data protection standards within the Institution.</w:t>
      </w:r>
    </w:p>
    <w:p w14:paraId="49727CA5" w14:textId="77777777" w:rsidR="00124A30" w:rsidRDefault="00000000">
      <w:pPr>
        <w:jc w:val="both"/>
        <w:rPr>
          <w:highlight w:val="white"/>
        </w:rPr>
      </w:pPr>
      <w:r>
        <w:rPr>
          <w:highlight w:val="white"/>
        </w:rPr>
        <w:t>No other professional from the Institution or researcher, including those from the {</w:t>
      </w:r>
      <w:proofErr w:type="spellStart"/>
      <w:r>
        <w:rPr>
          <w:highlight w:val="white"/>
        </w:rPr>
        <w:t>partner_entity</w:t>
      </w:r>
      <w:proofErr w:type="spellEnd"/>
      <w:r>
        <w:rPr>
          <w:highlight w:val="white"/>
        </w:rPr>
        <w:t xml:space="preserve">} team, has access to personal data or participates in any processing operation of such data. These profiles only have access to aggregated and </w:t>
      </w:r>
      <w:proofErr w:type="spellStart"/>
      <w:r>
        <w:rPr>
          <w:highlight w:val="white"/>
        </w:rPr>
        <w:t>anonymised</w:t>
      </w:r>
      <w:proofErr w:type="spellEnd"/>
      <w:r>
        <w:rPr>
          <w:highlight w:val="white"/>
        </w:rPr>
        <w:t xml:space="preserve"> results, making any form of re-identification of data subjects impossible.</w:t>
      </w:r>
    </w:p>
    <w:p w14:paraId="4824972A" w14:textId="77777777" w:rsidR="00124A30" w:rsidRDefault="00000000">
      <w:pPr>
        <w:jc w:val="both"/>
        <w:rPr>
          <w:highlight w:val="white"/>
        </w:rPr>
      </w:pPr>
      <w:r>
        <w:br w:type="page"/>
      </w:r>
    </w:p>
    <w:p w14:paraId="3EC7FC33"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35" w:name="_i0qn8cvqoxmh" w:colFirst="0" w:colLast="0"/>
      <w:bookmarkEnd w:id="35"/>
      <w:r>
        <w:rPr>
          <w:highlight w:val="white"/>
        </w:rPr>
        <w:lastRenderedPageBreak/>
        <w:t xml:space="preserve"> Responsibilities of the various stakeholders</w:t>
      </w: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065"/>
      </w:tblGrid>
      <w:tr w:rsidR="00124A30" w14:paraId="6543798B" w14:textId="77777777">
        <w:trPr>
          <w:trHeight w:val="495"/>
        </w:trPr>
        <w:tc>
          <w:tcPr>
            <w:tcW w:w="1845" w:type="dxa"/>
            <w:tcBorders>
              <w:top w:val="single" w:sz="5" w:space="0" w:color="000000"/>
              <w:left w:val="nil"/>
              <w:bottom w:val="single" w:sz="5" w:space="0" w:color="000000"/>
              <w:right w:val="nil"/>
            </w:tcBorders>
            <w:tcMar>
              <w:top w:w="100" w:type="dxa"/>
              <w:left w:w="100" w:type="dxa"/>
              <w:bottom w:w="100" w:type="dxa"/>
              <w:right w:w="100" w:type="dxa"/>
            </w:tcMar>
          </w:tcPr>
          <w:p w14:paraId="1923177B" w14:textId="77777777" w:rsidR="00124A30" w:rsidRDefault="00000000">
            <w:pPr>
              <w:spacing w:after="0"/>
              <w:rPr>
                <w:b/>
              </w:rPr>
            </w:pPr>
            <w:r>
              <w:rPr>
                <w:b/>
              </w:rPr>
              <w:t>Stakeholder</w:t>
            </w:r>
          </w:p>
        </w:tc>
        <w:tc>
          <w:tcPr>
            <w:tcW w:w="7065" w:type="dxa"/>
            <w:tcBorders>
              <w:top w:val="single" w:sz="5" w:space="0" w:color="000000"/>
              <w:left w:val="nil"/>
              <w:bottom w:val="single" w:sz="5" w:space="0" w:color="000000"/>
              <w:right w:val="nil"/>
            </w:tcBorders>
            <w:tcMar>
              <w:top w:w="100" w:type="dxa"/>
              <w:left w:w="100" w:type="dxa"/>
              <w:bottom w:w="100" w:type="dxa"/>
              <w:right w:w="100" w:type="dxa"/>
            </w:tcMar>
          </w:tcPr>
          <w:p w14:paraId="7248932F" w14:textId="77777777" w:rsidR="00124A30" w:rsidRDefault="00000000">
            <w:pPr>
              <w:spacing w:after="240"/>
              <w:jc w:val="both"/>
              <w:rPr>
                <w:b/>
              </w:rPr>
            </w:pPr>
            <w:proofErr w:type="spellStart"/>
            <w:r>
              <w:rPr>
                <w:b/>
              </w:rPr>
              <w:t>Responsability</w:t>
            </w:r>
            <w:proofErr w:type="spellEnd"/>
          </w:p>
        </w:tc>
      </w:tr>
      <w:tr w:rsidR="00124A30" w14:paraId="14C39D8B" w14:textId="77777777">
        <w:trPr>
          <w:trHeight w:val="7274"/>
        </w:trPr>
        <w:tc>
          <w:tcPr>
            <w:tcW w:w="1845" w:type="dxa"/>
            <w:tcBorders>
              <w:top w:val="nil"/>
              <w:left w:val="nil"/>
              <w:bottom w:val="single" w:sz="5" w:space="0" w:color="000000"/>
              <w:right w:val="nil"/>
            </w:tcBorders>
            <w:tcMar>
              <w:top w:w="100" w:type="dxa"/>
              <w:left w:w="100" w:type="dxa"/>
              <w:bottom w:w="100" w:type="dxa"/>
              <w:right w:w="100" w:type="dxa"/>
            </w:tcMar>
          </w:tcPr>
          <w:p w14:paraId="689AB2EB" w14:textId="77777777" w:rsidR="00124A30" w:rsidRDefault="00000000">
            <w:pPr>
              <w:spacing w:after="240"/>
              <w:rPr>
                <w:b/>
              </w:rPr>
            </w:pPr>
            <w:r>
              <w:rPr>
                <w:b/>
              </w:rPr>
              <w:t>Institution</w:t>
            </w:r>
          </w:p>
        </w:tc>
        <w:tc>
          <w:tcPr>
            <w:tcW w:w="7065" w:type="dxa"/>
            <w:tcBorders>
              <w:top w:val="nil"/>
              <w:left w:val="nil"/>
              <w:bottom w:val="single" w:sz="5" w:space="0" w:color="000000"/>
              <w:right w:val="nil"/>
            </w:tcBorders>
            <w:tcMar>
              <w:top w:w="100" w:type="dxa"/>
              <w:left w:w="100" w:type="dxa"/>
              <w:bottom w:w="100" w:type="dxa"/>
              <w:right w:w="100" w:type="dxa"/>
            </w:tcMar>
          </w:tcPr>
          <w:p w14:paraId="11CED104" w14:textId="77777777" w:rsidR="00124A30" w:rsidRDefault="00000000">
            <w:pPr>
              <w:spacing w:after="240"/>
              <w:jc w:val="both"/>
            </w:pPr>
            <w:r>
              <w:t>Assess whether the necessary conditions for carrying out the project are met and issue authorizations from the Board of Directors, Human Research Ethics Committee (HREC), and the DPO/DPT, and other additional authorizations according to the regulations in force at the time.</w:t>
            </w:r>
          </w:p>
          <w:p w14:paraId="463552A8" w14:textId="77777777" w:rsidR="00124A30" w:rsidRDefault="00000000">
            <w:pPr>
              <w:spacing w:after="240"/>
              <w:jc w:val="both"/>
            </w:pPr>
            <w:r>
              <w:t>Allow and provide researchers with access to the metadata catalogues relevant to the project.</w:t>
            </w:r>
          </w:p>
          <w:p w14:paraId="06B0C676" w14:textId="77777777" w:rsidR="00124A30" w:rsidRDefault="00000000">
            <w:pPr>
              <w:spacing w:after="240"/>
              <w:jc w:val="both"/>
            </w:pPr>
            <w:r>
              <w:t>Ensure the storage of an asynchronous copy of all EHR data from information systems and other data sources held by the Institution.</w:t>
            </w:r>
          </w:p>
          <w:p w14:paraId="46BA3EA9" w14:textId="77777777" w:rsidR="00124A30" w:rsidRDefault="00000000">
            <w:pPr>
              <w:spacing w:after="240"/>
              <w:jc w:val="both"/>
            </w:pPr>
            <w:r>
              <w:t xml:space="preserve">Ensure the technical feasibility of </w:t>
            </w:r>
            <w:proofErr w:type="spellStart"/>
            <w:r>
              <w:t>internalising</w:t>
            </w:r>
            <w:proofErr w:type="spellEnd"/>
            <w:r>
              <w:t xml:space="preserve"> the Study Package into the local infrastructure by an IT Department professional.</w:t>
            </w:r>
          </w:p>
          <w:p w14:paraId="7202B029" w14:textId="77777777" w:rsidR="00124A30" w:rsidRDefault="00000000">
            <w:pPr>
              <w:spacing w:after="240"/>
              <w:jc w:val="both"/>
            </w:pPr>
            <w:r>
              <w:t>Ensure the technical feasibility of the secure execution of the Study Package on the local infrastructure.</w:t>
            </w:r>
          </w:p>
          <w:p w14:paraId="6C2CFBC5" w14:textId="77777777" w:rsidR="00124A30" w:rsidRDefault="00000000">
            <w:pPr>
              <w:spacing w:after="0"/>
              <w:jc w:val="both"/>
            </w:pPr>
            <w:proofErr w:type="spellStart"/>
            <w:r>
              <w:t>Authorise</w:t>
            </w:r>
            <w:proofErr w:type="spellEnd"/>
            <w:r>
              <w:t xml:space="preserve"> the sharing of aggregated results from the execution of the Study Package with researchers through their export.</w:t>
            </w:r>
          </w:p>
        </w:tc>
      </w:tr>
      <w:tr w:rsidR="00124A30" w14:paraId="596E5282" w14:textId="77777777">
        <w:trPr>
          <w:trHeight w:val="2655"/>
        </w:trPr>
        <w:tc>
          <w:tcPr>
            <w:tcW w:w="1845" w:type="dxa"/>
            <w:tcBorders>
              <w:top w:val="nil"/>
              <w:left w:val="nil"/>
              <w:bottom w:val="single" w:sz="5" w:space="0" w:color="000000"/>
              <w:right w:val="nil"/>
            </w:tcBorders>
            <w:tcMar>
              <w:top w:w="100" w:type="dxa"/>
              <w:left w:w="100" w:type="dxa"/>
              <w:bottom w:w="100" w:type="dxa"/>
              <w:right w:w="100" w:type="dxa"/>
            </w:tcMar>
          </w:tcPr>
          <w:p w14:paraId="2F7FA368" w14:textId="77777777" w:rsidR="00124A30" w:rsidRDefault="00000000">
            <w:pPr>
              <w:spacing w:after="240"/>
              <w:rPr>
                <w:b/>
              </w:rPr>
            </w:pPr>
            <w:r>
              <w:rPr>
                <w:b/>
              </w:rPr>
              <w:t>Researchers</w:t>
            </w:r>
          </w:p>
        </w:tc>
        <w:tc>
          <w:tcPr>
            <w:tcW w:w="7065" w:type="dxa"/>
            <w:tcBorders>
              <w:top w:val="nil"/>
              <w:left w:val="nil"/>
              <w:bottom w:val="single" w:sz="5" w:space="0" w:color="000000"/>
              <w:right w:val="nil"/>
            </w:tcBorders>
            <w:tcMar>
              <w:top w:w="100" w:type="dxa"/>
              <w:left w:w="100" w:type="dxa"/>
              <w:bottom w:w="100" w:type="dxa"/>
              <w:right w:w="100" w:type="dxa"/>
            </w:tcMar>
          </w:tcPr>
          <w:p w14:paraId="4EAC9250" w14:textId="77777777" w:rsidR="00124A30" w:rsidRDefault="00000000">
            <w:pPr>
              <w:pBdr>
                <w:top w:val="nil"/>
                <w:left w:val="nil"/>
                <w:bottom w:val="nil"/>
                <w:right w:val="nil"/>
                <w:between w:val="nil"/>
              </w:pBdr>
              <w:spacing w:after="240"/>
              <w:jc w:val="both"/>
            </w:pPr>
            <w:r>
              <w:t>Define the Study Protocol.</w:t>
            </w:r>
          </w:p>
          <w:p w14:paraId="4D75F67B" w14:textId="77777777" w:rsidR="00124A30" w:rsidRDefault="00000000">
            <w:pPr>
              <w:pBdr>
                <w:top w:val="nil"/>
                <w:left w:val="nil"/>
                <w:bottom w:val="nil"/>
                <w:right w:val="nil"/>
                <w:between w:val="nil"/>
              </w:pBdr>
              <w:spacing w:after="240"/>
              <w:jc w:val="both"/>
            </w:pPr>
            <w:r>
              <w:t xml:space="preserve">Request </w:t>
            </w:r>
            <w:proofErr w:type="spellStart"/>
            <w:r>
              <w:t>authorisation</w:t>
            </w:r>
            <w:proofErr w:type="spellEnd"/>
            <w:r>
              <w:t xml:space="preserve"> for carrying out the project from the Board of Directors, HREC, DPO/DPT, and other additional entities as regulated by the procedures in force at the time.</w:t>
            </w:r>
          </w:p>
          <w:p w14:paraId="417DAA58" w14:textId="77777777" w:rsidR="00124A30" w:rsidRDefault="00000000">
            <w:pPr>
              <w:pBdr>
                <w:top w:val="nil"/>
                <w:left w:val="nil"/>
                <w:bottom w:val="nil"/>
                <w:right w:val="nil"/>
                <w:between w:val="nil"/>
              </w:pBdr>
              <w:spacing w:after="240"/>
              <w:jc w:val="both"/>
            </w:pPr>
            <w:r>
              <w:t>Develop and make available the Study Package.</w:t>
            </w:r>
          </w:p>
          <w:p w14:paraId="0CFCCDC2" w14:textId="77777777" w:rsidR="00124A30" w:rsidRDefault="00000000">
            <w:pPr>
              <w:pBdr>
                <w:top w:val="nil"/>
                <w:left w:val="nil"/>
                <w:bottom w:val="nil"/>
                <w:right w:val="nil"/>
                <w:between w:val="nil"/>
              </w:pBdr>
              <w:spacing w:after="0"/>
              <w:jc w:val="both"/>
            </w:pPr>
            <w:r>
              <w:t xml:space="preserve">Interpret the aggregated results </w:t>
            </w:r>
            <w:proofErr w:type="gramStart"/>
            <w:r>
              <w:t>in light of</w:t>
            </w:r>
            <w:proofErr w:type="gramEnd"/>
            <w:r>
              <w:t xml:space="preserve"> local clinical practice.</w:t>
            </w:r>
          </w:p>
        </w:tc>
      </w:tr>
    </w:tbl>
    <w:p w14:paraId="7860268E" w14:textId="77777777" w:rsidR="00124A30" w:rsidRDefault="00000000">
      <w:pPr>
        <w:rPr>
          <w:highlight w:val="white"/>
        </w:rPr>
      </w:pPr>
      <w:r>
        <w:br w:type="page"/>
      </w:r>
    </w:p>
    <w:p w14:paraId="1BB413EB" w14:textId="77777777" w:rsidR="00124A30" w:rsidRDefault="00000000">
      <w:pPr>
        <w:pStyle w:val="Heading1"/>
        <w:numPr>
          <w:ilvl w:val="0"/>
          <w:numId w:val="1"/>
        </w:numPr>
        <w:pBdr>
          <w:top w:val="nil"/>
          <w:left w:val="nil"/>
          <w:bottom w:val="nil"/>
          <w:right w:val="nil"/>
          <w:between w:val="nil"/>
        </w:pBdr>
        <w:spacing w:after="200"/>
        <w:ind w:left="450" w:hanging="180"/>
        <w:jc w:val="both"/>
        <w:rPr>
          <w:highlight w:val="white"/>
        </w:rPr>
      </w:pPr>
      <w:bookmarkStart w:id="36" w:name="_wi8d52tyf3d7" w:colFirst="0" w:colLast="0"/>
      <w:bookmarkEnd w:id="36"/>
      <w:r>
        <w:rPr>
          <w:highlight w:val="white"/>
        </w:rPr>
        <w:lastRenderedPageBreak/>
        <w:t>Data Protection Principles</w:t>
      </w:r>
    </w:p>
    <w:p w14:paraId="666CDB70" w14:textId="77777777" w:rsidR="00124A30" w:rsidRDefault="00000000">
      <w:pPr>
        <w:pStyle w:val="Heading2"/>
        <w:numPr>
          <w:ilvl w:val="1"/>
          <w:numId w:val="1"/>
        </w:numPr>
        <w:pBdr>
          <w:top w:val="nil"/>
          <w:left w:val="nil"/>
          <w:bottom w:val="nil"/>
          <w:right w:val="nil"/>
          <w:between w:val="nil"/>
        </w:pBdr>
        <w:spacing w:before="200"/>
        <w:ind w:left="360" w:firstLine="0"/>
        <w:rPr>
          <w:highlight w:val="white"/>
        </w:rPr>
      </w:pPr>
      <w:bookmarkStart w:id="37" w:name="_dgmf6uiqvmea" w:colFirst="0" w:colLast="0"/>
      <w:bookmarkEnd w:id="37"/>
      <w:r>
        <w:rPr>
          <w:highlight w:val="white"/>
        </w:rPr>
        <w:t xml:space="preserve"> Lawfulness of the processing activity</w:t>
      </w:r>
    </w:p>
    <w:tbl>
      <w:tblPr>
        <w:tblStyle w:val="a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5955"/>
      </w:tblGrid>
      <w:tr w:rsidR="00124A30" w14:paraId="2241F6DF" w14:textId="77777777">
        <w:trPr>
          <w:trHeight w:val="495"/>
        </w:trPr>
        <w:tc>
          <w:tcPr>
            <w:tcW w:w="2955" w:type="dxa"/>
            <w:tcBorders>
              <w:top w:val="single" w:sz="5" w:space="0" w:color="000000"/>
              <w:left w:val="nil"/>
              <w:bottom w:val="single" w:sz="5" w:space="0" w:color="000000"/>
              <w:right w:val="nil"/>
            </w:tcBorders>
            <w:tcMar>
              <w:top w:w="100" w:type="dxa"/>
              <w:left w:w="100" w:type="dxa"/>
              <w:bottom w:w="100" w:type="dxa"/>
              <w:right w:w="100" w:type="dxa"/>
            </w:tcMar>
          </w:tcPr>
          <w:p w14:paraId="792B32F2" w14:textId="77777777" w:rsidR="00124A30" w:rsidRDefault="00000000">
            <w:pPr>
              <w:spacing w:after="0"/>
              <w:jc w:val="both"/>
              <w:rPr>
                <w:b/>
              </w:rPr>
            </w:pPr>
            <w:r>
              <w:rPr>
                <w:b/>
              </w:rPr>
              <w:t>Principles</w:t>
            </w:r>
          </w:p>
        </w:tc>
        <w:tc>
          <w:tcPr>
            <w:tcW w:w="5955" w:type="dxa"/>
            <w:tcBorders>
              <w:top w:val="single" w:sz="5" w:space="0" w:color="000000"/>
              <w:left w:val="nil"/>
              <w:bottom w:val="single" w:sz="5" w:space="0" w:color="000000"/>
              <w:right w:val="nil"/>
            </w:tcBorders>
            <w:tcMar>
              <w:top w:w="100" w:type="dxa"/>
              <w:left w:w="100" w:type="dxa"/>
              <w:bottom w:w="100" w:type="dxa"/>
              <w:right w:w="100" w:type="dxa"/>
            </w:tcMar>
          </w:tcPr>
          <w:p w14:paraId="094E7743" w14:textId="77777777" w:rsidR="00124A30" w:rsidRDefault="00000000">
            <w:pPr>
              <w:spacing w:after="0"/>
              <w:jc w:val="both"/>
              <w:rPr>
                <w:b/>
              </w:rPr>
            </w:pPr>
            <w:r>
              <w:rPr>
                <w:b/>
              </w:rPr>
              <w:t>Response</w:t>
            </w:r>
          </w:p>
        </w:tc>
      </w:tr>
      <w:tr w:rsidR="00124A30" w14:paraId="165D3A6A" w14:textId="77777777">
        <w:trPr>
          <w:trHeight w:val="1080"/>
        </w:trPr>
        <w:tc>
          <w:tcPr>
            <w:tcW w:w="2955" w:type="dxa"/>
            <w:tcBorders>
              <w:top w:val="nil"/>
              <w:left w:val="nil"/>
              <w:bottom w:val="single" w:sz="5" w:space="0" w:color="000000"/>
              <w:right w:val="nil"/>
            </w:tcBorders>
            <w:tcMar>
              <w:top w:w="100" w:type="dxa"/>
              <w:left w:w="100" w:type="dxa"/>
              <w:bottom w:w="100" w:type="dxa"/>
              <w:right w:w="100" w:type="dxa"/>
            </w:tcMar>
          </w:tcPr>
          <w:p w14:paraId="57A87EF5" w14:textId="77777777" w:rsidR="00124A30" w:rsidRDefault="00000000">
            <w:pPr>
              <w:spacing w:after="0"/>
            </w:pPr>
            <w:r>
              <w:t>Are the data processed for specific, explicit and legitimate purposes?</w:t>
            </w:r>
          </w:p>
        </w:tc>
        <w:tc>
          <w:tcPr>
            <w:tcW w:w="5955" w:type="dxa"/>
            <w:tcBorders>
              <w:top w:val="nil"/>
              <w:left w:val="nil"/>
              <w:bottom w:val="single" w:sz="5" w:space="0" w:color="000000"/>
              <w:right w:val="nil"/>
            </w:tcBorders>
            <w:tcMar>
              <w:top w:w="100" w:type="dxa"/>
              <w:left w:w="100" w:type="dxa"/>
              <w:bottom w:w="100" w:type="dxa"/>
              <w:right w:w="100" w:type="dxa"/>
            </w:tcMar>
          </w:tcPr>
          <w:p w14:paraId="761B74D0" w14:textId="77777777" w:rsidR="00124A30" w:rsidRDefault="00000000">
            <w:pPr>
              <w:spacing w:after="0"/>
              <w:jc w:val="both"/>
            </w:pPr>
            <w:r>
              <w:t>The data are processed to answer a relevant clinical question, with the potential to support future clinical and/or regulatory decisions.</w:t>
            </w:r>
          </w:p>
        </w:tc>
      </w:tr>
      <w:tr w:rsidR="00124A30" w14:paraId="4B74746C" w14:textId="77777777">
        <w:trPr>
          <w:trHeight w:val="1650"/>
        </w:trPr>
        <w:tc>
          <w:tcPr>
            <w:tcW w:w="2955" w:type="dxa"/>
            <w:tcBorders>
              <w:top w:val="nil"/>
              <w:left w:val="nil"/>
              <w:bottom w:val="single" w:sz="5" w:space="0" w:color="000000"/>
              <w:right w:val="nil"/>
            </w:tcBorders>
            <w:tcMar>
              <w:top w:w="100" w:type="dxa"/>
              <w:left w:w="100" w:type="dxa"/>
              <w:bottom w:w="100" w:type="dxa"/>
              <w:right w:w="100" w:type="dxa"/>
            </w:tcMar>
          </w:tcPr>
          <w:p w14:paraId="1196A8E3" w14:textId="77777777" w:rsidR="00124A30" w:rsidRDefault="00000000">
            <w:pPr>
              <w:spacing w:after="0"/>
            </w:pPr>
            <w:r>
              <w:t>What is the condition for legitimacy of processing?</w:t>
            </w:r>
          </w:p>
        </w:tc>
        <w:tc>
          <w:tcPr>
            <w:tcW w:w="5955" w:type="dxa"/>
            <w:tcBorders>
              <w:top w:val="nil"/>
              <w:left w:val="nil"/>
              <w:bottom w:val="single" w:sz="5" w:space="0" w:color="000000"/>
              <w:right w:val="nil"/>
            </w:tcBorders>
            <w:tcMar>
              <w:top w:w="100" w:type="dxa"/>
              <w:left w:w="100" w:type="dxa"/>
              <w:bottom w:w="100" w:type="dxa"/>
              <w:right w:w="100" w:type="dxa"/>
            </w:tcMar>
          </w:tcPr>
          <w:p w14:paraId="5BD9BEAA" w14:textId="77777777" w:rsidR="00124A30" w:rsidRDefault="00000000">
            <w:pPr>
              <w:spacing w:after="0"/>
              <w:jc w:val="both"/>
            </w:pPr>
            <w:r>
              <w:t>Processing necessary for scientific research purposes, considered proportional to the objective pursued, as provided for in Article 6(1)(f) of the GDPR, and provided that guarantees for the rights and freedoms of the data subject are ensured (Article 89(1) of the GDPR).</w:t>
            </w:r>
          </w:p>
        </w:tc>
      </w:tr>
      <w:tr w:rsidR="00124A30" w14:paraId="5745AC2D" w14:textId="77777777">
        <w:trPr>
          <w:trHeight w:val="1650"/>
        </w:trPr>
        <w:tc>
          <w:tcPr>
            <w:tcW w:w="2955" w:type="dxa"/>
            <w:tcBorders>
              <w:top w:val="nil"/>
              <w:left w:val="nil"/>
              <w:bottom w:val="single" w:sz="5" w:space="0" w:color="000000"/>
              <w:right w:val="nil"/>
            </w:tcBorders>
            <w:tcMar>
              <w:top w:w="100" w:type="dxa"/>
              <w:left w:w="100" w:type="dxa"/>
              <w:bottom w:w="100" w:type="dxa"/>
              <w:right w:w="100" w:type="dxa"/>
            </w:tcMar>
          </w:tcPr>
          <w:p w14:paraId="4DA325F4" w14:textId="77777777" w:rsidR="00124A30" w:rsidRDefault="00000000">
            <w:pPr>
              <w:spacing w:after="0"/>
            </w:pPr>
            <w:r>
              <w:t>What is the condition for legitimacy for the processing of special categories of data?</w:t>
            </w:r>
          </w:p>
        </w:tc>
        <w:tc>
          <w:tcPr>
            <w:tcW w:w="5955" w:type="dxa"/>
            <w:tcBorders>
              <w:top w:val="nil"/>
              <w:left w:val="nil"/>
              <w:bottom w:val="single" w:sz="5" w:space="0" w:color="000000"/>
              <w:right w:val="nil"/>
            </w:tcBorders>
            <w:tcMar>
              <w:top w:w="100" w:type="dxa"/>
              <w:left w:w="100" w:type="dxa"/>
              <w:bottom w:w="100" w:type="dxa"/>
              <w:right w:w="100" w:type="dxa"/>
            </w:tcMar>
          </w:tcPr>
          <w:p w14:paraId="06F3EFDD" w14:textId="77777777" w:rsidR="00124A30" w:rsidRDefault="00000000">
            <w:pPr>
              <w:spacing w:after="0"/>
              <w:jc w:val="both"/>
            </w:pPr>
            <w:r>
              <w:t>Processing necessary for scientific research purposes, considered proportional to the objective pursued, as provided for in Article 6(1)(f) of the GDPR, and provided that guarantees for the rights and freedoms of the data subject are ensured (Article 89(1) of the GDPR).</w:t>
            </w:r>
          </w:p>
        </w:tc>
      </w:tr>
      <w:tr w:rsidR="00124A30" w14:paraId="2A7DCF7C" w14:textId="77777777">
        <w:trPr>
          <w:trHeight w:val="2145"/>
        </w:trPr>
        <w:tc>
          <w:tcPr>
            <w:tcW w:w="2955" w:type="dxa"/>
            <w:tcBorders>
              <w:top w:val="nil"/>
              <w:left w:val="nil"/>
              <w:bottom w:val="single" w:sz="5" w:space="0" w:color="000000"/>
              <w:right w:val="nil"/>
            </w:tcBorders>
            <w:tcMar>
              <w:top w:w="100" w:type="dxa"/>
              <w:left w:w="100" w:type="dxa"/>
              <w:bottom w:w="100" w:type="dxa"/>
              <w:right w:w="100" w:type="dxa"/>
            </w:tcMar>
          </w:tcPr>
          <w:p w14:paraId="26EB31B6" w14:textId="77777777" w:rsidR="00124A30" w:rsidRDefault="00000000">
            <w:pPr>
              <w:spacing w:after="0"/>
            </w:pPr>
            <w:r>
              <w:t>Are the data processed adequate, relevant and limited to what is necessary for the purposes in question?</w:t>
            </w:r>
          </w:p>
        </w:tc>
        <w:tc>
          <w:tcPr>
            <w:tcW w:w="5955" w:type="dxa"/>
            <w:tcBorders>
              <w:top w:val="nil"/>
              <w:left w:val="nil"/>
              <w:bottom w:val="single" w:sz="5" w:space="0" w:color="000000"/>
              <w:right w:val="nil"/>
            </w:tcBorders>
            <w:tcMar>
              <w:top w:w="100" w:type="dxa"/>
              <w:left w:w="100" w:type="dxa"/>
              <w:bottom w:w="100" w:type="dxa"/>
              <w:right w:w="100" w:type="dxa"/>
            </w:tcMar>
          </w:tcPr>
          <w:p w14:paraId="27DED428" w14:textId="77777777" w:rsidR="00124A30" w:rsidRDefault="00000000">
            <w:pPr>
              <w:spacing w:after="0"/>
              <w:jc w:val="both"/>
            </w:pPr>
            <w:r>
              <w:t>Yes. The data to be processed include only the minimum essential data to answer the clinical question, preserving as much as possible the reality of local clinical practice.</w:t>
            </w:r>
          </w:p>
        </w:tc>
      </w:tr>
      <w:tr w:rsidR="00124A30" w14:paraId="5DD3DE94" w14:textId="77777777">
        <w:trPr>
          <w:trHeight w:val="1080"/>
        </w:trPr>
        <w:tc>
          <w:tcPr>
            <w:tcW w:w="2955" w:type="dxa"/>
            <w:tcBorders>
              <w:top w:val="nil"/>
              <w:left w:val="nil"/>
              <w:bottom w:val="single" w:sz="5" w:space="0" w:color="000000"/>
              <w:right w:val="nil"/>
            </w:tcBorders>
            <w:tcMar>
              <w:top w:w="100" w:type="dxa"/>
              <w:left w:w="100" w:type="dxa"/>
              <w:bottom w:w="100" w:type="dxa"/>
              <w:right w:w="100" w:type="dxa"/>
            </w:tcMar>
          </w:tcPr>
          <w:p w14:paraId="378D906E" w14:textId="77777777" w:rsidR="00124A30" w:rsidRDefault="00000000">
            <w:pPr>
              <w:spacing w:after="0"/>
            </w:pPr>
            <w:r>
              <w:t xml:space="preserve">Are the data accurate and </w:t>
            </w:r>
            <w:proofErr w:type="gramStart"/>
            <w:r>
              <w:t>up-to-date</w:t>
            </w:r>
            <w:proofErr w:type="gramEnd"/>
            <w:r>
              <w:t>?</w:t>
            </w:r>
          </w:p>
        </w:tc>
        <w:tc>
          <w:tcPr>
            <w:tcW w:w="5955" w:type="dxa"/>
            <w:tcBorders>
              <w:top w:val="nil"/>
              <w:left w:val="nil"/>
              <w:bottom w:val="single" w:sz="5" w:space="0" w:color="000000"/>
              <w:right w:val="nil"/>
            </w:tcBorders>
            <w:tcMar>
              <w:top w:w="100" w:type="dxa"/>
              <w:left w:w="100" w:type="dxa"/>
              <w:bottom w:w="100" w:type="dxa"/>
              <w:right w:w="100" w:type="dxa"/>
            </w:tcMar>
          </w:tcPr>
          <w:p w14:paraId="4CEA9145" w14:textId="77777777" w:rsidR="00124A30" w:rsidRDefault="00000000">
            <w:pPr>
              <w:spacing w:after="0"/>
              <w:jc w:val="both"/>
            </w:pPr>
            <w:r>
              <w:t>Yes. The data to be processed are an asynchronous copy of the Institution's EHR data. This copy is stored on the Institution's local infrastructure and updated with the frequency defined by it.</w:t>
            </w:r>
          </w:p>
        </w:tc>
      </w:tr>
    </w:tbl>
    <w:p w14:paraId="240EBDCB" w14:textId="77777777" w:rsidR="00124A30" w:rsidRDefault="00124A30">
      <w:pPr>
        <w:jc w:val="both"/>
      </w:pPr>
    </w:p>
    <w:p w14:paraId="6493C90B"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38" w:name="_8zxs3pk672p7" w:colFirst="0" w:colLast="0"/>
      <w:bookmarkEnd w:id="38"/>
      <w:r>
        <w:rPr>
          <w:highlight w:val="white"/>
        </w:rPr>
        <w:lastRenderedPageBreak/>
        <w:t xml:space="preserve"> Data retention and sharing</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00"/>
        <w:gridCol w:w="6010"/>
      </w:tblGrid>
      <w:tr w:rsidR="00124A30" w14:paraId="18BF1EF2" w14:textId="77777777">
        <w:trPr>
          <w:trHeight w:val="495"/>
        </w:trPr>
        <w:tc>
          <w:tcPr>
            <w:tcW w:w="2900" w:type="dxa"/>
            <w:tcBorders>
              <w:top w:val="single" w:sz="5" w:space="0" w:color="000000"/>
              <w:left w:val="nil"/>
              <w:bottom w:val="single" w:sz="5" w:space="0" w:color="000000"/>
              <w:right w:val="nil"/>
            </w:tcBorders>
            <w:tcMar>
              <w:top w:w="100" w:type="dxa"/>
              <w:left w:w="100" w:type="dxa"/>
              <w:bottom w:w="100" w:type="dxa"/>
              <w:right w:w="100" w:type="dxa"/>
            </w:tcMar>
          </w:tcPr>
          <w:p w14:paraId="1494A2F6" w14:textId="77777777" w:rsidR="00124A30" w:rsidRDefault="00000000">
            <w:pPr>
              <w:spacing w:after="0"/>
              <w:jc w:val="both"/>
              <w:rPr>
                <w:b/>
                <w:highlight w:val="white"/>
              </w:rPr>
            </w:pPr>
            <w:r>
              <w:rPr>
                <w:b/>
                <w:highlight w:val="white"/>
              </w:rPr>
              <w:t>Principles</w:t>
            </w:r>
          </w:p>
        </w:tc>
        <w:tc>
          <w:tcPr>
            <w:tcW w:w="6010" w:type="dxa"/>
            <w:tcBorders>
              <w:top w:val="single" w:sz="5" w:space="0" w:color="000000"/>
              <w:left w:val="nil"/>
              <w:bottom w:val="single" w:sz="5" w:space="0" w:color="000000"/>
              <w:right w:val="nil"/>
            </w:tcBorders>
            <w:tcMar>
              <w:top w:w="100" w:type="dxa"/>
              <w:left w:w="100" w:type="dxa"/>
              <w:bottom w:w="100" w:type="dxa"/>
              <w:right w:w="100" w:type="dxa"/>
            </w:tcMar>
          </w:tcPr>
          <w:p w14:paraId="253C636D" w14:textId="77777777" w:rsidR="00124A30" w:rsidRDefault="00000000">
            <w:pPr>
              <w:spacing w:after="0"/>
              <w:jc w:val="both"/>
              <w:rPr>
                <w:b/>
                <w:highlight w:val="white"/>
              </w:rPr>
            </w:pPr>
            <w:r>
              <w:rPr>
                <w:b/>
                <w:highlight w:val="white"/>
              </w:rPr>
              <w:t>Response</w:t>
            </w:r>
          </w:p>
        </w:tc>
      </w:tr>
      <w:tr w:rsidR="00124A30" w14:paraId="0D1A09F2" w14:textId="77777777">
        <w:trPr>
          <w:trHeight w:val="4125"/>
        </w:trPr>
        <w:tc>
          <w:tcPr>
            <w:tcW w:w="2900" w:type="dxa"/>
            <w:tcBorders>
              <w:top w:val="nil"/>
              <w:left w:val="nil"/>
              <w:bottom w:val="single" w:sz="5" w:space="0" w:color="000000"/>
              <w:right w:val="nil"/>
            </w:tcBorders>
            <w:tcMar>
              <w:top w:w="100" w:type="dxa"/>
              <w:left w:w="100" w:type="dxa"/>
              <w:bottom w:w="100" w:type="dxa"/>
              <w:right w:w="100" w:type="dxa"/>
            </w:tcMar>
          </w:tcPr>
          <w:p w14:paraId="7712F54A" w14:textId="77777777" w:rsidR="00124A30" w:rsidRDefault="00000000">
            <w:pPr>
              <w:spacing w:after="0"/>
              <w:rPr>
                <w:highlight w:val="white"/>
              </w:rPr>
            </w:pPr>
            <w:r>
              <w:rPr>
                <w:highlight w:val="white"/>
              </w:rPr>
              <w:t>What is the data retention period?</w:t>
            </w:r>
          </w:p>
        </w:tc>
        <w:tc>
          <w:tcPr>
            <w:tcW w:w="6010" w:type="dxa"/>
            <w:tcBorders>
              <w:top w:val="nil"/>
              <w:left w:val="nil"/>
              <w:bottom w:val="single" w:sz="5" w:space="0" w:color="000000"/>
              <w:right w:val="nil"/>
            </w:tcBorders>
            <w:tcMar>
              <w:top w:w="100" w:type="dxa"/>
              <w:left w:w="100" w:type="dxa"/>
              <w:bottom w:w="100" w:type="dxa"/>
              <w:right w:w="100" w:type="dxa"/>
            </w:tcMar>
          </w:tcPr>
          <w:p w14:paraId="2D590DBF" w14:textId="77777777" w:rsidR="00124A30" w:rsidRDefault="00000000">
            <w:pPr>
              <w:spacing w:after="0"/>
              <w:jc w:val="both"/>
              <w:rPr>
                <w:highlight w:val="white"/>
              </w:rPr>
            </w:pPr>
            <w:r>
              <w:rPr>
                <w:highlight w:val="white"/>
              </w:rPr>
              <w:t>The asynchronous copy of the data stored on the Institution's local infrastructure will be maintained in accordance with the current internal data storage policy.</w:t>
            </w:r>
          </w:p>
          <w:p w14:paraId="4C712796" w14:textId="77777777" w:rsidR="00124A30" w:rsidRDefault="00000000">
            <w:pPr>
              <w:spacing w:after="0"/>
              <w:jc w:val="both"/>
              <w:rPr>
                <w:highlight w:val="white"/>
              </w:rPr>
            </w:pPr>
            <w:r>
              <w:rPr>
                <w:highlight w:val="white"/>
              </w:rPr>
              <w:t>The aggregated results generated by the execution of the Study Package will be kept for a period of five years in the GitHub repository.</w:t>
            </w:r>
          </w:p>
          <w:p w14:paraId="2C087F1C" w14:textId="77777777" w:rsidR="00124A30" w:rsidRDefault="00000000">
            <w:pPr>
              <w:spacing w:after="0"/>
              <w:jc w:val="both"/>
              <w:rPr>
                <w:highlight w:val="white"/>
              </w:rPr>
            </w:pPr>
            <w:r>
              <w:rPr>
                <w:highlight w:val="white"/>
              </w:rPr>
              <w:t xml:space="preserve">After the end of this period, the results will be removed from the repository through automated and auditable processes, ensuring the traceability and security of the deletion. </w:t>
            </w:r>
          </w:p>
          <w:p w14:paraId="5D0111F0" w14:textId="77777777" w:rsidR="00124A30" w:rsidRDefault="00000000">
            <w:pPr>
              <w:spacing w:after="0"/>
              <w:jc w:val="both"/>
              <w:rPr>
                <w:highlight w:val="white"/>
              </w:rPr>
            </w:pPr>
            <w:r>
              <w:rPr>
                <w:highlight w:val="white"/>
              </w:rPr>
              <w:t>A detailed record of the operations will be kept for at least 12 months, ensuring compliance with best data protection practices.</w:t>
            </w:r>
          </w:p>
        </w:tc>
      </w:tr>
      <w:tr w:rsidR="00124A30" w14:paraId="264F79FB" w14:textId="77777777">
        <w:trPr>
          <w:trHeight w:val="1365"/>
        </w:trPr>
        <w:tc>
          <w:tcPr>
            <w:tcW w:w="2900" w:type="dxa"/>
            <w:tcBorders>
              <w:top w:val="nil"/>
              <w:left w:val="nil"/>
              <w:bottom w:val="single" w:sz="5" w:space="0" w:color="000000"/>
              <w:right w:val="nil"/>
            </w:tcBorders>
            <w:tcMar>
              <w:top w:w="100" w:type="dxa"/>
              <w:left w:w="100" w:type="dxa"/>
              <w:bottom w:w="100" w:type="dxa"/>
              <w:right w:w="100" w:type="dxa"/>
            </w:tcMar>
          </w:tcPr>
          <w:p w14:paraId="3AFC2FA7" w14:textId="77777777" w:rsidR="00124A30" w:rsidRDefault="00000000">
            <w:pPr>
              <w:spacing w:after="0"/>
              <w:rPr>
                <w:highlight w:val="white"/>
              </w:rPr>
            </w:pPr>
            <w:r>
              <w:rPr>
                <w:highlight w:val="white"/>
              </w:rPr>
              <w:t>Are the obligations of subcontractors clearly identified and provided for in a contract?</w:t>
            </w:r>
          </w:p>
        </w:tc>
        <w:tc>
          <w:tcPr>
            <w:tcW w:w="6010" w:type="dxa"/>
            <w:tcBorders>
              <w:top w:val="nil"/>
              <w:left w:val="nil"/>
              <w:bottom w:val="single" w:sz="5" w:space="0" w:color="000000"/>
              <w:right w:val="nil"/>
            </w:tcBorders>
            <w:tcMar>
              <w:top w:w="100" w:type="dxa"/>
              <w:left w:w="100" w:type="dxa"/>
              <w:bottom w:w="100" w:type="dxa"/>
              <w:right w:w="100" w:type="dxa"/>
            </w:tcMar>
          </w:tcPr>
          <w:p w14:paraId="77BCEFFB" w14:textId="77777777" w:rsidR="00124A30" w:rsidRDefault="00000000">
            <w:pPr>
              <w:spacing w:after="0"/>
              <w:jc w:val="both"/>
              <w:rPr>
                <w:highlight w:val="white"/>
              </w:rPr>
            </w:pPr>
            <w:r>
              <w:rPr>
                <w:highlight w:val="white"/>
              </w:rPr>
              <w:t>Not applicable. The data are processed exclusively by the Institution. There is no subcontracted entity to support the processing of personal data to be carried out within the scope of this project.</w:t>
            </w:r>
          </w:p>
        </w:tc>
      </w:tr>
      <w:tr w:rsidR="00124A30" w14:paraId="7F8F4960" w14:textId="77777777">
        <w:trPr>
          <w:trHeight w:val="1365"/>
        </w:trPr>
        <w:tc>
          <w:tcPr>
            <w:tcW w:w="2900" w:type="dxa"/>
            <w:tcBorders>
              <w:top w:val="nil"/>
              <w:left w:val="nil"/>
              <w:bottom w:val="single" w:sz="5" w:space="0" w:color="000000"/>
              <w:right w:val="nil"/>
            </w:tcBorders>
            <w:tcMar>
              <w:top w:w="100" w:type="dxa"/>
              <w:left w:w="100" w:type="dxa"/>
              <w:bottom w:w="100" w:type="dxa"/>
              <w:right w:w="100" w:type="dxa"/>
            </w:tcMar>
          </w:tcPr>
          <w:p w14:paraId="52074728" w14:textId="77777777" w:rsidR="00124A30" w:rsidRDefault="00000000">
            <w:pPr>
              <w:spacing w:after="0"/>
              <w:rPr>
                <w:highlight w:val="white"/>
              </w:rPr>
            </w:pPr>
            <w:r>
              <w:rPr>
                <w:highlight w:val="white"/>
              </w:rPr>
              <w:t>In the event of transfer of data outside the European Economic Area, are the data adequately protected?</w:t>
            </w:r>
          </w:p>
        </w:tc>
        <w:tc>
          <w:tcPr>
            <w:tcW w:w="6010" w:type="dxa"/>
            <w:tcBorders>
              <w:top w:val="nil"/>
              <w:left w:val="nil"/>
              <w:bottom w:val="single" w:sz="5" w:space="0" w:color="000000"/>
              <w:right w:val="nil"/>
            </w:tcBorders>
            <w:tcMar>
              <w:top w:w="100" w:type="dxa"/>
              <w:left w:w="100" w:type="dxa"/>
              <w:bottom w:w="100" w:type="dxa"/>
              <w:right w:w="100" w:type="dxa"/>
            </w:tcMar>
          </w:tcPr>
          <w:p w14:paraId="7C41B37A" w14:textId="77777777" w:rsidR="00124A30" w:rsidRDefault="00000000">
            <w:pPr>
              <w:spacing w:after="0"/>
              <w:jc w:val="both"/>
              <w:rPr>
                <w:highlight w:val="white"/>
              </w:rPr>
            </w:pPr>
            <w:r>
              <w:rPr>
                <w:highlight w:val="white"/>
              </w:rPr>
              <w:t xml:space="preserve">Not applicable. Personal data processed within the scope of this project are stored and processed exclusively on the Institution's local </w:t>
            </w:r>
            <w:proofErr w:type="gramStart"/>
            <w:r>
              <w:rPr>
                <w:highlight w:val="white"/>
              </w:rPr>
              <w:t>infrastructure, and</w:t>
            </w:r>
            <w:proofErr w:type="gramEnd"/>
            <w:r>
              <w:rPr>
                <w:highlight w:val="white"/>
              </w:rPr>
              <w:t xml:space="preserve"> are never shared with partner entities.</w:t>
            </w:r>
          </w:p>
        </w:tc>
      </w:tr>
    </w:tbl>
    <w:p w14:paraId="36FEE408" w14:textId="77777777" w:rsidR="00124A30" w:rsidRDefault="00000000">
      <w:pPr>
        <w:pStyle w:val="Heading2"/>
        <w:rPr>
          <w:highlight w:val="white"/>
        </w:rPr>
      </w:pPr>
      <w:bookmarkStart w:id="39" w:name="_tdh3ly7cj5g3" w:colFirst="0" w:colLast="0"/>
      <w:bookmarkEnd w:id="39"/>
      <w:r>
        <w:br w:type="page"/>
      </w:r>
    </w:p>
    <w:p w14:paraId="6B7EDFFE"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40" w:name="_23d8bhapckvx" w:colFirst="0" w:colLast="0"/>
      <w:bookmarkEnd w:id="40"/>
      <w:r>
        <w:rPr>
          <w:highlight w:val="white"/>
        </w:rPr>
        <w:lastRenderedPageBreak/>
        <w:t xml:space="preserve"> Information to the data subject</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30"/>
        <w:gridCol w:w="5980"/>
      </w:tblGrid>
      <w:tr w:rsidR="00124A30" w14:paraId="1FAEB561" w14:textId="77777777">
        <w:trPr>
          <w:trHeight w:val="495"/>
        </w:trPr>
        <w:tc>
          <w:tcPr>
            <w:tcW w:w="2930" w:type="dxa"/>
            <w:tcBorders>
              <w:top w:val="single" w:sz="5" w:space="0" w:color="000000"/>
              <w:left w:val="nil"/>
              <w:bottom w:val="single" w:sz="5" w:space="0" w:color="000000"/>
              <w:right w:val="nil"/>
            </w:tcBorders>
            <w:tcMar>
              <w:top w:w="100" w:type="dxa"/>
              <w:left w:w="100" w:type="dxa"/>
              <w:bottom w:w="100" w:type="dxa"/>
              <w:right w:w="100" w:type="dxa"/>
            </w:tcMar>
          </w:tcPr>
          <w:p w14:paraId="7D641259" w14:textId="77777777" w:rsidR="00124A30" w:rsidRDefault="00000000">
            <w:pPr>
              <w:spacing w:after="0"/>
              <w:jc w:val="both"/>
              <w:rPr>
                <w:b/>
                <w:highlight w:val="white"/>
              </w:rPr>
            </w:pPr>
            <w:r>
              <w:rPr>
                <w:b/>
                <w:highlight w:val="white"/>
              </w:rPr>
              <w:t>Principles</w:t>
            </w:r>
          </w:p>
        </w:tc>
        <w:tc>
          <w:tcPr>
            <w:tcW w:w="5980" w:type="dxa"/>
            <w:tcBorders>
              <w:top w:val="single" w:sz="5" w:space="0" w:color="000000"/>
              <w:left w:val="nil"/>
              <w:bottom w:val="single" w:sz="5" w:space="0" w:color="000000"/>
              <w:right w:val="nil"/>
            </w:tcBorders>
            <w:tcMar>
              <w:top w:w="100" w:type="dxa"/>
              <w:left w:w="100" w:type="dxa"/>
              <w:bottom w:w="100" w:type="dxa"/>
              <w:right w:w="100" w:type="dxa"/>
            </w:tcMar>
          </w:tcPr>
          <w:p w14:paraId="0320E2F0" w14:textId="77777777" w:rsidR="00124A30" w:rsidRDefault="00000000">
            <w:pPr>
              <w:spacing w:after="0"/>
              <w:jc w:val="both"/>
              <w:rPr>
                <w:b/>
                <w:highlight w:val="white"/>
              </w:rPr>
            </w:pPr>
            <w:r>
              <w:rPr>
                <w:b/>
                <w:highlight w:val="white"/>
              </w:rPr>
              <w:t>Response</w:t>
            </w:r>
          </w:p>
        </w:tc>
      </w:tr>
      <w:tr w:rsidR="00124A30" w14:paraId="1FA8A0A6" w14:textId="77777777">
        <w:trPr>
          <w:trHeight w:val="5325"/>
        </w:trPr>
        <w:tc>
          <w:tcPr>
            <w:tcW w:w="2930" w:type="dxa"/>
            <w:tcBorders>
              <w:top w:val="nil"/>
              <w:left w:val="nil"/>
              <w:bottom w:val="single" w:sz="5" w:space="0" w:color="000000"/>
              <w:right w:val="nil"/>
            </w:tcBorders>
            <w:tcMar>
              <w:top w:w="100" w:type="dxa"/>
              <w:left w:w="100" w:type="dxa"/>
              <w:bottom w:w="100" w:type="dxa"/>
              <w:right w:w="100" w:type="dxa"/>
            </w:tcMar>
          </w:tcPr>
          <w:p w14:paraId="0C7119D1" w14:textId="77777777" w:rsidR="00124A30" w:rsidRDefault="00000000">
            <w:pPr>
              <w:spacing w:after="0"/>
              <w:jc w:val="both"/>
              <w:rPr>
                <w:highlight w:val="white"/>
              </w:rPr>
            </w:pPr>
            <w:r>
              <w:rPr>
                <w:highlight w:val="white"/>
              </w:rPr>
              <w:t>How are data subjects informed?</w:t>
            </w:r>
          </w:p>
        </w:tc>
        <w:tc>
          <w:tcPr>
            <w:tcW w:w="5980" w:type="dxa"/>
            <w:tcBorders>
              <w:top w:val="nil"/>
              <w:left w:val="nil"/>
              <w:bottom w:val="single" w:sz="5" w:space="0" w:color="000000"/>
              <w:right w:val="nil"/>
            </w:tcBorders>
            <w:tcMar>
              <w:top w:w="100" w:type="dxa"/>
              <w:left w:w="100" w:type="dxa"/>
              <w:bottom w:w="100" w:type="dxa"/>
              <w:right w:w="100" w:type="dxa"/>
            </w:tcMar>
          </w:tcPr>
          <w:p w14:paraId="69F82DA8" w14:textId="77777777" w:rsidR="00124A30" w:rsidRDefault="00000000">
            <w:pPr>
              <w:spacing w:after="0"/>
              <w:jc w:val="both"/>
              <w:rPr>
                <w:highlight w:val="white"/>
              </w:rPr>
            </w:pPr>
            <w:r>
              <w:rPr>
                <w:highlight w:val="white"/>
              </w:rPr>
              <w:t>This is a retrospective project based on the secondary use of EHR data to answer a relevant clinical question. Therefore, the processing of personal and health data may be considered lawful without informing data subjects, provided a positive authorization is obtained from the Institution's HREC.</w:t>
            </w:r>
          </w:p>
          <w:p w14:paraId="70FC71DA" w14:textId="77777777" w:rsidR="00124A30" w:rsidRDefault="00000000">
            <w:pPr>
              <w:spacing w:after="0"/>
              <w:jc w:val="both"/>
              <w:rPr>
                <w:highlight w:val="white"/>
              </w:rPr>
            </w:pPr>
            <w:r>
              <w:rPr>
                <w:highlight w:val="white"/>
              </w:rPr>
              <w:t>Data subjects may, at any time, request information about the processing of their data from the DPO/DPT in accordance with the procedures in force at the Institution. However, to reinforce the transparency advocated by the GDPR, the Institution should make a specific communication channel available (e.g., electronic form via the institutional website) to address questions or requests from data subjects about the use of their data. The Institution must also provide the contact details of the DPO/DPT and the Principal Investigator of the project. This process will be monitored regularly, and the response time will be limited to a maximum period of 30 working days, in accordance with the GDPR.</w:t>
            </w:r>
          </w:p>
        </w:tc>
      </w:tr>
      <w:tr w:rsidR="00124A30" w14:paraId="35EE68D5" w14:textId="77777777">
        <w:trPr>
          <w:trHeight w:val="3840"/>
        </w:trPr>
        <w:tc>
          <w:tcPr>
            <w:tcW w:w="2930" w:type="dxa"/>
            <w:tcBorders>
              <w:top w:val="nil"/>
              <w:left w:val="nil"/>
              <w:bottom w:val="single" w:sz="5" w:space="0" w:color="000000"/>
              <w:right w:val="nil"/>
            </w:tcBorders>
            <w:tcMar>
              <w:top w:w="100" w:type="dxa"/>
              <w:left w:w="100" w:type="dxa"/>
              <w:bottom w:w="100" w:type="dxa"/>
              <w:right w:w="100" w:type="dxa"/>
            </w:tcMar>
          </w:tcPr>
          <w:p w14:paraId="2327BBE0" w14:textId="77777777" w:rsidR="00124A30" w:rsidRDefault="00000000">
            <w:pPr>
              <w:spacing w:after="0"/>
              <w:rPr>
                <w:highlight w:val="white"/>
              </w:rPr>
            </w:pPr>
            <w:r>
              <w:rPr>
                <w:highlight w:val="white"/>
              </w:rPr>
              <w:t>Is the information clear, transparent and accessible?</w:t>
            </w:r>
          </w:p>
        </w:tc>
        <w:tc>
          <w:tcPr>
            <w:tcW w:w="5980" w:type="dxa"/>
            <w:tcBorders>
              <w:top w:val="nil"/>
              <w:left w:val="nil"/>
              <w:bottom w:val="single" w:sz="5" w:space="0" w:color="000000"/>
              <w:right w:val="nil"/>
            </w:tcBorders>
            <w:tcMar>
              <w:top w:w="100" w:type="dxa"/>
              <w:left w:w="100" w:type="dxa"/>
              <w:bottom w:w="100" w:type="dxa"/>
              <w:right w:w="100" w:type="dxa"/>
            </w:tcMar>
          </w:tcPr>
          <w:p w14:paraId="465F435C" w14:textId="77777777" w:rsidR="00124A30" w:rsidRDefault="00000000">
            <w:pPr>
              <w:spacing w:after="0"/>
              <w:jc w:val="both"/>
              <w:rPr>
                <w:highlight w:val="white"/>
              </w:rPr>
            </w:pPr>
            <w:r>
              <w:rPr>
                <w:highlight w:val="white"/>
              </w:rPr>
              <w:t xml:space="preserve">As mentioned in the previous point, it is up to the Institution's HREC to </w:t>
            </w:r>
            <w:proofErr w:type="spellStart"/>
            <w:r>
              <w:rPr>
                <w:highlight w:val="white"/>
              </w:rPr>
              <w:t>legitimise</w:t>
            </w:r>
            <w:proofErr w:type="spellEnd"/>
            <w:r>
              <w:rPr>
                <w:highlight w:val="white"/>
              </w:rPr>
              <w:t xml:space="preserve"> the waiver of prior information to data subjects about the processing of personal data. </w:t>
            </w:r>
          </w:p>
          <w:p w14:paraId="4FA80919" w14:textId="77777777" w:rsidR="00124A30" w:rsidRDefault="00000000">
            <w:pPr>
              <w:spacing w:after="0"/>
              <w:jc w:val="both"/>
              <w:rPr>
                <w:highlight w:val="white"/>
              </w:rPr>
            </w:pPr>
            <w:r>
              <w:rPr>
                <w:highlight w:val="white"/>
              </w:rPr>
              <w:t xml:space="preserve">However, data subjects may, at any time, exercise their rights related to the processing of personal data, </w:t>
            </w:r>
            <w:proofErr w:type="gramStart"/>
            <w:r>
              <w:rPr>
                <w:highlight w:val="white"/>
              </w:rPr>
              <w:t>namely</w:t>
            </w:r>
            <w:proofErr w:type="gramEnd"/>
            <w:r>
              <w:rPr>
                <w:highlight w:val="white"/>
              </w:rPr>
              <w:t xml:space="preserve"> to request information regarding the purpose(s) of the use of their personal data.</w:t>
            </w:r>
          </w:p>
          <w:p w14:paraId="7C71D467" w14:textId="77777777" w:rsidR="00124A30" w:rsidRDefault="00000000">
            <w:pPr>
              <w:spacing w:after="0"/>
              <w:jc w:val="both"/>
              <w:rPr>
                <w:highlight w:val="white"/>
              </w:rPr>
            </w:pPr>
            <w:r>
              <w:rPr>
                <w:highlight w:val="white"/>
              </w:rPr>
              <w:t xml:space="preserve">Data subjects may exercise this right with the DPO/DPT in accordance with the procedures in force at the Institution. </w:t>
            </w:r>
            <w:r>
              <w:rPr>
                <w:highlight w:val="white"/>
              </w:rPr>
              <w:lastRenderedPageBreak/>
              <w:t>The response time will be limited to a maximum period of 30 working days, in accordance with the GDPR.</w:t>
            </w:r>
          </w:p>
        </w:tc>
      </w:tr>
      <w:tr w:rsidR="00124A30" w14:paraId="0CB8D794" w14:textId="77777777">
        <w:trPr>
          <w:trHeight w:val="4125"/>
        </w:trPr>
        <w:tc>
          <w:tcPr>
            <w:tcW w:w="2930" w:type="dxa"/>
            <w:tcBorders>
              <w:top w:val="nil"/>
              <w:left w:val="nil"/>
              <w:bottom w:val="single" w:sz="5" w:space="0" w:color="000000"/>
              <w:right w:val="nil"/>
            </w:tcBorders>
            <w:tcMar>
              <w:top w:w="100" w:type="dxa"/>
              <w:left w:w="100" w:type="dxa"/>
              <w:bottom w:w="100" w:type="dxa"/>
              <w:right w:w="100" w:type="dxa"/>
            </w:tcMar>
          </w:tcPr>
          <w:p w14:paraId="16387F22" w14:textId="77777777" w:rsidR="00124A30" w:rsidRDefault="00000000">
            <w:pPr>
              <w:spacing w:after="0"/>
              <w:rPr>
                <w:highlight w:val="white"/>
              </w:rPr>
            </w:pPr>
            <w:r>
              <w:rPr>
                <w:highlight w:val="white"/>
              </w:rPr>
              <w:lastRenderedPageBreak/>
              <w:t>How is consent obtained?</w:t>
            </w:r>
          </w:p>
        </w:tc>
        <w:tc>
          <w:tcPr>
            <w:tcW w:w="5980" w:type="dxa"/>
            <w:tcBorders>
              <w:top w:val="nil"/>
              <w:left w:val="nil"/>
              <w:bottom w:val="single" w:sz="5" w:space="0" w:color="000000"/>
              <w:right w:val="nil"/>
            </w:tcBorders>
            <w:tcMar>
              <w:top w:w="100" w:type="dxa"/>
              <w:left w:w="100" w:type="dxa"/>
              <w:bottom w:w="100" w:type="dxa"/>
              <w:right w:w="100" w:type="dxa"/>
            </w:tcMar>
          </w:tcPr>
          <w:p w14:paraId="10720755" w14:textId="77777777" w:rsidR="00124A30" w:rsidRDefault="00000000">
            <w:pPr>
              <w:spacing w:after="0"/>
              <w:jc w:val="both"/>
              <w:rPr>
                <w:highlight w:val="white"/>
              </w:rPr>
            </w:pPr>
            <w:r>
              <w:rPr>
                <w:highlight w:val="white"/>
              </w:rPr>
              <w:t xml:space="preserve">Consent will not be requested from data subjects. Obtaining informed consent from data subjects would be impracticable in the context of this project, given its retrospective nature and the volume of data involved, which could compromise its viability. The legitimacy of the waiver will be assessed by the HREC and will result from the identification of reasons of public interest </w:t>
            </w:r>
            <w:proofErr w:type="gramStart"/>
            <w:r>
              <w:rPr>
                <w:highlight w:val="white"/>
              </w:rPr>
              <w:t>in the area of</w:t>
            </w:r>
            <w:proofErr w:type="gramEnd"/>
            <w:r>
              <w:rPr>
                <w:highlight w:val="white"/>
              </w:rPr>
              <w:t xml:space="preserve"> public health (in accordance with Article 9(2)(</w:t>
            </w:r>
            <w:proofErr w:type="spellStart"/>
            <w:r>
              <w:rPr>
                <w:highlight w:val="white"/>
              </w:rPr>
              <w:t>i</w:t>
            </w:r>
            <w:proofErr w:type="spellEnd"/>
            <w:r>
              <w:rPr>
                <w:highlight w:val="white"/>
              </w:rPr>
              <w:t>) of the GDPR) and the relevance of clinical research (in accordance with Article 9(2)(j) of the GDPR).</w:t>
            </w:r>
          </w:p>
          <w:p w14:paraId="01900267" w14:textId="77777777" w:rsidR="00124A30" w:rsidRDefault="00000000">
            <w:pPr>
              <w:spacing w:after="0"/>
              <w:jc w:val="both"/>
              <w:rPr>
                <w:highlight w:val="white"/>
              </w:rPr>
            </w:pPr>
            <w:r>
              <w:rPr>
                <w:highlight w:val="white"/>
              </w:rPr>
              <w:t>It is safeguarded that no personal data will be processed within the scope of this project without the prior authorization of the Institution's HREC.</w:t>
            </w:r>
          </w:p>
        </w:tc>
      </w:tr>
      <w:tr w:rsidR="00124A30" w14:paraId="33DD8BAD" w14:textId="77777777">
        <w:trPr>
          <w:trHeight w:val="2460"/>
        </w:trPr>
        <w:tc>
          <w:tcPr>
            <w:tcW w:w="2930" w:type="dxa"/>
            <w:tcBorders>
              <w:top w:val="nil"/>
              <w:left w:val="nil"/>
              <w:bottom w:val="single" w:sz="5" w:space="0" w:color="000000"/>
              <w:right w:val="nil"/>
            </w:tcBorders>
            <w:tcMar>
              <w:top w:w="100" w:type="dxa"/>
              <w:left w:w="100" w:type="dxa"/>
              <w:bottom w:w="100" w:type="dxa"/>
              <w:right w:w="100" w:type="dxa"/>
            </w:tcMar>
          </w:tcPr>
          <w:p w14:paraId="2A32F80C" w14:textId="77777777" w:rsidR="00124A30" w:rsidRDefault="00000000">
            <w:pPr>
              <w:spacing w:after="0"/>
              <w:rPr>
                <w:highlight w:val="white"/>
              </w:rPr>
            </w:pPr>
            <w:r>
              <w:rPr>
                <w:highlight w:val="white"/>
              </w:rPr>
              <w:t>How do data subjects exercise their rights of access and portability? Does the system used allow it?</w:t>
            </w:r>
          </w:p>
        </w:tc>
        <w:tc>
          <w:tcPr>
            <w:tcW w:w="5980" w:type="dxa"/>
            <w:tcBorders>
              <w:top w:val="nil"/>
              <w:left w:val="nil"/>
              <w:bottom w:val="single" w:sz="5" w:space="0" w:color="000000"/>
              <w:right w:val="nil"/>
            </w:tcBorders>
            <w:tcMar>
              <w:top w:w="100" w:type="dxa"/>
              <w:left w:w="100" w:type="dxa"/>
              <w:bottom w:w="100" w:type="dxa"/>
              <w:right w:w="100" w:type="dxa"/>
            </w:tcMar>
          </w:tcPr>
          <w:p w14:paraId="0062BAF1" w14:textId="77777777" w:rsidR="00124A30" w:rsidRDefault="00000000">
            <w:pPr>
              <w:spacing w:after="0"/>
              <w:jc w:val="both"/>
              <w:rPr>
                <w:highlight w:val="white"/>
              </w:rPr>
            </w:pPr>
            <w:r>
              <w:rPr>
                <w:highlight w:val="white"/>
              </w:rPr>
              <w:t>It is envisaged that data subjects may, at any time, exercise their rights of access and portability of personal data stored by the Institution.</w:t>
            </w:r>
          </w:p>
          <w:p w14:paraId="66AA71D3" w14:textId="77777777" w:rsidR="00124A30" w:rsidRDefault="00000000">
            <w:pPr>
              <w:spacing w:after="0"/>
              <w:jc w:val="both"/>
              <w:rPr>
                <w:highlight w:val="white"/>
              </w:rPr>
            </w:pPr>
            <w:r>
              <w:rPr>
                <w:highlight w:val="white"/>
              </w:rPr>
              <w:t>Data subjects may exercise these rights in accordance with the procedures in force at the Institution. The response time will be limited to a maximum period of 30 working days, in accordance with the GDPR.</w:t>
            </w:r>
          </w:p>
        </w:tc>
      </w:tr>
      <w:tr w:rsidR="00124A30" w14:paraId="320F6357" w14:textId="77777777">
        <w:trPr>
          <w:trHeight w:val="4470"/>
        </w:trPr>
        <w:tc>
          <w:tcPr>
            <w:tcW w:w="2930" w:type="dxa"/>
            <w:tcBorders>
              <w:top w:val="nil"/>
              <w:left w:val="nil"/>
              <w:bottom w:val="single" w:sz="5" w:space="0" w:color="000000"/>
              <w:right w:val="nil"/>
            </w:tcBorders>
            <w:tcMar>
              <w:top w:w="100" w:type="dxa"/>
              <w:left w:w="100" w:type="dxa"/>
              <w:bottom w:w="100" w:type="dxa"/>
              <w:right w:w="100" w:type="dxa"/>
            </w:tcMar>
          </w:tcPr>
          <w:p w14:paraId="55443820" w14:textId="77777777" w:rsidR="00124A30" w:rsidRDefault="00000000">
            <w:pPr>
              <w:spacing w:after="0"/>
              <w:rPr>
                <w:highlight w:val="white"/>
              </w:rPr>
            </w:pPr>
            <w:r>
              <w:rPr>
                <w:highlight w:val="white"/>
              </w:rPr>
              <w:lastRenderedPageBreak/>
              <w:t>How do data subjects exercise their rights of rectification and erasure?</w:t>
            </w:r>
          </w:p>
        </w:tc>
        <w:tc>
          <w:tcPr>
            <w:tcW w:w="5980" w:type="dxa"/>
            <w:tcBorders>
              <w:top w:val="nil"/>
              <w:left w:val="nil"/>
              <w:bottom w:val="single" w:sz="5" w:space="0" w:color="000000"/>
              <w:right w:val="nil"/>
            </w:tcBorders>
            <w:tcMar>
              <w:top w:w="100" w:type="dxa"/>
              <w:left w:w="100" w:type="dxa"/>
              <w:bottom w:w="100" w:type="dxa"/>
              <w:right w:w="100" w:type="dxa"/>
            </w:tcMar>
          </w:tcPr>
          <w:p w14:paraId="3529FA05" w14:textId="77777777" w:rsidR="00124A30" w:rsidRDefault="00000000">
            <w:pPr>
              <w:spacing w:after="0"/>
              <w:jc w:val="both"/>
              <w:rPr>
                <w:highlight w:val="white"/>
              </w:rPr>
            </w:pPr>
            <w:r>
              <w:rPr>
                <w:highlight w:val="white"/>
              </w:rPr>
              <w:t>Data subjects may, at any time, exercise their rights of rectification and erasure of personal data stored at the Institution. This request is made to the DPO/DPT in accordance with the Institution's current procedures. The response time will be limited to a maximum period of 30 working days, in accordance with the GDPR.</w:t>
            </w:r>
          </w:p>
          <w:p w14:paraId="266955DA" w14:textId="77777777" w:rsidR="00124A30" w:rsidRDefault="00000000">
            <w:pPr>
              <w:spacing w:after="0"/>
              <w:jc w:val="both"/>
              <w:rPr>
                <w:highlight w:val="white"/>
              </w:rPr>
            </w:pPr>
            <w:r>
              <w:rPr>
                <w:highlight w:val="white"/>
              </w:rPr>
              <w:t>Acceptance of the request by the DPO/DPT and the respective execution request to the IT Department must specify whether the execution of these rights is effective for all R&amp;D initiatives (including those already in execution) or only for future initiatives (</w:t>
            </w:r>
            <w:proofErr w:type="spellStart"/>
            <w:r>
              <w:rPr>
                <w:highlight w:val="white"/>
              </w:rPr>
              <w:t>authorised</w:t>
            </w:r>
            <w:proofErr w:type="spellEnd"/>
            <w:r>
              <w:rPr>
                <w:highlight w:val="white"/>
              </w:rPr>
              <w:t xml:space="preserve"> after the date of acceptance of the request). In either scenario, the modification of the data in the asynchronous copy occurs after the minimum latency period, which corresponds to the update frequency period defined by the Institution.</w:t>
            </w:r>
          </w:p>
        </w:tc>
      </w:tr>
      <w:tr w:rsidR="00124A30" w14:paraId="5FF5F1C3" w14:textId="77777777">
        <w:trPr>
          <w:trHeight w:val="5610"/>
        </w:trPr>
        <w:tc>
          <w:tcPr>
            <w:tcW w:w="2930" w:type="dxa"/>
            <w:tcBorders>
              <w:top w:val="nil"/>
              <w:left w:val="nil"/>
              <w:bottom w:val="single" w:sz="5" w:space="0" w:color="000000"/>
              <w:right w:val="nil"/>
            </w:tcBorders>
            <w:tcMar>
              <w:top w:w="100" w:type="dxa"/>
              <w:left w:w="100" w:type="dxa"/>
              <w:bottom w:w="100" w:type="dxa"/>
              <w:right w:w="100" w:type="dxa"/>
            </w:tcMar>
          </w:tcPr>
          <w:p w14:paraId="1362BD9A" w14:textId="77777777" w:rsidR="00124A30" w:rsidRDefault="00000000">
            <w:pPr>
              <w:spacing w:after="0"/>
              <w:rPr>
                <w:highlight w:val="white"/>
              </w:rPr>
            </w:pPr>
            <w:r>
              <w:rPr>
                <w:highlight w:val="white"/>
              </w:rPr>
              <w:t>How do data subjects exercise their rights of restriction and objection?</w:t>
            </w:r>
          </w:p>
        </w:tc>
        <w:tc>
          <w:tcPr>
            <w:tcW w:w="5980" w:type="dxa"/>
            <w:tcBorders>
              <w:top w:val="nil"/>
              <w:left w:val="nil"/>
              <w:bottom w:val="single" w:sz="5" w:space="0" w:color="000000"/>
              <w:right w:val="nil"/>
            </w:tcBorders>
            <w:tcMar>
              <w:top w:w="100" w:type="dxa"/>
              <w:left w:w="100" w:type="dxa"/>
              <w:bottom w:w="100" w:type="dxa"/>
              <w:right w:w="100" w:type="dxa"/>
            </w:tcMar>
          </w:tcPr>
          <w:p w14:paraId="4E106AE0" w14:textId="77777777" w:rsidR="00124A30" w:rsidRDefault="00000000">
            <w:pPr>
              <w:spacing w:after="0"/>
              <w:jc w:val="both"/>
              <w:rPr>
                <w:highlight w:val="white"/>
              </w:rPr>
            </w:pPr>
            <w:r>
              <w:rPr>
                <w:highlight w:val="white"/>
              </w:rPr>
              <w:t>Data subjects may, at any time, exercise their rights of restriction and objection to the use of their personal data stored at the Institution. This request is made to the DPO/DPT in accordance with the Institution's current procedures. The response time will be limited to a maximum period of 30 working days, in accordance with the GDPR.</w:t>
            </w:r>
          </w:p>
          <w:p w14:paraId="66E0FA79" w14:textId="77777777" w:rsidR="00124A30" w:rsidRDefault="00000000">
            <w:pPr>
              <w:spacing w:after="0"/>
              <w:jc w:val="both"/>
              <w:rPr>
                <w:highlight w:val="white"/>
              </w:rPr>
            </w:pPr>
            <w:r>
              <w:rPr>
                <w:highlight w:val="white"/>
              </w:rPr>
              <w:t>Such requests will be assessed by the DPO/DPT and, if approved, reflected in the next update of the asynchronous data copy. Approval of the request by the DPO/DPT and the respective execution request to the IT Department must specify whether the execution of these rights is effective for all R&amp;D initiatives (including those already in execution) or only for future initiatives (</w:t>
            </w:r>
            <w:proofErr w:type="spellStart"/>
            <w:r>
              <w:rPr>
                <w:highlight w:val="white"/>
              </w:rPr>
              <w:t>authorised</w:t>
            </w:r>
            <w:proofErr w:type="spellEnd"/>
            <w:r>
              <w:rPr>
                <w:highlight w:val="white"/>
              </w:rPr>
              <w:t xml:space="preserve"> after the date of acceptance of the request). In either scenario, the modification of the asynchronous data copy occurs after the </w:t>
            </w:r>
            <w:r>
              <w:rPr>
                <w:highlight w:val="white"/>
              </w:rPr>
              <w:lastRenderedPageBreak/>
              <w:t>minimum latency period, which corresponds to the update frequency period defined by the Institution.</w:t>
            </w:r>
          </w:p>
        </w:tc>
      </w:tr>
    </w:tbl>
    <w:p w14:paraId="79489EB4" w14:textId="77777777" w:rsidR="00124A30" w:rsidRDefault="00000000">
      <w:pPr>
        <w:pStyle w:val="Heading1"/>
        <w:rPr>
          <w:highlight w:val="white"/>
        </w:rPr>
      </w:pPr>
      <w:bookmarkStart w:id="41" w:name="_lydmtruzvdad" w:colFirst="0" w:colLast="0"/>
      <w:bookmarkEnd w:id="41"/>
      <w:r>
        <w:lastRenderedPageBreak/>
        <w:br w:type="page"/>
      </w:r>
    </w:p>
    <w:p w14:paraId="71FD4990" w14:textId="77777777" w:rsidR="00124A30" w:rsidRDefault="00000000">
      <w:pPr>
        <w:pStyle w:val="Heading1"/>
        <w:numPr>
          <w:ilvl w:val="0"/>
          <w:numId w:val="1"/>
        </w:numPr>
        <w:pBdr>
          <w:top w:val="nil"/>
          <w:left w:val="nil"/>
          <w:bottom w:val="nil"/>
          <w:right w:val="nil"/>
          <w:between w:val="nil"/>
        </w:pBdr>
        <w:spacing w:after="200"/>
        <w:ind w:left="450" w:hanging="180"/>
        <w:jc w:val="both"/>
        <w:rPr>
          <w:highlight w:val="white"/>
        </w:rPr>
      </w:pPr>
      <w:bookmarkStart w:id="42" w:name="_q5u5inw94oz2" w:colFirst="0" w:colLast="0"/>
      <w:bookmarkEnd w:id="42"/>
      <w:r>
        <w:rPr>
          <w:highlight w:val="white"/>
        </w:rPr>
        <w:lastRenderedPageBreak/>
        <w:t>Risks</w:t>
      </w:r>
    </w:p>
    <w:p w14:paraId="1CFC01FD" w14:textId="77777777" w:rsidR="00124A30" w:rsidRDefault="00000000">
      <w:pPr>
        <w:pStyle w:val="Heading2"/>
        <w:numPr>
          <w:ilvl w:val="1"/>
          <w:numId w:val="1"/>
        </w:numPr>
        <w:pBdr>
          <w:top w:val="nil"/>
          <w:left w:val="nil"/>
          <w:bottom w:val="nil"/>
          <w:right w:val="nil"/>
          <w:between w:val="nil"/>
        </w:pBdr>
        <w:spacing w:before="200"/>
        <w:ind w:left="360" w:firstLine="0"/>
        <w:rPr>
          <w:highlight w:val="white"/>
        </w:rPr>
      </w:pPr>
      <w:bookmarkStart w:id="43" w:name="_mkhim0wo6wy" w:colFirst="0" w:colLast="0"/>
      <w:bookmarkEnd w:id="43"/>
      <w:r>
        <w:rPr>
          <w:highlight w:val="white"/>
        </w:rPr>
        <w:t xml:space="preserve"> Risk Analysis</w:t>
      </w:r>
    </w:p>
    <w:p w14:paraId="0AE51750" w14:textId="77777777" w:rsidR="00124A30" w:rsidRDefault="00000000">
      <w:pPr>
        <w:jc w:val="both"/>
        <w:rPr>
          <w:highlight w:val="white"/>
        </w:rPr>
      </w:pPr>
      <w:r>
        <w:rPr>
          <w:highlight w:val="white"/>
        </w:rPr>
        <w:t xml:space="preserve">The following analysis </w:t>
      </w:r>
      <w:proofErr w:type="gramStart"/>
      <w:r>
        <w:rPr>
          <w:highlight w:val="white"/>
        </w:rPr>
        <w:t>takes into account</w:t>
      </w:r>
      <w:proofErr w:type="gramEnd"/>
      <w:r>
        <w:rPr>
          <w:highlight w:val="white"/>
        </w:rPr>
        <w:t xml:space="preserve"> the high risk that the project may pose to the rights and freedoms of data subjects. For each risk, the probability of occurrence and impact if the occurrence </w:t>
      </w:r>
      <w:proofErr w:type="spellStart"/>
      <w:r>
        <w:rPr>
          <w:highlight w:val="white"/>
        </w:rPr>
        <w:t>materialises</w:t>
      </w:r>
      <w:proofErr w:type="spellEnd"/>
      <w:r>
        <w:rPr>
          <w:highlight w:val="white"/>
        </w:rPr>
        <w:t xml:space="preserve"> are indicated, considering the following matrix:</w:t>
      </w:r>
    </w:p>
    <w:tbl>
      <w:tblPr>
        <w:tblStyle w:val="a6"/>
        <w:tblW w:w="10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135"/>
        <w:gridCol w:w="5190"/>
      </w:tblGrid>
      <w:tr w:rsidR="00124A30" w14:paraId="6A674B1A" w14:textId="77777777">
        <w:trPr>
          <w:trHeight w:val="495"/>
        </w:trPr>
        <w:tc>
          <w:tcPr>
            <w:tcW w:w="1860" w:type="dxa"/>
            <w:tcBorders>
              <w:top w:val="single" w:sz="5" w:space="0" w:color="000000"/>
              <w:left w:val="nil"/>
              <w:bottom w:val="single" w:sz="5" w:space="0" w:color="000000"/>
              <w:right w:val="nil"/>
            </w:tcBorders>
            <w:tcMar>
              <w:top w:w="100" w:type="dxa"/>
              <w:left w:w="100" w:type="dxa"/>
              <w:bottom w:w="100" w:type="dxa"/>
              <w:right w:w="100" w:type="dxa"/>
            </w:tcMar>
          </w:tcPr>
          <w:p w14:paraId="11BC07B8" w14:textId="77777777" w:rsidR="00124A30" w:rsidRDefault="00000000">
            <w:pPr>
              <w:spacing w:after="0" w:line="276" w:lineRule="auto"/>
              <w:jc w:val="both"/>
              <w:rPr>
                <w:b/>
              </w:rPr>
            </w:pPr>
            <w:r>
              <w:rPr>
                <w:b/>
              </w:rPr>
              <w:t>Degree</w:t>
            </w:r>
          </w:p>
        </w:tc>
        <w:tc>
          <w:tcPr>
            <w:tcW w:w="3135" w:type="dxa"/>
            <w:tcBorders>
              <w:top w:val="single" w:sz="5" w:space="0" w:color="000000"/>
              <w:left w:val="nil"/>
              <w:bottom w:val="single" w:sz="5" w:space="0" w:color="000000"/>
              <w:right w:val="nil"/>
            </w:tcBorders>
            <w:tcMar>
              <w:top w:w="100" w:type="dxa"/>
              <w:left w:w="100" w:type="dxa"/>
              <w:bottom w:w="100" w:type="dxa"/>
              <w:right w:w="100" w:type="dxa"/>
            </w:tcMar>
          </w:tcPr>
          <w:p w14:paraId="7580E566" w14:textId="77777777" w:rsidR="00124A30" w:rsidRDefault="00000000">
            <w:pPr>
              <w:spacing w:after="0" w:line="276" w:lineRule="auto"/>
              <w:jc w:val="both"/>
              <w:rPr>
                <w:b/>
              </w:rPr>
            </w:pPr>
            <w:r>
              <w:rPr>
                <w:b/>
              </w:rPr>
              <w:t>Probability</w:t>
            </w:r>
          </w:p>
        </w:tc>
        <w:tc>
          <w:tcPr>
            <w:tcW w:w="5190" w:type="dxa"/>
            <w:tcBorders>
              <w:top w:val="single" w:sz="5" w:space="0" w:color="000000"/>
              <w:left w:val="nil"/>
              <w:bottom w:val="single" w:sz="5" w:space="0" w:color="000000"/>
              <w:right w:val="nil"/>
            </w:tcBorders>
            <w:tcMar>
              <w:top w:w="100" w:type="dxa"/>
              <w:left w:w="100" w:type="dxa"/>
              <w:bottom w:w="100" w:type="dxa"/>
              <w:right w:w="100" w:type="dxa"/>
            </w:tcMar>
          </w:tcPr>
          <w:p w14:paraId="6CED65CD" w14:textId="77777777" w:rsidR="00124A30" w:rsidRDefault="00000000">
            <w:pPr>
              <w:spacing w:after="0" w:line="276" w:lineRule="auto"/>
              <w:jc w:val="both"/>
              <w:rPr>
                <w:b/>
              </w:rPr>
            </w:pPr>
            <w:r>
              <w:rPr>
                <w:b/>
              </w:rPr>
              <w:t>Impact</w:t>
            </w:r>
          </w:p>
        </w:tc>
      </w:tr>
      <w:tr w:rsidR="00124A30" w14:paraId="77FDEE06" w14:textId="77777777">
        <w:trPr>
          <w:trHeight w:val="1845"/>
        </w:trPr>
        <w:tc>
          <w:tcPr>
            <w:tcW w:w="1860" w:type="dxa"/>
            <w:tcBorders>
              <w:top w:val="nil"/>
              <w:left w:val="nil"/>
              <w:bottom w:val="single" w:sz="5" w:space="0" w:color="000000"/>
              <w:right w:val="nil"/>
            </w:tcBorders>
            <w:shd w:val="clear" w:color="auto" w:fill="D9F2D0"/>
            <w:tcMar>
              <w:top w:w="100" w:type="dxa"/>
              <w:left w:w="100" w:type="dxa"/>
              <w:bottom w:w="100" w:type="dxa"/>
              <w:right w:w="100" w:type="dxa"/>
            </w:tcMar>
          </w:tcPr>
          <w:p w14:paraId="17B9185D" w14:textId="77777777" w:rsidR="00124A30" w:rsidRDefault="00000000">
            <w:pPr>
              <w:spacing w:after="0" w:line="276" w:lineRule="auto"/>
            </w:pPr>
            <w:r>
              <w:t>Negligible</w:t>
            </w:r>
          </w:p>
        </w:tc>
        <w:tc>
          <w:tcPr>
            <w:tcW w:w="3135" w:type="dxa"/>
            <w:tcBorders>
              <w:top w:val="nil"/>
              <w:left w:val="nil"/>
              <w:bottom w:val="single" w:sz="5" w:space="0" w:color="000000"/>
              <w:right w:val="nil"/>
            </w:tcBorders>
            <w:shd w:val="clear" w:color="auto" w:fill="D9F2D0"/>
            <w:tcMar>
              <w:top w:w="100" w:type="dxa"/>
              <w:left w:w="100" w:type="dxa"/>
              <w:bottom w:w="100" w:type="dxa"/>
              <w:right w:w="100" w:type="dxa"/>
            </w:tcMar>
          </w:tcPr>
          <w:p w14:paraId="32E85B30" w14:textId="77777777" w:rsidR="00124A30" w:rsidRDefault="00000000">
            <w:pPr>
              <w:spacing w:after="0" w:line="276" w:lineRule="auto"/>
            </w:pPr>
            <w:r>
              <w:t>Very low probability of occurrence (e.g., an event that may occur fortuitously, by accident).</w:t>
            </w:r>
          </w:p>
        </w:tc>
        <w:tc>
          <w:tcPr>
            <w:tcW w:w="5190" w:type="dxa"/>
            <w:tcBorders>
              <w:top w:val="nil"/>
              <w:left w:val="nil"/>
              <w:bottom w:val="single" w:sz="5" w:space="0" w:color="000000"/>
              <w:right w:val="nil"/>
            </w:tcBorders>
            <w:shd w:val="clear" w:color="auto" w:fill="D9F2D0"/>
            <w:tcMar>
              <w:top w:w="100" w:type="dxa"/>
              <w:left w:w="100" w:type="dxa"/>
              <w:bottom w:w="100" w:type="dxa"/>
              <w:right w:w="100" w:type="dxa"/>
            </w:tcMar>
          </w:tcPr>
          <w:p w14:paraId="16FF0B25" w14:textId="77777777" w:rsidR="00124A30" w:rsidRDefault="00000000">
            <w:pPr>
              <w:spacing w:after="0" w:line="276" w:lineRule="auto"/>
            </w:pPr>
            <w:r>
              <w:t>Presents a very low/irrelevant impact on data subjects.</w:t>
            </w:r>
          </w:p>
          <w:p w14:paraId="515B4197" w14:textId="77777777" w:rsidR="00124A30" w:rsidRDefault="00000000">
            <w:pPr>
              <w:spacing w:after="0" w:line="276" w:lineRule="auto"/>
            </w:pPr>
            <w:r>
              <w:t>The rights and freedoms of the data subject are not at stake.</w:t>
            </w:r>
          </w:p>
          <w:p w14:paraId="34F00BB5" w14:textId="77777777" w:rsidR="00124A30" w:rsidRDefault="00000000">
            <w:pPr>
              <w:spacing w:after="0" w:line="276" w:lineRule="auto"/>
            </w:pPr>
            <w:r>
              <w:t>Non-existent physical, material or moral damages.</w:t>
            </w:r>
          </w:p>
        </w:tc>
      </w:tr>
      <w:tr w:rsidR="00124A30" w14:paraId="13468AAF" w14:textId="77777777">
        <w:trPr>
          <w:trHeight w:val="2400"/>
        </w:trPr>
        <w:tc>
          <w:tcPr>
            <w:tcW w:w="1860" w:type="dxa"/>
            <w:tcBorders>
              <w:top w:val="nil"/>
              <w:left w:val="nil"/>
              <w:bottom w:val="single" w:sz="5" w:space="0" w:color="000000"/>
              <w:right w:val="nil"/>
            </w:tcBorders>
            <w:shd w:val="clear" w:color="auto" w:fill="FEFDC5"/>
            <w:tcMar>
              <w:top w:w="100" w:type="dxa"/>
              <w:left w:w="100" w:type="dxa"/>
              <w:bottom w:w="100" w:type="dxa"/>
              <w:right w:w="100" w:type="dxa"/>
            </w:tcMar>
          </w:tcPr>
          <w:p w14:paraId="63A16320" w14:textId="77777777" w:rsidR="00124A30" w:rsidRDefault="00000000">
            <w:pPr>
              <w:spacing w:after="0" w:line="276" w:lineRule="auto"/>
            </w:pPr>
            <w:r>
              <w:t>Limited</w:t>
            </w:r>
          </w:p>
        </w:tc>
        <w:tc>
          <w:tcPr>
            <w:tcW w:w="3135" w:type="dxa"/>
            <w:tcBorders>
              <w:top w:val="nil"/>
              <w:left w:val="nil"/>
              <w:bottom w:val="single" w:sz="5" w:space="0" w:color="000000"/>
              <w:right w:val="nil"/>
            </w:tcBorders>
            <w:shd w:val="clear" w:color="auto" w:fill="FEFDC5"/>
            <w:tcMar>
              <w:top w:w="100" w:type="dxa"/>
              <w:left w:w="100" w:type="dxa"/>
              <w:bottom w:w="100" w:type="dxa"/>
              <w:right w:w="100" w:type="dxa"/>
            </w:tcMar>
          </w:tcPr>
          <w:p w14:paraId="4164A1B6" w14:textId="77777777" w:rsidR="00124A30" w:rsidRDefault="00000000">
            <w:pPr>
              <w:spacing w:after="0" w:line="276" w:lineRule="auto"/>
            </w:pPr>
            <w:r>
              <w:t>Low probability of occurrence (e.g., an event that may occur occasionally).</w:t>
            </w:r>
          </w:p>
        </w:tc>
        <w:tc>
          <w:tcPr>
            <w:tcW w:w="5190" w:type="dxa"/>
            <w:tcBorders>
              <w:top w:val="nil"/>
              <w:left w:val="nil"/>
              <w:bottom w:val="single" w:sz="5" w:space="0" w:color="000000"/>
              <w:right w:val="nil"/>
            </w:tcBorders>
            <w:shd w:val="clear" w:color="auto" w:fill="FEFDC5"/>
            <w:tcMar>
              <w:top w:w="100" w:type="dxa"/>
              <w:left w:w="100" w:type="dxa"/>
              <w:bottom w:w="100" w:type="dxa"/>
              <w:right w:w="100" w:type="dxa"/>
            </w:tcMar>
          </w:tcPr>
          <w:p w14:paraId="4C9C89D9" w14:textId="77777777" w:rsidR="00124A30" w:rsidRDefault="00000000">
            <w:pPr>
              <w:spacing w:after="0" w:line="276" w:lineRule="auto"/>
            </w:pPr>
            <w:r>
              <w:t xml:space="preserve">May represent a minor impact on data </w:t>
            </w:r>
            <w:proofErr w:type="gramStart"/>
            <w:r>
              <w:t>subjects, but</w:t>
            </w:r>
            <w:proofErr w:type="gramEnd"/>
            <w:r>
              <w:t xml:space="preserve"> does not affect them significantly.</w:t>
            </w:r>
          </w:p>
          <w:p w14:paraId="2C6135A8" w14:textId="77777777" w:rsidR="00124A30" w:rsidRDefault="00000000">
            <w:pPr>
              <w:spacing w:after="0" w:line="276" w:lineRule="auto"/>
            </w:pPr>
            <w:r>
              <w:t>Non-significant damage to the rights and freedoms of data subjects.</w:t>
            </w:r>
          </w:p>
          <w:p w14:paraId="2854301F" w14:textId="77777777" w:rsidR="00124A30" w:rsidRDefault="00000000">
            <w:pPr>
              <w:spacing w:after="0" w:line="276" w:lineRule="auto"/>
            </w:pPr>
            <w:r>
              <w:t>Minor physical, material damages.</w:t>
            </w:r>
          </w:p>
          <w:p w14:paraId="40C6D0AE" w14:textId="77777777" w:rsidR="00124A30" w:rsidRDefault="00000000">
            <w:pPr>
              <w:spacing w:after="0" w:line="276" w:lineRule="auto"/>
            </w:pPr>
            <w:r>
              <w:t>Small mentions in the media.</w:t>
            </w:r>
          </w:p>
          <w:p w14:paraId="26407EA0" w14:textId="77777777" w:rsidR="00124A30" w:rsidRDefault="00000000">
            <w:pPr>
              <w:spacing w:after="0" w:line="276" w:lineRule="auto"/>
            </w:pPr>
            <w:r>
              <w:t>Minor fines.</w:t>
            </w:r>
          </w:p>
        </w:tc>
      </w:tr>
      <w:tr w:rsidR="00124A30" w14:paraId="2531E202" w14:textId="77777777">
        <w:trPr>
          <w:trHeight w:val="2730"/>
        </w:trPr>
        <w:tc>
          <w:tcPr>
            <w:tcW w:w="1860" w:type="dxa"/>
            <w:tcBorders>
              <w:top w:val="nil"/>
              <w:left w:val="nil"/>
              <w:bottom w:val="single" w:sz="5" w:space="0" w:color="000000"/>
              <w:right w:val="nil"/>
            </w:tcBorders>
            <w:shd w:val="clear" w:color="auto" w:fill="F6C5AC"/>
            <w:tcMar>
              <w:top w:w="100" w:type="dxa"/>
              <w:left w:w="100" w:type="dxa"/>
              <w:bottom w:w="100" w:type="dxa"/>
              <w:right w:w="100" w:type="dxa"/>
            </w:tcMar>
          </w:tcPr>
          <w:p w14:paraId="144304CA" w14:textId="77777777" w:rsidR="00124A30" w:rsidRDefault="00000000">
            <w:pPr>
              <w:spacing w:after="0" w:line="276" w:lineRule="auto"/>
            </w:pPr>
            <w:r>
              <w:t>Marked</w:t>
            </w:r>
          </w:p>
        </w:tc>
        <w:tc>
          <w:tcPr>
            <w:tcW w:w="3135" w:type="dxa"/>
            <w:tcBorders>
              <w:top w:val="nil"/>
              <w:left w:val="nil"/>
              <w:bottom w:val="single" w:sz="5" w:space="0" w:color="000000"/>
              <w:right w:val="nil"/>
            </w:tcBorders>
            <w:shd w:val="clear" w:color="auto" w:fill="F6C5AC"/>
            <w:tcMar>
              <w:top w:w="100" w:type="dxa"/>
              <w:left w:w="100" w:type="dxa"/>
              <w:bottom w:w="100" w:type="dxa"/>
              <w:right w:w="100" w:type="dxa"/>
            </w:tcMar>
          </w:tcPr>
          <w:p w14:paraId="6A1B691C" w14:textId="77777777" w:rsidR="00124A30" w:rsidRDefault="00000000">
            <w:pPr>
              <w:spacing w:after="0" w:line="276" w:lineRule="auto"/>
            </w:pPr>
            <w:r>
              <w:t>High probability of occurrence (e.g., an event that may occur frequently).</w:t>
            </w:r>
          </w:p>
        </w:tc>
        <w:tc>
          <w:tcPr>
            <w:tcW w:w="5190" w:type="dxa"/>
            <w:tcBorders>
              <w:top w:val="nil"/>
              <w:left w:val="nil"/>
              <w:bottom w:val="single" w:sz="5" w:space="0" w:color="000000"/>
              <w:right w:val="nil"/>
            </w:tcBorders>
            <w:shd w:val="clear" w:color="auto" w:fill="F6C5AC"/>
            <w:tcMar>
              <w:top w:w="100" w:type="dxa"/>
              <w:left w:w="100" w:type="dxa"/>
              <w:bottom w:w="100" w:type="dxa"/>
              <w:right w:w="100" w:type="dxa"/>
            </w:tcMar>
          </w:tcPr>
          <w:p w14:paraId="389C4C10" w14:textId="77777777" w:rsidR="00124A30" w:rsidRDefault="00000000">
            <w:pPr>
              <w:spacing w:after="0" w:line="276" w:lineRule="auto"/>
            </w:pPr>
            <w:r>
              <w:t>Represents a serious impact on data subjects.</w:t>
            </w:r>
          </w:p>
          <w:p w14:paraId="5F1EC313" w14:textId="77777777" w:rsidR="00124A30" w:rsidRDefault="00000000">
            <w:pPr>
              <w:spacing w:after="0" w:line="276" w:lineRule="auto"/>
            </w:pPr>
            <w:r>
              <w:t>Significant damage to the rights and freedoms of data subjects.</w:t>
            </w:r>
          </w:p>
          <w:p w14:paraId="3A2E91C2" w14:textId="77777777" w:rsidR="00124A30" w:rsidRDefault="00000000">
            <w:pPr>
              <w:spacing w:after="0" w:line="276" w:lineRule="auto"/>
            </w:pPr>
            <w:r>
              <w:t>Serious damages, e.g., misappropriation of resources, loss of employment, relevant economic losses.</w:t>
            </w:r>
          </w:p>
          <w:p w14:paraId="279AA1DC" w14:textId="77777777" w:rsidR="00124A30" w:rsidRDefault="00000000">
            <w:pPr>
              <w:spacing w:after="0" w:line="276" w:lineRule="auto"/>
            </w:pPr>
            <w:r>
              <w:t>Extreme exposure in the media.</w:t>
            </w:r>
          </w:p>
          <w:p w14:paraId="72403B5A" w14:textId="77777777" w:rsidR="00124A30" w:rsidRDefault="00000000">
            <w:pPr>
              <w:spacing w:after="0" w:line="276" w:lineRule="auto"/>
            </w:pPr>
            <w:r>
              <w:t>Significant fines.</w:t>
            </w:r>
          </w:p>
        </w:tc>
      </w:tr>
    </w:tbl>
    <w:p w14:paraId="05B83960" w14:textId="77777777" w:rsidR="00124A30" w:rsidRDefault="00000000">
      <w:pPr>
        <w:pStyle w:val="Heading2"/>
        <w:pBdr>
          <w:top w:val="nil"/>
          <w:left w:val="nil"/>
          <w:bottom w:val="nil"/>
          <w:right w:val="nil"/>
          <w:between w:val="nil"/>
        </w:pBdr>
        <w:ind w:left="1440"/>
        <w:rPr>
          <w:highlight w:val="white"/>
        </w:rPr>
      </w:pPr>
      <w:bookmarkStart w:id="44" w:name="_rttf7qlb0c7y" w:colFirst="0" w:colLast="0"/>
      <w:bookmarkEnd w:id="44"/>
      <w:r>
        <w:br w:type="page"/>
      </w:r>
    </w:p>
    <w:p w14:paraId="077DD8C4"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45" w:name="_l3ggq5597fhw" w:colFirst="0" w:colLast="0"/>
      <w:bookmarkEnd w:id="45"/>
      <w:r>
        <w:rPr>
          <w:highlight w:val="white"/>
        </w:rPr>
        <w:lastRenderedPageBreak/>
        <w:t xml:space="preserve"> Unlawful access to data</w:t>
      </w:r>
    </w:p>
    <w:tbl>
      <w:tblPr>
        <w:tblStyle w:val="a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6210"/>
      </w:tblGrid>
      <w:tr w:rsidR="00124A30" w14:paraId="640A98A7" w14:textId="77777777">
        <w:trPr>
          <w:trHeight w:val="780"/>
        </w:trPr>
        <w:tc>
          <w:tcPr>
            <w:tcW w:w="2700" w:type="dxa"/>
            <w:tcBorders>
              <w:top w:val="single" w:sz="5" w:space="0" w:color="000000"/>
              <w:left w:val="nil"/>
              <w:bottom w:val="single" w:sz="5" w:space="0" w:color="000000"/>
              <w:right w:val="nil"/>
            </w:tcBorders>
            <w:tcMar>
              <w:top w:w="100" w:type="dxa"/>
              <w:left w:w="100" w:type="dxa"/>
              <w:bottom w:w="100" w:type="dxa"/>
              <w:right w:w="100" w:type="dxa"/>
            </w:tcMar>
          </w:tcPr>
          <w:p w14:paraId="01F19639" w14:textId="77777777" w:rsidR="00124A30" w:rsidRDefault="00000000">
            <w:pPr>
              <w:spacing w:after="0"/>
              <w:rPr>
                <w:b/>
              </w:rPr>
            </w:pPr>
            <w:r>
              <w:rPr>
                <w:b/>
              </w:rPr>
              <w:t>Unlawful access to data</w:t>
            </w:r>
          </w:p>
        </w:tc>
        <w:tc>
          <w:tcPr>
            <w:tcW w:w="6210" w:type="dxa"/>
            <w:tcBorders>
              <w:top w:val="single" w:sz="5" w:space="0" w:color="000000"/>
              <w:left w:val="nil"/>
              <w:bottom w:val="single" w:sz="5" w:space="0" w:color="000000"/>
              <w:right w:val="nil"/>
            </w:tcBorders>
            <w:tcMar>
              <w:top w:w="100" w:type="dxa"/>
              <w:left w:w="100" w:type="dxa"/>
              <w:bottom w:w="100" w:type="dxa"/>
              <w:right w:w="100" w:type="dxa"/>
            </w:tcMar>
          </w:tcPr>
          <w:p w14:paraId="2C1CB2F8" w14:textId="77777777" w:rsidR="00124A30" w:rsidRDefault="00000000">
            <w:pPr>
              <w:spacing w:after="0"/>
              <w:jc w:val="both"/>
              <w:rPr>
                <w:b/>
              </w:rPr>
            </w:pPr>
            <w:r>
              <w:rPr>
                <w:b/>
              </w:rPr>
              <w:t>Response</w:t>
            </w:r>
          </w:p>
        </w:tc>
      </w:tr>
      <w:tr w:rsidR="00124A30" w14:paraId="480A5C1E" w14:textId="77777777">
        <w:trPr>
          <w:trHeight w:val="1935"/>
        </w:trPr>
        <w:tc>
          <w:tcPr>
            <w:tcW w:w="2700" w:type="dxa"/>
            <w:tcBorders>
              <w:top w:val="nil"/>
              <w:left w:val="nil"/>
              <w:bottom w:val="single" w:sz="5" w:space="0" w:color="000000"/>
              <w:right w:val="nil"/>
            </w:tcBorders>
            <w:tcMar>
              <w:top w:w="100" w:type="dxa"/>
              <w:left w:w="100" w:type="dxa"/>
              <w:bottom w:w="100" w:type="dxa"/>
              <w:right w:w="100" w:type="dxa"/>
            </w:tcMar>
          </w:tcPr>
          <w:p w14:paraId="058F373B" w14:textId="77777777" w:rsidR="00124A30" w:rsidRDefault="00000000">
            <w:pPr>
              <w:spacing w:after="0"/>
            </w:pPr>
            <w:r>
              <w:t>In the event of unlawful access to data, what are the impacts on data subjects?</w:t>
            </w:r>
          </w:p>
        </w:tc>
        <w:tc>
          <w:tcPr>
            <w:tcW w:w="6210" w:type="dxa"/>
            <w:tcBorders>
              <w:top w:val="nil"/>
              <w:left w:val="nil"/>
              <w:bottom w:val="single" w:sz="5" w:space="0" w:color="000000"/>
              <w:right w:val="nil"/>
            </w:tcBorders>
            <w:tcMar>
              <w:top w:w="100" w:type="dxa"/>
              <w:left w:w="100" w:type="dxa"/>
              <w:bottom w:w="100" w:type="dxa"/>
              <w:right w:w="100" w:type="dxa"/>
            </w:tcMar>
          </w:tcPr>
          <w:p w14:paraId="62468FDF" w14:textId="77777777" w:rsidR="00124A30" w:rsidRDefault="00000000">
            <w:pPr>
              <w:spacing w:after="0"/>
              <w:jc w:val="both"/>
            </w:pPr>
            <w:r>
              <w:t xml:space="preserve">In the event of unlawful access to personal data, at rest in the asynchronous data copy and in other components of the Institution's local infrastructure, there is a risk of identification of individuals, which may affect the data subjects' right to their privacy and protection of health data (diagnoses, health history, </w:t>
            </w:r>
            <w:proofErr w:type="spellStart"/>
            <w:r>
              <w:t>etc</w:t>
            </w:r>
            <w:proofErr w:type="spellEnd"/>
            <w:r>
              <w:t>).</w:t>
            </w:r>
          </w:p>
        </w:tc>
      </w:tr>
      <w:tr w:rsidR="00124A30" w14:paraId="4158408B" w14:textId="77777777">
        <w:trPr>
          <w:trHeight w:val="2940"/>
        </w:trPr>
        <w:tc>
          <w:tcPr>
            <w:tcW w:w="2700" w:type="dxa"/>
            <w:tcBorders>
              <w:top w:val="nil"/>
              <w:left w:val="nil"/>
              <w:bottom w:val="single" w:sz="5" w:space="0" w:color="000000"/>
              <w:right w:val="nil"/>
            </w:tcBorders>
            <w:tcMar>
              <w:top w:w="100" w:type="dxa"/>
              <w:left w:w="100" w:type="dxa"/>
              <w:bottom w:w="100" w:type="dxa"/>
              <w:right w:w="100" w:type="dxa"/>
            </w:tcMar>
          </w:tcPr>
          <w:p w14:paraId="507CB946" w14:textId="77777777" w:rsidR="00124A30" w:rsidRDefault="00000000">
            <w:pPr>
              <w:spacing w:after="0"/>
            </w:pPr>
            <w:r>
              <w:t>What are the main threats that could lead to the occurrence of the risk of unlawful access?</w:t>
            </w:r>
          </w:p>
        </w:tc>
        <w:tc>
          <w:tcPr>
            <w:tcW w:w="6210" w:type="dxa"/>
            <w:tcBorders>
              <w:top w:val="nil"/>
              <w:left w:val="nil"/>
              <w:bottom w:val="single" w:sz="5" w:space="0" w:color="000000"/>
              <w:right w:val="nil"/>
            </w:tcBorders>
            <w:tcMar>
              <w:top w:w="100" w:type="dxa"/>
              <w:left w:w="100" w:type="dxa"/>
              <w:bottom w:w="100" w:type="dxa"/>
              <w:right w:w="100" w:type="dxa"/>
            </w:tcMar>
          </w:tcPr>
          <w:p w14:paraId="5BDC8C1E" w14:textId="77777777" w:rsidR="00124A30" w:rsidRDefault="00000000">
            <w:pPr>
              <w:spacing w:after="200"/>
              <w:jc w:val="both"/>
            </w:pPr>
            <w:r>
              <w:t>Misappropriation of equipment (physical disks/servers) housing the asynchronous data copy.</w:t>
            </w:r>
          </w:p>
          <w:p w14:paraId="36F844FF" w14:textId="77777777" w:rsidR="00124A30" w:rsidRDefault="00000000">
            <w:pPr>
              <w:spacing w:after="200"/>
              <w:jc w:val="both"/>
            </w:pPr>
            <w:proofErr w:type="spellStart"/>
            <w:r>
              <w:t>Unauthorised</w:t>
            </w:r>
            <w:proofErr w:type="spellEnd"/>
            <w:r>
              <w:t xml:space="preserve"> access due to successful cyber-attacks.</w:t>
            </w:r>
          </w:p>
          <w:p w14:paraId="6D7BCC44" w14:textId="77777777" w:rsidR="00124A30" w:rsidRDefault="00000000">
            <w:pPr>
              <w:pBdr>
                <w:top w:val="nil"/>
                <w:left w:val="nil"/>
                <w:bottom w:val="nil"/>
                <w:right w:val="nil"/>
                <w:between w:val="nil"/>
              </w:pBdr>
              <w:spacing w:after="0"/>
              <w:jc w:val="both"/>
            </w:pPr>
            <w:r>
              <w:t>Vulnerabilities in the software used in the Institution's local infrastructure, such as inadequate configurations and security flaws.</w:t>
            </w:r>
          </w:p>
        </w:tc>
      </w:tr>
      <w:tr w:rsidR="00124A30" w14:paraId="1250005F" w14:textId="77777777">
        <w:trPr>
          <w:trHeight w:val="1695"/>
        </w:trPr>
        <w:tc>
          <w:tcPr>
            <w:tcW w:w="2700" w:type="dxa"/>
            <w:tcBorders>
              <w:top w:val="nil"/>
              <w:left w:val="nil"/>
              <w:bottom w:val="single" w:sz="5" w:space="0" w:color="000000"/>
              <w:right w:val="nil"/>
            </w:tcBorders>
            <w:tcMar>
              <w:top w:w="100" w:type="dxa"/>
              <w:left w:w="100" w:type="dxa"/>
              <w:bottom w:w="100" w:type="dxa"/>
              <w:right w:w="100" w:type="dxa"/>
            </w:tcMar>
          </w:tcPr>
          <w:p w14:paraId="71B0E770" w14:textId="77777777" w:rsidR="00124A30" w:rsidRDefault="00000000">
            <w:pPr>
              <w:spacing w:after="0"/>
            </w:pPr>
            <w:r>
              <w:t>What are the sources of risk?</w:t>
            </w:r>
          </w:p>
        </w:tc>
        <w:tc>
          <w:tcPr>
            <w:tcW w:w="6210" w:type="dxa"/>
            <w:tcBorders>
              <w:top w:val="nil"/>
              <w:left w:val="nil"/>
              <w:bottom w:val="single" w:sz="5" w:space="0" w:color="000000"/>
              <w:right w:val="nil"/>
            </w:tcBorders>
            <w:tcMar>
              <w:top w:w="100" w:type="dxa"/>
              <w:left w:w="100" w:type="dxa"/>
              <w:bottom w:w="100" w:type="dxa"/>
              <w:right w:w="100" w:type="dxa"/>
            </w:tcMar>
          </w:tcPr>
          <w:p w14:paraId="2AABB6D0" w14:textId="77777777" w:rsidR="00124A30" w:rsidRDefault="00000000">
            <w:pPr>
              <w:spacing w:after="200"/>
              <w:jc w:val="both"/>
            </w:pPr>
            <w:r>
              <w:t xml:space="preserve">The sources of risk in accessing the asynchronous data copy and the personal data it integrates are very </w:t>
            </w:r>
            <w:proofErr w:type="gramStart"/>
            <w:r>
              <w:t>restricted, and</w:t>
            </w:r>
            <w:proofErr w:type="gramEnd"/>
            <w:r>
              <w:t xml:space="preserve"> may originate from the IT Systems Administrator; IT professionals; Hacking; and Ransomware. </w:t>
            </w:r>
          </w:p>
          <w:p w14:paraId="18911E9C" w14:textId="77777777" w:rsidR="00124A30" w:rsidRDefault="00000000">
            <w:pPr>
              <w:pBdr>
                <w:top w:val="nil"/>
                <w:left w:val="nil"/>
                <w:bottom w:val="nil"/>
                <w:right w:val="nil"/>
                <w:between w:val="nil"/>
              </w:pBdr>
              <w:spacing w:after="0"/>
              <w:jc w:val="both"/>
            </w:pPr>
            <w:r>
              <w:t>Researchers do not constitute sources of risk since at no time (either in the development or execution of the Study Package) do they have access to the asynchronous data copy stored on the Institution's local infrastructure, nor to the personal data it integrates.</w:t>
            </w:r>
          </w:p>
        </w:tc>
      </w:tr>
      <w:tr w:rsidR="00124A30" w14:paraId="3018D1EF" w14:textId="77777777">
        <w:trPr>
          <w:trHeight w:val="5565"/>
        </w:trPr>
        <w:tc>
          <w:tcPr>
            <w:tcW w:w="2700" w:type="dxa"/>
            <w:tcBorders>
              <w:top w:val="nil"/>
              <w:left w:val="nil"/>
              <w:bottom w:val="single" w:sz="5" w:space="0" w:color="000000"/>
              <w:right w:val="nil"/>
            </w:tcBorders>
            <w:tcMar>
              <w:top w:w="100" w:type="dxa"/>
              <w:left w:w="100" w:type="dxa"/>
              <w:bottom w:w="100" w:type="dxa"/>
              <w:right w:w="100" w:type="dxa"/>
            </w:tcMar>
          </w:tcPr>
          <w:p w14:paraId="222AEABF" w14:textId="77777777" w:rsidR="00124A30" w:rsidRDefault="00000000">
            <w:pPr>
              <w:spacing w:after="0"/>
            </w:pPr>
            <w:r>
              <w:lastRenderedPageBreak/>
              <w:t>What controls and measures will be used to address the risk?</w:t>
            </w:r>
          </w:p>
        </w:tc>
        <w:tc>
          <w:tcPr>
            <w:tcW w:w="6210" w:type="dxa"/>
            <w:tcBorders>
              <w:top w:val="nil"/>
              <w:left w:val="nil"/>
              <w:bottom w:val="single" w:sz="5" w:space="0" w:color="000000"/>
              <w:right w:val="nil"/>
            </w:tcBorders>
            <w:tcMar>
              <w:top w:w="100" w:type="dxa"/>
              <w:left w:w="100" w:type="dxa"/>
              <w:bottom w:w="100" w:type="dxa"/>
              <w:right w:w="100" w:type="dxa"/>
            </w:tcMar>
          </w:tcPr>
          <w:p w14:paraId="637C57A2" w14:textId="77777777" w:rsidR="00124A30" w:rsidRDefault="00000000">
            <w:pPr>
              <w:spacing w:after="200"/>
              <w:jc w:val="both"/>
              <w:rPr>
                <w:highlight w:val="white"/>
              </w:rPr>
            </w:pPr>
            <w:r>
              <w:rPr>
                <w:highlight w:val="white"/>
              </w:rPr>
              <w:t xml:space="preserve">To ensure security and compliance with Article 32 of the GDPR, the implementation of the following technical and </w:t>
            </w:r>
            <w:proofErr w:type="spellStart"/>
            <w:r>
              <w:rPr>
                <w:highlight w:val="white"/>
              </w:rPr>
              <w:t>organisational</w:t>
            </w:r>
            <w:proofErr w:type="spellEnd"/>
            <w:r>
              <w:rPr>
                <w:highlight w:val="white"/>
              </w:rPr>
              <w:t xml:space="preserve"> measures is suggested:</w:t>
            </w:r>
          </w:p>
          <w:p w14:paraId="343ACF2C" w14:textId="77777777" w:rsidR="00124A30" w:rsidRDefault="00000000">
            <w:pPr>
              <w:spacing w:after="200"/>
              <w:jc w:val="both"/>
              <w:rPr>
                <w:highlight w:val="white"/>
              </w:rPr>
            </w:pPr>
            <w:r>
              <w:rPr>
                <w:b/>
                <w:highlight w:val="white"/>
              </w:rPr>
              <w:t xml:space="preserve">1.Equivalence of Protection: </w:t>
            </w:r>
            <w:r>
              <w:rPr>
                <w:highlight w:val="white"/>
              </w:rPr>
              <w:t>The asynchronous data copy must be protected with the same level of security applied to the original data, in accordance with the Institution's data storage and processing policy.</w:t>
            </w:r>
          </w:p>
          <w:p w14:paraId="4F2AA559" w14:textId="77777777" w:rsidR="00124A30" w:rsidRDefault="00000000">
            <w:pPr>
              <w:spacing w:after="200"/>
              <w:jc w:val="both"/>
              <w:rPr>
                <w:highlight w:val="white"/>
              </w:rPr>
            </w:pPr>
            <w:r>
              <w:rPr>
                <w:b/>
                <w:highlight w:val="white"/>
              </w:rPr>
              <w:t xml:space="preserve">2.Regular Audits: </w:t>
            </w:r>
            <w:r>
              <w:rPr>
                <w:highlight w:val="white"/>
              </w:rPr>
              <w:t>The Institution's local infrastructure must be subject to regular audits, conducted by an independent external team, following best cybersecurity practices, such as the ISO/IEC 27001 standard.</w:t>
            </w:r>
          </w:p>
          <w:p w14:paraId="3216236C" w14:textId="77777777" w:rsidR="00124A30" w:rsidRDefault="00000000">
            <w:pPr>
              <w:pBdr>
                <w:top w:val="nil"/>
                <w:left w:val="nil"/>
                <w:bottom w:val="nil"/>
                <w:right w:val="nil"/>
                <w:between w:val="nil"/>
              </w:pBdr>
              <w:spacing w:after="0"/>
              <w:jc w:val="both"/>
              <w:rPr>
                <w:highlight w:val="white"/>
              </w:rPr>
            </w:pPr>
            <w:r>
              <w:rPr>
                <w:b/>
                <w:highlight w:val="white"/>
              </w:rPr>
              <w:t>3.Penetration Testing and Security Audits:</w:t>
            </w:r>
            <w:r>
              <w:rPr>
                <w:highlight w:val="white"/>
              </w:rPr>
              <w:t xml:space="preserve"> Penetration testing and security audits should be carried out regularly (for example, quarterly). These tests include:</w:t>
            </w:r>
          </w:p>
          <w:p w14:paraId="1659A2C8" w14:textId="77777777" w:rsidR="00124A30" w:rsidRDefault="00000000">
            <w:pPr>
              <w:pBdr>
                <w:top w:val="nil"/>
                <w:left w:val="nil"/>
                <w:bottom w:val="nil"/>
                <w:right w:val="nil"/>
                <w:between w:val="nil"/>
              </w:pBdr>
              <w:spacing w:after="0"/>
              <w:jc w:val="both"/>
              <w:rPr>
                <w:highlight w:val="white"/>
              </w:rPr>
            </w:pPr>
            <w:r>
              <w:rPr>
                <w:highlight w:val="white"/>
              </w:rPr>
              <w:t>-Simulations of cyber-attacks (ethical hacking</w:t>
            </w:r>
            <w:proofErr w:type="gramStart"/>
            <w:r>
              <w:rPr>
                <w:highlight w:val="white"/>
              </w:rPr>
              <w:t>);</w:t>
            </w:r>
            <w:proofErr w:type="gramEnd"/>
          </w:p>
          <w:p w14:paraId="07C67D25" w14:textId="77777777" w:rsidR="00124A30" w:rsidRDefault="00000000">
            <w:pPr>
              <w:pBdr>
                <w:top w:val="nil"/>
                <w:left w:val="nil"/>
                <w:bottom w:val="nil"/>
                <w:right w:val="nil"/>
                <w:between w:val="nil"/>
              </w:pBdr>
              <w:spacing w:after="0"/>
              <w:jc w:val="both"/>
              <w:rPr>
                <w:highlight w:val="white"/>
              </w:rPr>
            </w:pPr>
            <w:r>
              <w:rPr>
                <w:highlight w:val="white"/>
              </w:rPr>
              <w:t xml:space="preserve">-Verification of vulnerabilities and security </w:t>
            </w:r>
            <w:proofErr w:type="gramStart"/>
            <w:r>
              <w:rPr>
                <w:highlight w:val="white"/>
              </w:rPr>
              <w:t>configuration;</w:t>
            </w:r>
            <w:proofErr w:type="gramEnd"/>
          </w:p>
          <w:p w14:paraId="64BBA78A" w14:textId="77777777" w:rsidR="00124A30" w:rsidRDefault="00000000">
            <w:pPr>
              <w:pBdr>
                <w:top w:val="nil"/>
                <w:left w:val="nil"/>
                <w:bottom w:val="nil"/>
                <w:right w:val="nil"/>
                <w:between w:val="nil"/>
              </w:pBdr>
              <w:spacing w:after="0"/>
              <w:jc w:val="both"/>
              <w:rPr>
                <w:highlight w:val="white"/>
              </w:rPr>
            </w:pPr>
            <w:r>
              <w:rPr>
                <w:highlight w:val="white"/>
              </w:rPr>
              <w:t>-Analyses of compliance with institutional policies and data protection regulations.</w:t>
            </w:r>
          </w:p>
          <w:p w14:paraId="0E1754B1" w14:textId="77777777" w:rsidR="00124A30" w:rsidRDefault="00000000">
            <w:pPr>
              <w:pBdr>
                <w:top w:val="nil"/>
                <w:left w:val="nil"/>
                <w:bottom w:val="nil"/>
                <w:right w:val="nil"/>
                <w:between w:val="nil"/>
              </w:pBdr>
              <w:spacing w:after="0"/>
              <w:jc w:val="both"/>
            </w:pPr>
            <w:r>
              <w:rPr>
                <w:highlight w:val="white"/>
              </w:rPr>
              <w:t>The results must be documented and used to continuously strengthen security measures.</w:t>
            </w:r>
          </w:p>
        </w:tc>
      </w:tr>
      <w:tr w:rsidR="00124A30" w14:paraId="14449D6D" w14:textId="77777777">
        <w:trPr>
          <w:trHeight w:val="1283"/>
        </w:trPr>
        <w:tc>
          <w:tcPr>
            <w:tcW w:w="2700" w:type="dxa"/>
            <w:tcBorders>
              <w:top w:val="nil"/>
              <w:left w:val="nil"/>
              <w:bottom w:val="single" w:sz="5" w:space="0" w:color="000000"/>
              <w:right w:val="nil"/>
            </w:tcBorders>
            <w:shd w:val="clear" w:color="auto" w:fill="FFFFFF"/>
            <w:tcMar>
              <w:top w:w="100" w:type="dxa"/>
              <w:left w:w="100" w:type="dxa"/>
              <w:bottom w:w="100" w:type="dxa"/>
              <w:right w:w="100" w:type="dxa"/>
            </w:tcMar>
          </w:tcPr>
          <w:p w14:paraId="433A8A2D" w14:textId="77777777" w:rsidR="00124A30" w:rsidRDefault="00000000">
            <w:pPr>
              <w:spacing w:after="200"/>
              <w:jc w:val="both"/>
            </w:pPr>
            <w:r>
              <w:rPr>
                <w:highlight w:val="white"/>
              </w:rPr>
              <w:t>How do you classify the risk, in terms of probability?</w:t>
            </w:r>
          </w:p>
        </w:tc>
        <w:tc>
          <w:tcPr>
            <w:tcW w:w="6210" w:type="dxa"/>
            <w:tcBorders>
              <w:top w:val="nil"/>
              <w:left w:val="nil"/>
              <w:bottom w:val="single" w:sz="5" w:space="0" w:color="000000"/>
              <w:right w:val="nil"/>
            </w:tcBorders>
            <w:shd w:val="clear" w:color="auto" w:fill="D9F2D0"/>
            <w:tcMar>
              <w:top w:w="100" w:type="dxa"/>
              <w:left w:w="100" w:type="dxa"/>
              <w:bottom w:w="100" w:type="dxa"/>
              <w:right w:w="100" w:type="dxa"/>
            </w:tcMar>
          </w:tcPr>
          <w:p w14:paraId="37D3BDB6" w14:textId="77777777" w:rsidR="00124A30" w:rsidRDefault="00000000">
            <w:pPr>
              <w:spacing w:after="0"/>
              <w:jc w:val="both"/>
              <w:rPr>
                <w:b/>
              </w:rPr>
            </w:pPr>
            <w:r>
              <w:rPr>
                <w:b/>
              </w:rPr>
              <w:t>Negligible</w:t>
            </w:r>
          </w:p>
          <w:p w14:paraId="5121AF08" w14:textId="77777777" w:rsidR="00124A30" w:rsidRDefault="00000000">
            <w:pPr>
              <w:pBdr>
                <w:top w:val="nil"/>
                <w:left w:val="nil"/>
                <w:bottom w:val="nil"/>
                <w:right w:val="nil"/>
                <w:between w:val="nil"/>
              </w:pBdr>
              <w:spacing w:after="0"/>
              <w:jc w:val="both"/>
            </w:pPr>
            <w:r>
              <w:t>Considering the implementation of all suggested measures to address the risk.</w:t>
            </w:r>
          </w:p>
        </w:tc>
      </w:tr>
      <w:tr w:rsidR="00124A30" w14:paraId="3A867E45" w14:textId="77777777">
        <w:trPr>
          <w:trHeight w:val="1080"/>
        </w:trPr>
        <w:tc>
          <w:tcPr>
            <w:tcW w:w="2700" w:type="dxa"/>
            <w:tcBorders>
              <w:top w:val="nil"/>
              <w:left w:val="nil"/>
              <w:bottom w:val="single" w:sz="5" w:space="0" w:color="000000"/>
              <w:right w:val="nil"/>
            </w:tcBorders>
            <w:shd w:val="clear" w:color="auto" w:fill="FFFFFF"/>
            <w:tcMar>
              <w:top w:w="100" w:type="dxa"/>
              <w:left w:w="100" w:type="dxa"/>
              <w:bottom w:w="100" w:type="dxa"/>
              <w:right w:w="100" w:type="dxa"/>
            </w:tcMar>
          </w:tcPr>
          <w:p w14:paraId="27581812" w14:textId="77777777" w:rsidR="00124A30" w:rsidRDefault="00000000">
            <w:pPr>
              <w:spacing w:after="200"/>
              <w:jc w:val="both"/>
            </w:pPr>
            <w:r>
              <w:rPr>
                <w:highlight w:val="white"/>
              </w:rPr>
              <w:t>How do you classify the risk, in terms of severity?</w:t>
            </w:r>
          </w:p>
        </w:tc>
        <w:tc>
          <w:tcPr>
            <w:tcW w:w="6210" w:type="dxa"/>
            <w:tcBorders>
              <w:top w:val="nil"/>
              <w:left w:val="nil"/>
              <w:bottom w:val="single" w:sz="5" w:space="0" w:color="000000"/>
              <w:right w:val="nil"/>
            </w:tcBorders>
            <w:shd w:val="clear" w:color="auto" w:fill="D9F2D0"/>
            <w:tcMar>
              <w:top w:w="100" w:type="dxa"/>
              <w:left w:w="100" w:type="dxa"/>
              <w:bottom w:w="100" w:type="dxa"/>
              <w:right w:w="100" w:type="dxa"/>
            </w:tcMar>
          </w:tcPr>
          <w:p w14:paraId="79A02A3A" w14:textId="77777777" w:rsidR="00124A30" w:rsidRDefault="00000000">
            <w:pPr>
              <w:spacing w:after="0" w:line="276" w:lineRule="auto"/>
              <w:rPr>
                <w:b/>
              </w:rPr>
            </w:pPr>
            <w:r>
              <w:rPr>
                <w:b/>
              </w:rPr>
              <w:t>Negligible</w:t>
            </w:r>
          </w:p>
          <w:p w14:paraId="1080DC0C" w14:textId="77777777" w:rsidR="00124A30" w:rsidRDefault="00000000">
            <w:pPr>
              <w:spacing w:after="0" w:line="276" w:lineRule="auto"/>
            </w:pPr>
            <w:r>
              <w:t>Non-significant damage to the rights and freedoms of data subjects.</w:t>
            </w:r>
          </w:p>
        </w:tc>
      </w:tr>
    </w:tbl>
    <w:p w14:paraId="54A6E299"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46" w:name="_xjnzz8pwwv80" w:colFirst="0" w:colLast="0"/>
      <w:bookmarkEnd w:id="46"/>
      <w:r>
        <w:lastRenderedPageBreak/>
        <w:t xml:space="preserve"> Unwanted modification/disappearance of data</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270"/>
      </w:tblGrid>
      <w:tr w:rsidR="00124A30" w14:paraId="51C4672E" w14:textId="77777777">
        <w:trPr>
          <w:trHeight w:val="1080"/>
        </w:trPr>
        <w:tc>
          <w:tcPr>
            <w:tcW w:w="2640" w:type="dxa"/>
            <w:tcBorders>
              <w:top w:val="single" w:sz="5" w:space="0" w:color="000000"/>
              <w:left w:val="nil"/>
              <w:bottom w:val="single" w:sz="5" w:space="0" w:color="000000"/>
              <w:right w:val="nil"/>
            </w:tcBorders>
            <w:tcMar>
              <w:top w:w="100" w:type="dxa"/>
              <w:left w:w="100" w:type="dxa"/>
              <w:bottom w:w="100" w:type="dxa"/>
              <w:right w:w="100" w:type="dxa"/>
            </w:tcMar>
          </w:tcPr>
          <w:p w14:paraId="214FF701" w14:textId="77777777" w:rsidR="00124A30" w:rsidRDefault="00000000">
            <w:pPr>
              <w:spacing w:after="0"/>
              <w:rPr>
                <w:b/>
              </w:rPr>
            </w:pPr>
            <w:r>
              <w:rPr>
                <w:b/>
              </w:rPr>
              <w:t>Unwanted modification/disappearance of data</w:t>
            </w:r>
          </w:p>
        </w:tc>
        <w:tc>
          <w:tcPr>
            <w:tcW w:w="6270" w:type="dxa"/>
            <w:tcBorders>
              <w:top w:val="single" w:sz="5" w:space="0" w:color="000000"/>
              <w:left w:val="nil"/>
              <w:bottom w:val="single" w:sz="5" w:space="0" w:color="000000"/>
              <w:right w:val="nil"/>
            </w:tcBorders>
            <w:tcMar>
              <w:top w:w="100" w:type="dxa"/>
              <w:left w:w="100" w:type="dxa"/>
              <w:bottom w:w="100" w:type="dxa"/>
              <w:right w:w="100" w:type="dxa"/>
            </w:tcMar>
          </w:tcPr>
          <w:p w14:paraId="13C398AA" w14:textId="77777777" w:rsidR="00124A30" w:rsidRDefault="00000000">
            <w:pPr>
              <w:spacing w:after="240"/>
              <w:jc w:val="both"/>
              <w:rPr>
                <w:b/>
                <w:highlight w:val="white"/>
              </w:rPr>
            </w:pPr>
            <w:r>
              <w:rPr>
                <w:b/>
                <w:highlight w:val="white"/>
              </w:rPr>
              <w:t>Response</w:t>
            </w:r>
          </w:p>
        </w:tc>
      </w:tr>
      <w:tr w:rsidR="00124A30" w14:paraId="7C1800A8" w14:textId="77777777">
        <w:trPr>
          <w:trHeight w:val="2881"/>
        </w:trPr>
        <w:tc>
          <w:tcPr>
            <w:tcW w:w="2640" w:type="dxa"/>
            <w:tcBorders>
              <w:top w:val="nil"/>
              <w:left w:val="nil"/>
              <w:bottom w:val="single" w:sz="5" w:space="0" w:color="000000"/>
              <w:right w:val="nil"/>
            </w:tcBorders>
            <w:tcMar>
              <w:top w:w="100" w:type="dxa"/>
              <w:left w:w="100" w:type="dxa"/>
              <w:bottom w:w="100" w:type="dxa"/>
              <w:right w:w="100" w:type="dxa"/>
            </w:tcMar>
          </w:tcPr>
          <w:p w14:paraId="76B73D1A" w14:textId="77777777" w:rsidR="00124A30" w:rsidRDefault="00000000">
            <w:pPr>
              <w:spacing w:after="0"/>
            </w:pPr>
            <w:r>
              <w:t>In the event of unwanted modification/disappearance of data, what are the impacts on data subjects?</w:t>
            </w:r>
          </w:p>
        </w:tc>
        <w:tc>
          <w:tcPr>
            <w:tcW w:w="6270" w:type="dxa"/>
            <w:tcBorders>
              <w:top w:val="nil"/>
              <w:left w:val="nil"/>
              <w:bottom w:val="single" w:sz="5" w:space="0" w:color="000000"/>
              <w:right w:val="nil"/>
            </w:tcBorders>
            <w:tcMar>
              <w:top w:w="100" w:type="dxa"/>
              <w:left w:w="100" w:type="dxa"/>
              <w:bottom w:w="100" w:type="dxa"/>
              <w:right w:w="100" w:type="dxa"/>
            </w:tcMar>
          </w:tcPr>
          <w:p w14:paraId="6EB01623" w14:textId="77777777" w:rsidR="00124A30" w:rsidRDefault="00000000">
            <w:pPr>
              <w:spacing w:after="0"/>
              <w:jc w:val="both"/>
              <w:rPr>
                <w:highlight w:val="white"/>
              </w:rPr>
            </w:pPr>
            <w:proofErr w:type="spellStart"/>
            <w:r>
              <w:rPr>
                <w:highlight w:val="white"/>
              </w:rPr>
              <w:t>Unauthorised</w:t>
            </w:r>
            <w:proofErr w:type="spellEnd"/>
            <w:r>
              <w:rPr>
                <w:highlight w:val="white"/>
              </w:rPr>
              <w:t xml:space="preserve"> modification or disappearance of data, whether at rest in the asynchronous copy, or in other components of the Institution's local infrastructure, can generate significant risks for data subjects, including:</w:t>
            </w:r>
          </w:p>
          <w:p w14:paraId="744E3B1E" w14:textId="77777777" w:rsidR="00124A30" w:rsidRDefault="00000000">
            <w:pPr>
              <w:spacing w:after="0"/>
              <w:jc w:val="both"/>
              <w:rPr>
                <w:highlight w:val="white"/>
              </w:rPr>
            </w:pPr>
            <w:r>
              <w:rPr>
                <w:highlight w:val="white"/>
              </w:rPr>
              <w:t xml:space="preserve">1.Risk of Re-identification and Breach of Privacy: Corruption, alteration or loss of data may compromise the </w:t>
            </w:r>
            <w:proofErr w:type="spellStart"/>
            <w:r>
              <w:rPr>
                <w:highlight w:val="white"/>
              </w:rPr>
              <w:t>anonymisation</w:t>
            </w:r>
            <w:proofErr w:type="spellEnd"/>
            <w:r>
              <w:rPr>
                <w:highlight w:val="white"/>
              </w:rPr>
              <w:t xml:space="preserve"> or </w:t>
            </w:r>
            <w:proofErr w:type="spellStart"/>
            <w:r>
              <w:rPr>
                <w:highlight w:val="white"/>
              </w:rPr>
              <w:t>pseudonymisation</w:t>
            </w:r>
            <w:proofErr w:type="spellEnd"/>
            <w:r>
              <w:rPr>
                <w:highlight w:val="white"/>
              </w:rPr>
              <w:t xml:space="preserve"> of records, resulting in the possible improper identification of individuals and the exposure of sensitive information.</w:t>
            </w:r>
          </w:p>
          <w:p w14:paraId="783ED838" w14:textId="77777777" w:rsidR="00124A30" w:rsidRDefault="00000000">
            <w:pPr>
              <w:spacing w:after="0"/>
              <w:jc w:val="both"/>
              <w:rPr>
                <w:highlight w:val="white"/>
              </w:rPr>
            </w:pPr>
            <w:r>
              <w:rPr>
                <w:highlight w:val="white"/>
              </w:rPr>
              <w:t xml:space="preserve">2.Compromise of Health Data Protection: Clinical data, such as diagnoses, medical history and other health records, may be accessed or altered improperly, affecting the fundamental right to privacy and protection of personal data, in accordance with the GDPR and Portuguese Law No. 58/2019 (Law for the Execution of the GDPR in Portugal). </w:t>
            </w:r>
          </w:p>
          <w:p w14:paraId="1DF9D2F5" w14:textId="77777777" w:rsidR="00124A30" w:rsidRDefault="00000000">
            <w:pPr>
              <w:spacing w:after="0"/>
              <w:jc w:val="both"/>
              <w:rPr>
                <w:highlight w:val="white"/>
              </w:rPr>
            </w:pPr>
            <w:r>
              <w:rPr>
                <w:highlight w:val="white"/>
              </w:rPr>
              <w:t>3.Impact on the Integrity and Availability of Information: The unavailability or corruption of data may compromise the quality and reliability of clinical analyses and studies, potentially affecting decision-making based on these data.</w:t>
            </w:r>
          </w:p>
          <w:p w14:paraId="141EC92A" w14:textId="77777777" w:rsidR="00124A30" w:rsidRDefault="00000000">
            <w:pPr>
              <w:spacing w:after="0"/>
              <w:jc w:val="both"/>
              <w:rPr>
                <w:highlight w:val="white"/>
              </w:rPr>
            </w:pPr>
            <w:r>
              <w:rPr>
                <w:highlight w:val="white"/>
              </w:rPr>
              <w:t>4.Legal and Reputational Risks for the Institution: Any security incident may result in regulatory sanctions imposed by the National Data Protection Commission, in addition to possible legal actions and reputational damage to the Institution.</w:t>
            </w:r>
          </w:p>
        </w:tc>
      </w:tr>
      <w:tr w:rsidR="00124A30" w14:paraId="6D73EAF1" w14:textId="77777777">
        <w:trPr>
          <w:trHeight w:val="1890"/>
        </w:trPr>
        <w:tc>
          <w:tcPr>
            <w:tcW w:w="2640" w:type="dxa"/>
            <w:tcBorders>
              <w:top w:val="nil"/>
              <w:left w:val="nil"/>
              <w:bottom w:val="single" w:sz="5" w:space="0" w:color="000000"/>
              <w:right w:val="nil"/>
            </w:tcBorders>
            <w:tcMar>
              <w:top w:w="100" w:type="dxa"/>
              <w:left w:w="100" w:type="dxa"/>
              <w:bottom w:w="100" w:type="dxa"/>
              <w:right w:w="100" w:type="dxa"/>
            </w:tcMar>
          </w:tcPr>
          <w:p w14:paraId="3FDE3A45" w14:textId="77777777" w:rsidR="00124A30" w:rsidRDefault="00000000">
            <w:pPr>
              <w:spacing w:after="0"/>
            </w:pPr>
            <w:r>
              <w:lastRenderedPageBreak/>
              <w:t>What are the main threats that could lead to the occurrence of the risk of unwanted modification/disappearance of data?</w:t>
            </w:r>
          </w:p>
        </w:tc>
        <w:tc>
          <w:tcPr>
            <w:tcW w:w="6270" w:type="dxa"/>
            <w:tcBorders>
              <w:top w:val="nil"/>
              <w:left w:val="nil"/>
              <w:bottom w:val="single" w:sz="5" w:space="0" w:color="000000"/>
              <w:right w:val="nil"/>
            </w:tcBorders>
            <w:tcMar>
              <w:top w:w="100" w:type="dxa"/>
              <w:left w:w="100" w:type="dxa"/>
              <w:bottom w:w="100" w:type="dxa"/>
              <w:right w:w="100" w:type="dxa"/>
            </w:tcMar>
          </w:tcPr>
          <w:p w14:paraId="4B6E520A" w14:textId="77777777" w:rsidR="00124A30" w:rsidRDefault="00000000">
            <w:pPr>
              <w:spacing w:after="0"/>
              <w:jc w:val="both"/>
              <w:rPr>
                <w:highlight w:val="white"/>
              </w:rPr>
            </w:pPr>
            <w:proofErr w:type="spellStart"/>
            <w:r>
              <w:rPr>
                <w:highlight w:val="white"/>
              </w:rPr>
              <w:t>Unauthorised</w:t>
            </w:r>
            <w:proofErr w:type="spellEnd"/>
            <w:r>
              <w:rPr>
                <w:highlight w:val="white"/>
              </w:rPr>
              <w:t xml:space="preserve"> access due to successful cyber-attacks.</w:t>
            </w:r>
          </w:p>
          <w:p w14:paraId="624E35D4" w14:textId="77777777" w:rsidR="00124A30" w:rsidRDefault="00000000">
            <w:pPr>
              <w:spacing w:after="0"/>
              <w:jc w:val="both"/>
              <w:rPr>
                <w:highlight w:val="white"/>
              </w:rPr>
            </w:pPr>
            <w:r>
              <w:rPr>
                <w:highlight w:val="white"/>
              </w:rPr>
              <w:t>Vulnerabilities in the software used in the Institution's local infrastructure, such as inadequate configurations and security flaws.</w:t>
            </w:r>
          </w:p>
        </w:tc>
      </w:tr>
      <w:tr w:rsidR="00124A30" w14:paraId="2DF8D0A1" w14:textId="77777777">
        <w:trPr>
          <w:trHeight w:val="1890"/>
        </w:trPr>
        <w:tc>
          <w:tcPr>
            <w:tcW w:w="2640" w:type="dxa"/>
            <w:tcBorders>
              <w:top w:val="nil"/>
              <w:left w:val="nil"/>
              <w:bottom w:val="single" w:sz="5" w:space="0" w:color="000000"/>
              <w:right w:val="nil"/>
            </w:tcBorders>
            <w:tcMar>
              <w:top w:w="100" w:type="dxa"/>
              <w:left w:w="100" w:type="dxa"/>
              <w:bottom w:w="100" w:type="dxa"/>
              <w:right w:w="100" w:type="dxa"/>
            </w:tcMar>
          </w:tcPr>
          <w:p w14:paraId="13091318" w14:textId="77777777" w:rsidR="00124A30" w:rsidRDefault="00000000">
            <w:pPr>
              <w:spacing w:after="0"/>
            </w:pPr>
            <w:r>
              <w:t>What are the sources of risk?</w:t>
            </w:r>
          </w:p>
        </w:tc>
        <w:tc>
          <w:tcPr>
            <w:tcW w:w="6270" w:type="dxa"/>
            <w:tcBorders>
              <w:top w:val="nil"/>
              <w:left w:val="nil"/>
              <w:bottom w:val="single" w:sz="5" w:space="0" w:color="000000"/>
              <w:right w:val="nil"/>
            </w:tcBorders>
            <w:tcMar>
              <w:top w:w="100" w:type="dxa"/>
              <w:left w:w="100" w:type="dxa"/>
              <w:bottom w:w="100" w:type="dxa"/>
              <w:right w:w="100" w:type="dxa"/>
            </w:tcMar>
          </w:tcPr>
          <w:p w14:paraId="5E2E36CA" w14:textId="77777777" w:rsidR="00124A30" w:rsidRDefault="00000000">
            <w:pPr>
              <w:spacing w:after="240"/>
              <w:jc w:val="both"/>
              <w:rPr>
                <w:highlight w:val="white"/>
              </w:rPr>
            </w:pPr>
            <w:r>
              <w:rPr>
                <w:highlight w:val="white"/>
              </w:rPr>
              <w:t xml:space="preserve">The sources of risk of unwanted modification or disappearance of existing data in the asynchronous data copy are very </w:t>
            </w:r>
            <w:proofErr w:type="gramStart"/>
            <w:r>
              <w:rPr>
                <w:highlight w:val="white"/>
              </w:rPr>
              <w:t>restricted, and</w:t>
            </w:r>
            <w:proofErr w:type="gramEnd"/>
            <w:r>
              <w:rPr>
                <w:highlight w:val="white"/>
              </w:rPr>
              <w:t xml:space="preserve"> may originate from the IT Systems Administrator; IT Professionals; Hacking and Ransomware. Researchers and Institution professionals do not constitute sources of risk since at no time (either in the development or execution of the Study Package) do they have access to the asynchronous data copy stored on the Institution's local infrastructure, nor to the personal data it integrates.</w:t>
            </w:r>
          </w:p>
        </w:tc>
      </w:tr>
      <w:tr w:rsidR="00124A30" w14:paraId="7492FC47" w14:textId="77777777">
        <w:trPr>
          <w:trHeight w:val="5181"/>
        </w:trPr>
        <w:tc>
          <w:tcPr>
            <w:tcW w:w="2640" w:type="dxa"/>
            <w:tcBorders>
              <w:top w:val="nil"/>
              <w:left w:val="nil"/>
              <w:bottom w:val="single" w:sz="5" w:space="0" w:color="000000"/>
              <w:right w:val="nil"/>
            </w:tcBorders>
            <w:tcMar>
              <w:top w:w="100" w:type="dxa"/>
              <w:left w:w="100" w:type="dxa"/>
              <w:bottom w:w="100" w:type="dxa"/>
              <w:right w:w="100" w:type="dxa"/>
            </w:tcMar>
          </w:tcPr>
          <w:p w14:paraId="3D6883E2" w14:textId="77777777" w:rsidR="00124A30" w:rsidRDefault="00000000">
            <w:pPr>
              <w:spacing w:after="0"/>
            </w:pPr>
            <w:r>
              <w:t>What controls and measures will be used to address the risk?</w:t>
            </w:r>
          </w:p>
        </w:tc>
        <w:tc>
          <w:tcPr>
            <w:tcW w:w="6270" w:type="dxa"/>
            <w:tcBorders>
              <w:top w:val="nil"/>
              <w:left w:val="nil"/>
              <w:bottom w:val="single" w:sz="5" w:space="0" w:color="000000"/>
              <w:right w:val="nil"/>
            </w:tcBorders>
            <w:tcMar>
              <w:top w:w="100" w:type="dxa"/>
              <w:left w:w="100" w:type="dxa"/>
              <w:bottom w:w="100" w:type="dxa"/>
              <w:right w:w="100" w:type="dxa"/>
            </w:tcMar>
          </w:tcPr>
          <w:p w14:paraId="6D98554F" w14:textId="77777777" w:rsidR="00124A30" w:rsidRDefault="00000000">
            <w:pPr>
              <w:spacing w:after="240"/>
              <w:jc w:val="both"/>
              <w:rPr>
                <w:highlight w:val="white"/>
              </w:rPr>
            </w:pPr>
            <w:r>
              <w:rPr>
                <w:highlight w:val="white"/>
              </w:rPr>
              <w:t xml:space="preserve">To ensure protection against unwanted modification or loss of data, it is suggested that the Institution implement robust technical and </w:t>
            </w:r>
            <w:proofErr w:type="spellStart"/>
            <w:r>
              <w:rPr>
                <w:highlight w:val="white"/>
              </w:rPr>
              <w:t>organisational</w:t>
            </w:r>
            <w:proofErr w:type="spellEnd"/>
            <w:r>
              <w:rPr>
                <w:highlight w:val="white"/>
              </w:rPr>
              <w:t xml:space="preserve"> measures, aligned with Article 32 of the GDPR and best cybersecurity practices.</w:t>
            </w:r>
          </w:p>
          <w:p w14:paraId="080D9A3C" w14:textId="77777777" w:rsidR="00124A30" w:rsidRDefault="00000000">
            <w:pPr>
              <w:spacing w:after="240"/>
              <w:jc w:val="both"/>
              <w:rPr>
                <w:highlight w:val="white"/>
              </w:rPr>
            </w:pPr>
            <w:r>
              <w:rPr>
                <w:b/>
                <w:highlight w:val="white"/>
              </w:rPr>
              <w:t>1.Equivalence of Protection:</w:t>
            </w:r>
            <w:r>
              <w:rPr>
                <w:highlight w:val="white"/>
              </w:rPr>
              <w:t xml:space="preserve"> The asynchronous data copy must be protected with the same level of security applied to the original data, in accordance with the Institution's data storage and processing policy. Encryption and </w:t>
            </w:r>
            <w:proofErr w:type="spellStart"/>
            <w:r>
              <w:rPr>
                <w:highlight w:val="white"/>
              </w:rPr>
              <w:t>pseudonymisation</w:t>
            </w:r>
            <w:proofErr w:type="spellEnd"/>
            <w:r>
              <w:rPr>
                <w:highlight w:val="white"/>
              </w:rPr>
              <w:t xml:space="preserve"> mechanisms should be applied, where applicable, to mitigate risks of undue exposure.</w:t>
            </w:r>
          </w:p>
          <w:p w14:paraId="0CE29DE2" w14:textId="77777777" w:rsidR="00124A30" w:rsidRDefault="00000000">
            <w:pPr>
              <w:pBdr>
                <w:top w:val="nil"/>
                <w:left w:val="nil"/>
                <w:bottom w:val="nil"/>
                <w:right w:val="nil"/>
                <w:between w:val="nil"/>
              </w:pBdr>
              <w:spacing w:after="0"/>
              <w:jc w:val="both"/>
              <w:rPr>
                <w:b/>
                <w:highlight w:val="white"/>
              </w:rPr>
            </w:pPr>
            <w:r>
              <w:rPr>
                <w:b/>
                <w:highlight w:val="white"/>
              </w:rPr>
              <w:t>2.Security Audits and Penetration Testing:</w:t>
            </w:r>
          </w:p>
          <w:p w14:paraId="6CCF8F69" w14:textId="77777777" w:rsidR="00124A30" w:rsidRDefault="00000000">
            <w:pPr>
              <w:pBdr>
                <w:top w:val="nil"/>
                <w:left w:val="nil"/>
                <w:bottom w:val="nil"/>
                <w:right w:val="nil"/>
                <w:between w:val="nil"/>
              </w:pBdr>
              <w:spacing w:after="0"/>
              <w:jc w:val="both"/>
              <w:rPr>
                <w:b/>
                <w:highlight w:val="white"/>
              </w:rPr>
            </w:pPr>
            <w:r>
              <w:rPr>
                <w:highlight w:val="white"/>
              </w:rPr>
              <w:t>• Regular security audits, conducted by independent external teams, assessing compliance with standards such as ISO/IEC 27001.</w:t>
            </w:r>
          </w:p>
          <w:p w14:paraId="71BDA4B4" w14:textId="77777777" w:rsidR="00124A30" w:rsidRDefault="00000000">
            <w:pPr>
              <w:pBdr>
                <w:top w:val="nil"/>
                <w:left w:val="nil"/>
                <w:bottom w:val="nil"/>
                <w:right w:val="nil"/>
                <w:between w:val="nil"/>
              </w:pBdr>
              <w:spacing w:after="0"/>
              <w:jc w:val="both"/>
              <w:rPr>
                <w:b/>
                <w:highlight w:val="white"/>
              </w:rPr>
            </w:pPr>
            <w:r>
              <w:rPr>
                <w:highlight w:val="white"/>
              </w:rPr>
              <w:lastRenderedPageBreak/>
              <w:t>• Penetration testing, with simulations of cyber-attacks (ethical hacking) and carried out regularly (for example, quarterly), ensuring the resilience of the infrastructure.</w:t>
            </w:r>
          </w:p>
          <w:p w14:paraId="13648D72" w14:textId="77777777" w:rsidR="00124A30" w:rsidRDefault="00000000">
            <w:pPr>
              <w:pBdr>
                <w:top w:val="nil"/>
                <w:left w:val="nil"/>
                <w:bottom w:val="nil"/>
                <w:right w:val="nil"/>
                <w:between w:val="nil"/>
              </w:pBdr>
              <w:spacing w:after="0"/>
              <w:jc w:val="both"/>
              <w:rPr>
                <w:b/>
                <w:highlight w:val="white"/>
              </w:rPr>
            </w:pPr>
            <w:r>
              <w:rPr>
                <w:highlight w:val="white"/>
              </w:rPr>
              <w:t xml:space="preserve">• Continuous monitoring of data integrity, with automatic alerts for suspicious activities or </w:t>
            </w:r>
            <w:proofErr w:type="spellStart"/>
            <w:r>
              <w:rPr>
                <w:highlight w:val="white"/>
              </w:rPr>
              <w:t>unauthorised</w:t>
            </w:r>
            <w:proofErr w:type="spellEnd"/>
            <w:r>
              <w:rPr>
                <w:highlight w:val="white"/>
              </w:rPr>
              <w:t xml:space="preserve"> access.</w:t>
            </w:r>
          </w:p>
          <w:p w14:paraId="1393123A" w14:textId="77777777" w:rsidR="00124A30" w:rsidRDefault="00000000">
            <w:pPr>
              <w:spacing w:after="240"/>
              <w:jc w:val="both"/>
              <w:rPr>
                <w:highlight w:val="white"/>
              </w:rPr>
            </w:pPr>
            <w:r>
              <w:rPr>
                <w:highlight w:val="white"/>
              </w:rPr>
              <w:t>• All results of these tests and audits must be documented and used to continuously strengthen protection measures.</w:t>
            </w:r>
          </w:p>
          <w:p w14:paraId="0C2EFD4F" w14:textId="77777777" w:rsidR="00124A30" w:rsidRDefault="00000000">
            <w:pPr>
              <w:spacing w:after="0"/>
              <w:jc w:val="both"/>
              <w:rPr>
                <w:b/>
                <w:highlight w:val="white"/>
              </w:rPr>
            </w:pPr>
            <w:r>
              <w:rPr>
                <w:b/>
                <w:highlight w:val="white"/>
              </w:rPr>
              <w:t>3.Measures to Prevent Re-identification:</w:t>
            </w:r>
          </w:p>
          <w:p w14:paraId="01B8890F" w14:textId="77777777" w:rsidR="00124A30" w:rsidRDefault="00000000">
            <w:pPr>
              <w:spacing w:after="240"/>
              <w:jc w:val="both"/>
              <w:rPr>
                <w:highlight w:val="white"/>
              </w:rPr>
            </w:pPr>
            <w:r>
              <w:rPr>
                <w:highlight w:val="white"/>
              </w:rPr>
              <w:t>• Application of a minimum cell count in aggregated results, ensuring that the data presented in the Tier 1 Tables do not allow the re-identification of data subjects.</w:t>
            </w:r>
          </w:p>
          <w:p w14:paraId="1F6EB142" w14:textId="77777777" w:rsidR="00124A30" w:rsidRDefault="00000000">
            <w:pPr>
              <w:spacing w:after="240"/>
              <w:jc w:val="both"/>
              <w:rPr>
                <w:highlight w:val="white"/>
              </w:rPr>
            </w:pPr>
            <w:r>
              <w:rPr>
                <w:highlight w:val="white"/>
              </w:rPr>
              <w:t>• If the Institution does not have a specific policy, a minimum count limit of 5 per cell of the Tier 1 Tables will be implemented in the Study Package by default, reducing risks of exposure of sensitive information.</w:t>
            </w:r>
          </w:p>
        </w:tc>
      </w:tr>
      <w:tr w:rsidR="00124A30" w14:paraId="2D419CE2" w14:textId="77777777">
        <w:trPr>
          <w:trHeight w:val="780"/>
        </w:trPr>
        <w:tc>
          <w:tcPr>
            <w:tcW w:w="2640" w:type="dxa"/>
            <w:tcBorders>
              <w:top w:val="nil"/>
              <w:left w:val="nil"/>
              <w:bottom w:val="single" w:sz="5" w:space="0" w:color="000000"/>
              <w:right w:val="nil"/>
            </w:tcBorders>
            <w:tcMar>
              <w:top w:w="100" w:type="dxa"/>
              <w:left w:w="100" w:type="dxa"/>
              <w:bottom w:w="100" w:type="dxa"/>
              <w:right w:w="100" w:type="dxa"/>
            </w:tcMar>
          </w:tcPr>
          <w:p w14:paraId="45E535B1" w14:textId="77777777" w:rsidR="00124A30" w:rsidRDefault="00000000">
            <w:pPr>
              <w:spacing w:after="0"/>
            </w:pPr>
            <w:r>
              <w:t>How do you classify the risk, in terms of probability?</w:t>
            </w:r>
          </w:p>
        </w:tc>
        <w:tc>
          <w:tcPr>
            <w:tcW w:w="6270" w:type="dxa"/>
            <w:tcBorders>
              <w:top w:val="nil"/>
              <w:left w:val="nil"/>
              <w:bottom w:val="single" w:sz="5" w:space="0" w:color="000000"/>
              <w:right w:val="nil"/>
            </w:tcBorders>
            <w:shd w:val="clear" w:color="auto" w:fill="D9F2D0"/>
            <w:tcMar>
              <w:top w:w="100" w:type="dxa"/>
              <w:left w:w="100" w:type="dxa"/>
              <w:bottom w:w="100" w:type="dxa"/>
              <w:right w:w="100" w:type="dxa"/>
            </w:tcMar>
          </w:tcPr>
          <w:p w14:paraId="0549918F" w14:textId="77777777" w:rsidR="00124A30" w:rsidRDefault="00000000">
            <w:pPr>
              <w:spacing w:after="0"/>
              <w:jc w:val="both"/>
              <w:rPr>
                <w:b/>
              </w:rPr>
            </w:pPr>
            <w:r>
              <w:rPr>
                <w:b/>
              </w:rPr>
              <w:t>Negligible</w:t>
            </w:r>
          </w:p>
          <w:p w14:paraId="7261CEA6" w14:textId="77777777" w:rsidR="00124A30" w:rsidRDefault="00000000">
            <w:pPr>
              <w:spacing w:after="0"/>
              <w:jc w:val="both"/>
            </w:pPr>
            <w:r>
              <w:t>Considering the implementation of all suggested measures to address the risk.</w:t>
            </w:r>
          </w:p>
        </w:tc>
      </w:tr>
      <w:tr w:rsidR="00124A30" w14:paraId="6D1534D6" w14:textId="77777777">
        <w:trPr>
          <w:trHeight w:val="780"/>
        </w:trPr>
        <w:tc>
          <w:tcPr>
            <w:tcW w:w="2640" w:type="dxa"/>
            <w:tcBorders>
              <w:top w:val="nil"/>
              <w:left w:val="nil"/>
              <w:bottom w:val="single" w:sz="5" w:space="0" w:color="000000"/>
              <w:right w:val="nil"/>
            </w:tcBorders>
            <w:tcMar>
              <w:top w:w="100" w:type="dxa"/>
              <w:left w:w="100" w:type="dxa"/>
              <w:bottom w:w="100" w:type="dxa"/>
              <w:right w:w="100" w:type="dxa"/>
            </w:tcMar>
          </w:tcPr>
          <w:p w14:paraId="492C5734" w14:textId="77777777" w:rsidR="00124A30" w:rsidRDefault="00000000">
            <w:pPr>
              <w:spacing w:after="0"/>
            </w:pPr>
            <w:r>
              <w:t>How do you classify the risk, in terms of severity?</w:t>
            </w:r>
          </w:p>
        </w:tc>
        <w:tc>
          <w:tcPr>
            <w:tcW w:w="6270" w:type="dxa"/>
            <w:tcBorders>
              <w:top w:val="nil"/>
              <w:left w:val="nil"/>
              <w:bottom w:val="single" w:sz="5" w:space="0" w:color="000000"/>
              <w:right w:val="nil"/>
            </w:tcBorders>
            <w:shd w:val="clear" w:color="auto" w:fill="D9F2D0"/>
            <w:tcMar>
              <w:top w:w="100" w:type="dxa"/>
              <w:left w:w="100" w:type="dxa"/>
              <w:bottom w:w="100" w:type="dxa"/>
              <w:right w:w="100" w:type="dxa"/>
            </w:tcMar>
          </w:tcPr>
          <w:p w14:paraId="451A3C35" w14:textId="77777777" w:rsidR="00124A30" w:rsidRDefault="00000000">
            <w:pPr>
              <w:spacing w:after="0"/>
              <w:jc w:val="both"/>
              <w:rPr>
                <w:b/>
              </w:rPr>
            </w:pPr>
            <w:r>
              <w:rPr>
                <w:b/>
              </w:rPr>
              <w:t>Negligible</w:t>
            </w:r>
          </w:p>
          <w:p w14:paraId="1A84A0B0" w14:textId="77777777" w:rsidR="00124A30" w:rsidRDefault="00000000">
            <w:pPr>
              <w:spacing w:after="0" w:line="276" w:lineRule="auto"/>
            </w:pPr>
            <w:r>
              <w:t>Non-significant damage to the rights and freedoms of data subjects.</w:t>
            </w:r>
          </w:p>
        </w:tc>
      </w:tr>
    </w:tbl>
    <w:p w14:paraId="6198D8B9" w14:textId="77777777" w:rsidR="00124A30" w:rsidRDefault="00000000">
      <w:pPr>
        <w:pStyle w:val="Heading2"/>
        <w:numPr>
          <w:ilvl w:val="1"/>
          <w:numId w:val="1"/>
        </w:numPr>
        <w:pBdr>
          <w:top w:val="nil"/>
          <w:left w:val="nil"/>
          <w:bottom w:val="nil"/>
          <w:right w:val="nil"/>
          <w:between w:val="nil"/>
        </w:pBdr>
        <w:ind w:left="360" w:firstLine="0"/>
        <w:rPr>
          <w:highlight w:val="white"/>
        </w:rPr>
      </w:pPr>
      <w:bookmarkStart w:id="47" w:name="_kn3ge957axp" w:colFirst="0" w:colLast="0"/>
      <w:bookmarkEnd w:id="47"/>
      <w:r>
        <w:br w:type="page"/>
      </w:r>
      <w:r>
        <w:lastRenderedPageBreak/>
        <w:t xml:space="preserve"> Risk Summary Table</w:t>
      </w:r>
    </w:p>
    <w:tbl>
      <w:tblPr>
        <w:tblStyle w:val="a9"/>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1920"/>
        <w:gridCol w:w="1575"/>
        <w:gridCol w:w="1995"/>
      </w:tblGrid>
      <w:tr w:rsidR="00124A30" w14:paraId="2AADAD90" w14:textId="77777777">
        <w:trPr>
          <w:trHeight w:val="1170"/>
        </w:trPr>
        <w:tc>
          <w:tcPr>
            <w:tcW w:w="3360" w:type="dxa"/>
            <w:tcBorders>
              <w:top w:val="single" w:sz="7" w:space="0" w:color="D1D1D1"/>
              <w:left w:val="nil"/>
              <w:bottom w:val="nil"/>
              <w:right w:val="nil"/>
            </w:tcBorders>
            <w:tcMar>
              <w:top w:w="0" w:type="dxa"/>
              <w:left w:w="100" w:type="dxa"/>
              <w:bottom w:w="0" w:type="dxa"/>
              <w:right w:w="100" w:type="dxa"/>
            </w:tcMar>
          </w:tcPr>
          <w:p w14:paraId="3FBF0919" w14:textId="77777777" w:rsidR="00124A30" w:rsidRDefault="00000000">
            <w:pPr>
              <w:spacing w:after="0"/>
              <w:rPr>
                <w:b/>
              </w:rPr>
            </w:pPr>
            <w:r>
              <w:rPr>
                <w:b/>
              </w:rPr>
              <w:t xml:space="preserve"> </w:t>
            </w:r>
          </w:p>
        </w:tc>
        <w:tc>
          <w:tcPr>
            <w:tcW w:w="3495" w:type="dxa"/>
            <w:gridSpan w:val="2"/>
            <w:tcBorders>
              <w:top w:val="single" w:sz="7" w:space="0" w:color="D1D1D1"/>
              <w:left w:val="nil"/>
              <w:bottom w:val="nil"/>
              <w:right w:val="single" w:sz="13" w:space="0" w:color="D1D1D1"/>
            </w:tcBorders>
            <w:tcMar>
              <w:top w:w="0" w:type="dxa"/>
              <w:left w:w="100" w:type="dxa"/>
              <w:bottom w:w="0" w:type="dxa"/>
              <w:right w:w="100" w:type="dxa"/>
            </w:tcMar>
          </w:tcPr>
          <w:p w14:paraId="1ECCE065" w14:textId="77777777" w:rsidR="00124A30" w:rsidRDefault="00000000">
            <w:pPr>
              <w:spacing w:after="0"/>
              <w:jc w:val="center"/>
              <w:rPr>
                <w:b/>
              </w:rPr>
            </w:pPr>
            <w:r>
              <w:rPr>
                <w:b/>
              </w:rPr>
              <w:t>Personal data</w:t>
            </w:r>
          </w:p>
        </w:tc>
        <w:tc>
          <w:tcPr>
            <w:tcW w:w="1995" w:type="dxa"/>
            <w:tcBorders>
              <w:top w:val="single" w:sz="7" w:space="0" w:color="D1D1D1"/>
              <w:left w:val="nil"/>
              <w:bottom w:val="nil"/>
              <w:right w:val="nil"/>
            </w:tcBorders>
            <w:tcMar>
              <w:top w:w="20" w:type="dxa"/>
              <w:left w:w="20" w:type="dxa"/>
              <w:bottom w:w="20" w:type="dxa"/>
              <w:right w:w="20" w:type="dxa"/>
            </w:tcMar>
          </w:tcPr>
          <w:p w14:paraId="34C95424" w14:textId="77777777" w:rsidR="00124A30" w:rsidRDefault="00000000">
            <w:pPr>
              <w:spacing w:after="0"/>
              <w:jc w:val="center"/>
              <w:rPr>
                <w:b/>
              </w:rPr>
            </w:pPr>
            <w:r>
              <w:rPr>
                <w:b/>
              </w:rPr>
              <w:t xml:space="preserve">Aggregated and </w:t>
            </w:r>
            <w:proofErr w:type="spellStart"/>
            <w:r>
              <w:rPr>
                <w:b/>
              </w:rPr>
              <w:t>anonymised</w:t>
            </w:r>
            <w:proofErr w:type="spellEnd"/>
            <w:r>
              <w:rPr>
                <w:b/>
              </w:rPr>
              <w:t xml:space="preserve"> results</w:t>
            </w:r>
          </w:p>
        </w:tc>
      </w:tr>
      <w:tr w:rsidR="00124A30" w14:paraId="083F8062" w14:textId="77777777">
        <w:trPr>
          <w:trHeight w:val="1140"/>
        </w:trPr>
        <w:tc>
          <w:tcPr>
            <w:tcW w:w="3360" w:type="dxa"/>
            <w:tcBorders>
              <w:top w:val="nil"/>
              <w:left w:val="nil"/>
              <w:bottom w:val="single" w:sz="7" w:space="0" w:color="000000"/>
              <w:right w:val="nil"/>
            </w:tcBorders>
            <w:tcMar>
              <w:top w:w="0" w:type="dxa"/>
              <w:left w:w="100" w:type="dxa"/>
              <w:bottom w:w="0" w:type="dxa"/>
              <w:right w:w="100" w:type="dxa"/>
            </w:tcMar>
          </w:tcPr>
          <w:p w14:paraId="63E847E6" w14:textId="77777777" w:rsidR="00124A30" w:rsidRDefault="00000000">
            <w:pPr>
              <w:spacing w:after="0"/>
              <w:rPr>
                <w:b/>
              </w:rPr>
            </w:pPr>
            <w:r>
              <w:rPr>
                <w:b/>
              </w:rPr>
              <w:t xml:space="preserve"> </w:t>
            </w:r>
          </w:p>
        </w:tc>
        <w:tc>
          <w:tcPr>
            <w:tcW w:w="1920" w:type="dxa"/>
            <w:tcBorders>
              <w:top w:val="nil"/>
              <w:left w:val="nil"/>
              <w:bottom w:val="single" w:sz="7" w:space="0" w:color="000000"/>
              <w:right w:val="nil"/>
            </w:tcBorders>
            <w:tcMar>
              <w:top w:w="0" w:type="dxa"/>
              <w:left w:w="100" w:type="dxa"/>
              <w:bottom w:w="0" w:type="dxa"/>
              <w:right w:w="100" w:type="dxa"/>
            </w:tcMar>
          </w:tcPr>
          <w:p w14:paraId="611B338B" w14:textId="77777777" w:rsidR="00124A30" w:rsidRDefault="00000000">
            <w:pPr>
              <w:spacing w:after="0"/>
              <w:rPr>
                <w:b/>
              </w:rPr>
            </w:pPr>
            <w:r>
              <w:rPr>
                <w:b/>
              </w:rPr>
              <w:t>Institution's local infrastructure</w:t>
            </w:r>
          </w:p>
        </w:tc>
        <w:tc>
          <w:tcPr>
            <w:tcW w:w="1575" w:type="dxa"/>
            <w:tcBorders>
              <w:top w:val="nil"/>
              <w:left w:val="nil"/>
              <w:bottom w:val="single" w:sz="7" w:space="0" w:color="000000"/>
              <w:right w:val="single" w:sz="13" w:space="0" w:color="D1D1D1"/>
            </w:tcBorders>
            <w:tcMar>
              <w:top w:w="0" w:type="dxa"/>
              <w:left w:w="100" w:type="dxa"/>
              <w:bottom w:w="0" w:type="dxa"/>
              <w:right w:w="100" w:type="dxa"/>
            </w:tcMar>
          </w:tcPr>
          <w:p w14:paraId="6B955866" w14:textId="77777777" w:rsidR="00124A30" w:rsidRDefault="00000000">
            <w:pPr>
              <w:spacing w:after="0"/>
              <w:rPr>
                <w:b/>
              </w:rPr>
            </w:pPr>
            <w:r>
              <w:rPr>
                <w:b/>
              </w:rPr>
              <w:t>Asynchronous copy of EHR data</w:t>
            </w:r>
          </w:p>
        </w:tc>
        <w:tc>
          <w:tcPr>
            <w:tcW w:w="1995" w:type="dxa"/>
            <w:tcBorders>
              <w:top w:val="nil"/>
              <w:left w:val="nil"/>
              <w:bottom w:val="single" w:sz="7" w:space="0" w:color="000000"/>
              <w:right w:val="nil"/>
            </w:tcBorders>
            <w:tcMar>
              <w:top w:w="0" w:type="dxa"/>
              <w:left w:w="100" w:type="dxa"/>
              <w:bottom w:w="0" w:type="dxa"/>
              <w:right w:w="100" w:type="dxa"/>
            </w:tcMar>
          </w:tcPr>
          <w:p w14:paraId="5B6D3963" w14:textId="77777777" w:rsidR="00124A30" w:rsidRDefault="00000000">
            <w:pPr>
              <w:spacing w:after="0"/>
              <w:rPr>
                <w:b/>
                <w:i/>
              </w:rPr>
            </w:pPr>
            <w:r>
              <w:rPr>
                <w:b/>
                <w:i/>
              </w:rPr>
              <w:t>Tier 1 Tables</w:t>
            </w:r>
          </w:p>
        </w:tc>
      </w:tr>
      <w:tr w:rsidR="00124A30" w14:paraId="7317BD49" w14:textId="77777777">
        <w:trPr>
          <w:trHeight w:val="525"/>
        </w:trPr>
        <w:tc>
          <w:tcPr>
            <w:tcW w:w="3360" w:type="dxa"/>
            <w:tcBorders>
              <w:top w:val="nil"/>
              <w:left w:val="nil"/>
              <w:bottom w:val="nil"/>
              <w:right w:val="nil"/>
            </w:tcBorders>
            <w:shd w:val="clear" w:color="auto" w:fill="A5C9EB"/>
            <w:tcMar>
              <w:top w:w="0" w:type="dxa"/>
              <w:left w:w="100" w:type="dxa"/>
              <w:bottom w:w="0" w:type="dxa"/>
              <w:right w:w="100" w:type="dxa"/>
            </w:tcMar>
            <w:vAlign w:val="center"/>
          </w:tcPr>
          <w:p w14:paraId="072CD4EB" w14:textId="77777777" w:rsidR="00124A30" w:rsidRDefault="00000000">
            <w:pPr>
              <w:spacing w:after="0"/>
              <w:rPr>
                <w:b/>
              </w:rPr>
            </w:pPr>
            <w:r>
              <w:rPr>
                <w:b/>
              </w:rPr>
              <w:t>Unlawful access to data</w:t>
            </w:r>
          </w:p>
        </w:tc>
        <w:tc>
          <w:tcPr>
            <w:tcW w:w="1920" w:type="dxa"/>
            <w:tcBorders>
              <w:top w:val="nil"/>
              <w:left w:val="nil"/>
              <w:bottom w:val="nil"/>
              <w:right w:val="nil"/>
            </w:tcBorders>
            <w:shd w:val="clear" w:color="auto" w:fill="A5C9EB"/>
            <w:tcMar>
              <w:top w:w="0" w:type="dxa"/>
              <w:left w:w="100" w:type="dxa"/>
              <w:bottom w:w="0" w:type="dxa"/>
              <w:right w:w="100" w:type="dxa"/>
            </w:tcMar>
          </w:tcPr>
          <w:p w14:paraId="5DF10061" w14:textId="77777777" w:rsidR="00124A30" w:rsidRDefault="00000000">
            <w:pPr>
              <w:spacing w:after="0"/>
              <w:jc w:val="center"/>
              <w:rPr>
                <w:b/>
              </w:rPr>
            </w:pPr>
            <w:r>
              <w:rPr>
                <w:b/>
              </w:rPr>
              <w:t xml:space="preserve"> </w:t>
            </w:r>
          </w:p>
        </w:tc>
        <w:tc>
          <w:tcPr>
            <w:tcW w:w="1575" w:type="dxa"/>
            <w:tcBorders>
              <w:top w:val="nil"/>
              <w:left w:val="nil"/>
              <w:bottom w:val="nil"/>
              <w:right w:val="single" w:sz="13" w:space="0" w:color="D1D1D1"/>
            </w:tcBorders>
            <w:shd w:val="clear" w:color="auto" w:fill="A5C9EB"/>
            <w:tcMar>
              <w:top w:w="0" w:type="dxa"/>
              <w:left w:w="100" w:type="dxa"/>
              <w:bottom w:w="0" w:type="dxa"/>
              <w:right w:w="100" w:type="dxa"/>
            </w:tcMar>
          </w:tcPr>
          <w:p w14:paraId="01A86E3F" w14:textId="77777777" w:rsidR="00124A30" w:rsidRDefault="00000000">
            <w:pPr>
              <w:spacing w:after="0"/>
              <w:jc w:val="center"/>
              <w:rPr>
                <w:b/>
              </w:rPr>
            </w:pPr>
            <w:r>
              <w:rPr>
                <w:b/>
              </w:rPr>
              <w:t xml:space="preserve"> </w:t>
            </w:r>
          </w:p>
        </w:tc>
        <w:tc>
          <w:tcPr>
            <w:tcW w:w="1995" w:type="dxa"/>
            <w:tcBorders>
              <w:top w:val="nil"/>
              <w:left w:val="nil"/>
              <w:bottom w:val="nil"/>
              <w:right w:val="nil"/>
            </w:tcBorders>
            <w:shd w:val="clear" w:color="auto" w:fill="A5C9EB"/>
            <w:tcMar>
              <w:top w:w="0" w:type="dxa"/>
              <w:left w:w="100" w:type="dxa"/>
              <w:bottom w:w="0" w:type="dxa"/>
              <w:right w:w="100" w:type="dxa"/>
            </w:tcMar>
          </w:tcPr>
          <w:p w14:paraId="359A14AB" w14:textId="77777777" w:rsidR="00124A30" w:rsidRDefault="00000000">
            <w:pPr>
              <w:spacing w:after="0"/>
              <w:jc w:val="center"/>
              <w:rPr>
                <w:b/>
              </w:rPr>
            </w:pPr>
            <w:r>
              <w:rPr>
                <w:b/>
              </w:rPr>
              <w:t xml:space="preserve"> </w:t>
            </w:r>
          </w:p>
        </w:tc>
      </w:tr>
      <w:tr w:rsidR="00124A30" w14:paraId="4C72E157" w14:textId="77777777">
        <w:trPr>
          <w:trHeight w:val="570"/>
        </w:trPr>
        <w:tc>
          <w:tcPr>
            <w:tcW w:w="3360" w:type="dxa"/>
            <w:tcBorders>
              <w:top w:val="nil"/>
              <w:left w:val="nil"/>
              <w:bottom w:val="nil"/>
              <w:right w:val="nil"/>
            </w:tcBorders>
            <w:tcMar>
              <w:top w:w="0" w:type="dxa"/>
              <w:left w:w="100" w:type="dxa"/>
              <w:bottom w:w="0" w:type="dxa"/>
              <w:right w:w="100" w:type="dxa"/>
            </w:tcMar>
            <w:vAlign w:val="center"/>
          </w:tcPr>
          <w:p w14:paraId="70C584AA" w14:textId="77777777" w:rsidR="00124A30" w:rsidRDefault="00000000">
            <w:pPr>
              <w:spacing w:after="0"/>
            </w:pPr>
            <w:r>
              <w:t>Institution's IT Department</w:t>
            </w:r>
          </w:p>
        </w:tc>
        <w:tc>
          <w:tcPr>
            <w:tcW w:w="1920" w:type="dxa"/>
            <w:tcBorders>
              <w:top w:val="nil"/>
              <w:left w:val="nil"/>
              <w:bottom w:val="nil"/>
              <w:right w:val="nil"/>
            </w:tcBorders>
            <w:shd w:val="clear" w:color="auto" w:fill="D9F2D0"/>
            <w:tcMar>
              <w:top w:w="0" w:type="dxa"/>
              <w:left w:w="100" w:type="dxa"/>
              <w:bottom w:w="0" w:type="dxa"/>
              <w:right w:w="100" w:type="dxa"/>
            </w:tcMar>
            <w:vAlign w:val="center"/>
          </w:tcPr>
          <w:p w14:paraId="647F645E" w14:textId="77777777" w:rsidR="00124A30" w:rsidRDefault="00000000">
            <w:pPr>
              <w:spacing w:after="0"/>
              <w:jc w:val="center"/>
              <w:rPr>
                <w:b/>
              </w:rPr>
            </w:pPr>
            <w:r>
              <w:rPr>
                <w:rFonts w:ascii="Arial Unicode MS" w:eastAsia="Arial Unicode MS" w:hAnsi="Arial Unicode MS" w:cs="Arial Unicode MS"/>
                <w:b/>
              </w:rPr>
              <w:t>✓</w:t>
            </w:r>
          </w:p>
        </w:tc>
        <w:tc>
          <w:tcPr>
            <w:tcW w:w="1575" w:type="dxa"/>
            <w:tcBorders>
              <w:top w:val="nil"/>
              <w:left w:val="nil"/>
              <w:bottom w:val="nil"/>
              <w:right w:val="single" w:sz="13" w:space="0" w:color="D1D1D1"/>
            </w:tcBorders>
            <w:shd w:val="clear" w:color="auto" w:fill="D9F2D0"/>
            <w:tcMar>
              <w:top w:w="0" w:type="dxa"/>
              <w:left w:w="100" w:type="dxa"/>
              <w:bottom w:w="0" w:type="dxa"/>
              <w:right w:w="100" w:type="dxa"/>
            </w:tcMar>
            <w:vAlign w:val="center"/>
          </w:tcPr>
          <w:p w14:paraId="063A58AC" w14:textId="77777777" w:rsidR="00124A30" w:rsidRDefault="00000000">
            <w:pPr>
              <w:spacing w:after="0"/>
              <w:jc w:val="center"/>
              <w:rPr>
                <w:b/>
              </w:rPr>
            </w:pPr>
            <w:r>
              <w:rPr>
                <w:rFonts w:ascii="Arial Unicode MS" w:eastAsia="Arial Unicode MS" w:hAnsi="Arial Unicode MS" w:cs="Arial Unicode MS"/>
                <w:b/>
              </w:rPr>
              <w:t>✓</w:t>
            </w:r>
          </w:p>
        </w:tc>
        <w:tc>
          <w:tcPr>
            <w:tcW w:w="1995" w:type="dxa"/>
            <w:tcBorders>
              <w:top w:val="nil"/>
              <w:left w:val="nil"/>
              <w:bottom w:val="nil"/>
              <w:right w:val="nil"/>
            </w:tcBorders>
            <w:shd w:val="clear" w:color="auto" w:fill="FFFFFF"/>
            <w:tcMar>
              <w:top w:w="0" w:type="dxa"/>
              <w:left w:w="100" w:type="dxa"/>
              <w:bottom w:w="0" w:type="dxa"/>
              <w:right w:w="100" w:type="dxa"/>
            </w:tcMar>
            <w:vAlign w:val="center"/>
          </w:tcPr>
          <w:p w14:paraId="07686EE4" w14:textId="77777777" w:rsidR="00124A30" w:rsidRDefault="00000000">
            <w:pPr>
              <w:spacing w:after="0"/>
              <w:jc w:val="center"/>
              <w:rPr>
                <w:b/>
              </w:rPr>
            </w:pPr>
            <w:r>
              <w:rPr>
                <w:rFonts w:ascii="Arial Unicode MS" w:eastAsia="Arial Unicode MS" w:hAnsi="Arial Unicode MS" w:cs="Arial Unicode MS"/>
                <w:b/>
              </w:rPr>
              <w:t>✓</w:t>
            </w:r>
          </w:p>
        </w:tc>
      </w:tr>
      <w:tr w:rsidR="00124A30" w14:paraId="365FC3E8" w14:textId="77777777">
        <w:trPr>
          <w:trHeight w:val="600"/>
        </w:trPr>
        <w:tc>
          <w:tcPr>
            <w:tcW w:w="3360" w:type="dxa"/>
            <w:tcBorders>
              <w:top w:val="nil"/>
              <w:left w:val="nil"/>
              <w:bottom w:val="nil"/>
              <w:right w:val="nil"/>
            </w:tcBorders>
            <w:tcMar>
              <w:top w:w="0" w:type="dxa"/>
              <w:left w:w="100" w:type="dxa"/>
              <w:bottom w:w="0" w:type="dxa"/>
              <w:right w:w="100" w:type="dxa"/>
            </w:tcMar>
            <w:vAlign w:val="center"/>
          </w:tcPr>
          <w:p w14:paraId="6E3BAF81" w14:textId="77777777" w:rsidR="00124A30" w:rsidRDefault="00000000">
            <w:pPr>
              <w:spacing w:after="0"/>
            </w:pPr>
            <w:r>
              <w:t>Researchers</w:t>
            </w:r>
          </w:p>
        </w:tc>
        <w:tc>
          <w:tcPr>
            <w:tcW w:w="1920" w:type="dxa"/>
            <w:tcBorders>
              <w:top w:val="nil"/>
              <w:left w:val="nil"/>
              <w:bottom w:val="nil"/>
              <w:right w:val="nil"/>
            </w:tcBorders>
            <w:shd w:val="clear" w:color="auto" w:fill="E8E8E8"/>
            <w:tcMar>
              <w:top w:w="0" w:type="dxa"/>
              <w:left w:w="100" w:type="dxa"/>
              <w:bottom w:w="0" w:type="dxa"/>
              <w:right w:w="100" w:type="dxa"/>
            </w:tcMar>
            <w:vAlign w:val="center"/>
          </w:tcPr>
          <w:p w14:paraId="02C8CD18" w14:textId="77777777" w:rsidR="00124A30" w:rsidRDefault="00000000">
            <w:pPr>
              <w:spacing w:after="0"/>
              <w:jc w:val="center"/>
              <w:rPr>
                <w:b/>
              </w:rPr>
            </w:pPr>
            <w:r>
              <w:rPr>
                <w:b/>
              </w:rPr>
              <w:t xml:space="preserve"> </w:t>
            </w:r>
          </w:p>
        </w:tc>
        <w:tc>
          <w:tcPr>
            <w:tcW w:w="1575" w:type="dxa"/>
            <w:tcBorders>
              <w:top w:val="nil"/>
              <w:left w:val="nil"/>
              <w:bottom w:val="nil"/>
              <w:right w:val="single" w:sz="13" w:space="0" w:color="D1D1D1"/>
            </w:tcBorders>
            <w:shd w:val="clear" w:color="auto" w:fill="E8E8E8"/>
            <w:tcMar>
              <w:top w:w="0" w:type="dxa"/>
              <w:left w:w="100" w:type="dxa"/>
              <w:bottom w:w="0" w:type="dxa"/>
              <w:right w:w="100" w:type="dxa"/>
            </w:tcMar>
            <w:vAlign w:val="center"/>
          </w:tcPr>
          <w:p w14:paraId="6C70D47A" w14:textId="77777777" w:rsidR="00124A30" w:rsidRDefault="00000000">
            <w:pPr>
              <w:spacing w:after="0"/>
              <w:jc w:val="center"/>
              <w:rPr>
                <w:b/>
              </w:rPr>
            </w:pPr>
            <w:r>
              <w:rPr>
                <w:b/>
              </w:rPr>
              <w:t xml:space="preserve"> </w:t>
            </w:r>
          </w:p>
        </w:tc>
        <w:tc>
          <w:tcPr>
            <w:tcW w:w="1995" w:type="dxa"/>
            <w:tcBorders>
              <w:top w:val="nil"/>
              <w:left w:val="nil"/>
              <w:bottom w:val="nil"/>
              <w:right w:val="nil"/>
            </w:tcBorders>
            <w:tcMar>
              <w:top w:w="0" w:type="dxa"/>
              <w:left w:w="100" w:type="dxa"/>
              <w:bottom w:w="0" w:type="dxa"/>
              <w:right w:w="100" w:type="dxa"/>
            </w:tcMar>
            <w:vAlign w:val="center"/>
          </w:tcPr>
          <w:p w14:paraId="3F944675" w14:textId="77777777" w:rsidR="00124A30" w:rsidRDefault="00000000">
            <w:pPr>
              <w:spacing w:after="0"/>
              <w:jc w:val="center"/>
              <w:rPr>
                <w:b/>
              </w:rPr>
            </w:pPr>
            <w:r>
              <w:rPr>
                <w:rFonts w:ascii="Arial Unicode MS" w:eastAsia="Arial Unicode MS" w:hAnsi="Arial Unicode MS" w:cs="Arial Unicode MS"/>
                <w:b/>
              </w:rPr>
              <w:t>✓</w:t>
            </w:r>
          </w:p>
        </w:tc>
      </w:tr>
      <w:tr w:rsidR="00124A30" w14:paraId="6BDF701D" w14:textId="77777777">
        <w:trPr>
          <w:trHeight w:val="555"/>
        </w:trPr>
        <w:tc>
          <w:tcPr>
            <w:tcW w:w="8850" w:type="dxa"/>
            <w:gridSpan w:val="4"/>
            <w:tcBorders>
              <w:top w:val="nil"/>
              <w:left w:val="nil"/>
              <w:bottom w:val="nil"/>
              <w:right w:val="nil"/>
            </w:tcBorders>
            <w:shd w:val="clear" w:color="auto" w:fill="A5C9EB"/>
            <w:tcMar>
              <w:top w:w="0" w:type="dxa"/>
              <w:left w:w="100" w:type="dxa"/>
              <w:bottom w:w="0" w:type="dxa"/>
              <w:right w:w="100" w:type="dxa"/>
            </w:tcMar>
            <w:vAlign w:val="center"/>
          </w:tcPr>
          <w:p w14:paraId="12EB671D" w14:textId="77777777" w:rsidR="00124A30" w:rsidRDefault="00000000">
            <w:pPr>
              <w:spacing w:after="0"/>
              <w:rPr>
                <w:b/>
              </w:rPr>
            </w:pPr>
            <w:r>
              <w:rPr>
                <w:b/>
              </w:rPr>
              <w:t>Unwanted modification/disappearance of data</w:t>
            </w:r>
          </w:p>
        </w:tc>
      </w:tr>
      <w:tr w:rsidR="00124A30" w14:paraId="6DCC55AF" w14:textId="77777777">
        <w:trPr>
          <w:trHeight w:val="570"/>
        </w:trPr>
        <w:tc>
          <w:tcPr>
            <w:tcW w:w="3360" w:type="dxa"/>
            <w:tcBorders>
              <w:top w:val="nil"/>
              <w:left w:val="nil"/>
              <w:bottom w:val="nil"/>
              <w:right w:val="nil"/>
            </w:tcBorders>
            <w:tcMar>
              <w:top w:w="0" w:type="dxa"/>
              <w:left w:w="100" w:type="dxa"/>
              <w:bottom w:w="0" w:type="dxa"/>
              <w:right w:w="100" w:type="dxa"/>
            </w:tcMar>
            <w:vAlign w:val="center"/>
          </w:tcPr>
          <w:p w14:paraId="75DD0BA8" w14:textId="77777777" w:rsidR="00124A30" w:rsidRDefault="00000000">
            <w:pPr>
              <w:spacing w:after="0"/>
            </w:pPr>
            <w:r>
              <w:t>Institution's IT Department</w:t>
            </w:r>
          </w:p>
        </w:tc>
        <w:tc>
          <w:tcPr>
            <w:tcW w:w="1920" w:type="dxa"/>
            <w:tcBorders>
              <w:top w:val="nil"/>
              <w:left w:val="nil"/>
              <w:bottom w:val="nil"/>
              <w:right w:val="nil"/>
            </w:tcBorders>
            <w:shd w:val="clear" w:color="auto" w:fill="D9F2D0"/>
            <w:tcMar>
              <w:top w:w="0" w:type="dxa"/>
              <w:left w:w="100" w:type="dxa"/>
              <w:bottom w:w="0" w:type="dxa"/>
              <w:right w:w="100" w:type="dxa"/>
            </w:tcMar>
            <w:vAlign w:val="center"/>
          </w:tcPr>
          <w:p w14:paraId="3C152770" w14:textId="77777777" w:rsidR="00124A30" w:rsidRDefault="00000000">
            <w:pPr>
              <w:spacing w:after="0"/>
              <w:jc w:val="center"/>
              <w:rPr>
                <w:b/>
              </w:rPr>
            </w:pPr>
            <w:r>
              <w:rPr>
                <w:rFonts w:ascii="Arial Unicode MS" w:eastAsia="Arial Unicode MS" w:hAnsi="Arial Unicode MS" w:cs="Arial Unicode MS"/>
                <w:b/>
              </w:rPr>
              <w:t>✓</w:t>
            </w:r>
          </w:p>
        </w:tc>
        <w:tc>
          <w:tcPr>
            <w:tcW w:w="1575" w:type="dxa"/>
            <w:tcBorders>
              <w:top w:val="nil"/>
              <w:left w:val="nil"/>
              <w:bottom w:val="nil"/>
              <w:right w:val="single" w:sz="13" w:space="0" w:color="D1D1D1"/>
            </w:tcBorders>
            <w:shd w:val="clear" w:color="auto" w:fill="D9F2D0"/>
            <w:tcMar>
              <w:top w:w="0" w:type="dxa"/>
              <w:left w:w="100" w:type="dxa"/>
              <w:bottom w:w="0" w:type="dxa"/>
              <w:right w:w="100" w:type="dxa"/>
            </w:tcMar>
            <w:vAlign w:val="center"/>
          </w:tcPr>
          <w:p w14:paraId="1296D3D3" w14:textId="77777777" w:rsidR="00124A30" w:rsidRDefault="00000000">
            <w:pPr>
              <w:spacing w:after="0"/>
              <w:jc w:val="center"/>
              <w:rPr>
                <w:b/>
              </w:rPr>
            </w:pPr>
            <w:r>
              <w:rPr>
                <w:rFonts w:ascii="Arial Unicode MS" w:eastAsia="Arial Unicode MS" w:hAnsi="Arial Unicode MS" w:cs="Arial Unicode MS"/>
                <w:b/>
              </w:rPr>
              <w:t>✓</w:t>
            </w:r>
          </w:p>
        </w:tc>
        <w:tc>
          <w:tcPr>
            <w:tcW w:w="1995" w:type="dxa"/>
            <w:tcBorders>
              <w:top w:val="nil"/>
              <w:left w:val="nil"/>
              <w:bottom w:val="nil"/>
              <w:right w:val="nil"/>
            </w:tcBorders>
            <w:shd w:val="clear" w:color="auto" w:fill="FFFFFF"/>
            <w:tcMar>
              <w:top w:w="0" w:type="dxa"/>
              <w:left w:w="100" w:type="dxa"/>
              <w:bottom w:w="0" w:type="dxa"/>
              <w:right w:w="100" w:type="dxa"/>
            </w:tcMar>
            <w:vAlign w:val="center"/>
          </w:tcPr>
          <w:p w14:paraId="3F48FADA" w14:textId="77777777" w:rsidR="00124A30" w:rsidRDefault="00000000">
            <w:pPr>
              <w:spacing w:after="0"/>
              <w:jc w:val="center"/>
              <w:rPr>
                <w:b/>
              </w:rPr>
            </w:pPr>
            <w:r>
              <w:rPr>
                <w:rFonts w:ascii="Arial Unicode MS" w:eastAsia="Arial Unicode MS" w:hAnsi="Arial Unicode MS" w:cs="Arial Unicode MS"/>
                <w:b/>
              </w:rPr>
              <w:t>✓</w:t>
            </w:r>
          </w:p>
        </w:tc>
      </w:tr>
      <w:tr w:rsidR="00124A30" w14:paraId="6D607005" w14:textId="77777777">
        <w:trPr>
          <w:trHeight w:val="615"/>
        </w:trPr>
        <w:tc>
          <w:tcPr>
            <w:tcW w:w="3360" w:type="dxa"/>
            <w:tcBorders>
              <w:top w:val="nil"/>
              <w:left w:val="nil"/>
              <w:bottom w:val="single" w:sz="7" w:space="0" w:color="000000"/>
              <w:right w:val="nil"/>
            </w:tcBorders>
            <w:tcMar>
              <w:top w:w="0" w:type="dxa"/>
              <w:left w:w="100" w:type="dxa"/>
              <w:bottom w:w="0" w:type="dxa"/>
              <w:right w:w="100" w:type="dxa"/>
            </w:tcMar>
            <w:vAlign w:val="center"/>
          </w:tcPr>
          <w:p w14:paraId="53000845" w14:textId="77777777" w:rsidR="00124A30" w:rsidRDefault="00000000">
            <w:pPr>
              <w:spacing w:after="0"/>
            </w:pPr>
            <w:r>
              <w:t>Researchers</w:t>
            </w:r>
          </w:p>
        </w:tc>
        <w:tc>
          <w:tcPr>
            <w:tcW w:w="1920" w:type="dxa"/>
            <w:tcBorders>
              <w:top w:val="nil"/>
              <w:left w:val="nil"/>
              <w:bottom w:val="single" w:sz="7" w:space="0" w:color="000000"/>
              <w:right w:val="nil"/>
            </w:tcBorders>
            <w:shd w:val="clear" w:color="auto" w:fill="E8E8E8"/>
            <w:tcMar>
              <w:top w:w="0" w:type="dxa"/>
              <w:left w:w="100" w:type="dxa"/>
              <w:bottom w:w="0" w:type="dxa"/>
              <w:right w:w="100" w:type="dxa"/>
            </w:tcMar>
            <w:vAlign w:val="center"/>
          </w:tcPr>
          <w:p w14:paraId="434A15E9" w14:textId="77777777" w:rsidR="00124A30" w:rsidRDefault="00000000">
            <w:pPr>
              <w:spacing w:after="0"/>
              <w:jc w:val="center"/>
              <w:rPr>
                <w:b/>
              </w:rPr>
            </w:pPr>
            <w:r>
              <w:rPr>
                <w:b/>
              </w:rPr>
              <w:t xml:space="preserve"> </w:t>
            </w:r>
          </w:p>
        </w:tc>
        <w:tc>
          <w:tcPr>
            <w:tcW w:w="1575" w:type="dxa"/>
            <w:tcBorders>
              <w:top w:val="nil"/>
              <w:left w:val="nil"/>
              <w:bottom w:val="single" w:sz="7" w:space="0" w:color="000000"/>
              <w:right w:val="single" w:sz="13" w:space="0" w:color="D1D1D1"/>
            </w:tcBorders>
            <w:shd w:val="clear" w:color="auto" w:fill="E8E8E8"/>
            <w:tcMar>
              <w:top w:w="0" w:type="dxa"/>
              <w:left w:w="100" w:type="dxa"/>
              <w:bottom w:w="0" w:type="dxa"/>
              <w:right w:w="100" w:type="dxa"/>
            </w:tcMar>
            <w:vAlign w:val="center"/>
          </w:tcPr>
          <w:p w14:paraId="0C375321" w14:textId="77777777" w:rsidR="00124A30" w:rsidRDefault="00000000">
            <w:pPr>
              <w:spacing w:after="0"/>
              <w:jc w:val="center"/>
              <w:rPr>
                <w:b/>
              </w:rPr>
            </w:pPr>
            <w:r>
              <w:rPr>
                <w:b/>
              </w:rPr>
              <w:t xml:space="preserve"> </w:t>
            </w:r>
          </w:p>
        </w:tc>
        <w:tc>
          <w:tcPr>
            <w:tcW w:w="1995" w:type="dxa"/>
            <w:tcBorders>
              <w:top w:val="nil"/>
              <w:left w:val="nil"/>
              <w:bottom w:val="single" w:sz="7" w:space="0" w:color="000000"/>
              <w:right w:val="nil"/>
            </w:tcBorders>
            <w:shd w:val="clear" w:color="auto" w:fill="E8E8E8"/>
            <w:tcMar>
              <w:top w:w="0" w:type="dxa"/>
              <w:left w:w="100" w:type="dxa"/>
              <w:bottom w:w="0" w:type="dxa"/>
              <w:right w:w="100" w:type="dxa"/>
            </w:tcMar>
            <w:vAlign w:val="center"/>
          </w:tcPr>
          <w:p w14:paraId="417CD767" w14:textId="77777777" w:rsidR="00124A30" w:rsidRDefault="00000000">
            <w:pPr>
              <w:spacing w:after="0"/>
              <w:jc w:val="center"/>
            </w:pPr>
            <w:r>
              <w:t xml:space="preserve"> </w:t>
            </w:r>
          </w:p>
        </w:tc>
      </w:tr>
    </w:tbl>
    <w:p w14:paraId="27B65559" w14:textId="77777777" w:rsidR="00124A30" w:rsidRDefault="00000000">
      <w:pPr>
        <w:jc w:val="both"/>
        <w:rPr>
          <w:shd w:val="clear" w:color="auto" w:fill="D9F2D0"/>
        </w:rPr>
      </w:pPr>
      <w:r>
        <w:rPr>
          <w:shd w:val="clear" w:color="auto" w:fill="D9F2D0"/>
        </w:rPr>
        <w:t>negligible risk</w:t>
      </w:r>
    </w:p>
    <w:p w14:paraId="18F4EF9B" w14:textId="77777777" w:rsidR="00124A30" w:rsidRDefault="00000000">
      <w:r>
        <w:br w:type="page"/>
      </w:r>
    </w:p>
    <w:p w14:paraId="0798D099" w14:textId="77777777" w:rsidR="00124A30" w:rsidRDefault="00000000">
      <w:pPr>
        <w:pStyle w:val="Heading1"/>
        <w:numPr>
          <w:ilvl w:val="0"/>
          <w:numId w:val="1"/>
        </w:numPr>
        <w:pBdr>
          <w:top w:val="nil"/>
          <w:left w:val="nil"/>
          <w:bottom w:val="nil"/>
          <w:right w:val="nil"/>
          <w:between w:val="nil"/>
        </w:pBdr>
        <w:spacing w:after="200"/>
        <w:ind w:left="450" w:hanging="180"/>
        <w:jc w:val="both"/>
        <w:rPr>
          <w:highlight w:val="white"/>
        </w:rPr>
      </w:pPr>
      <w:bookmarkStart w:id="48" w:name="_6dyilr19uo5" w:colFirst="0" w:colLast="0"/>
      <w:bookmarkEnd w:id="48"/>
      <w:r>
        <w:rPr>
          <w:highlight w:val="white"/>
        </w:rPr>
        <w:lastRenderedPageBreak/>
        <w:t>Glossary</w:t>
      </w:r>
    </w:p>
    <w:p w14:paraId="0C873568" w14:textId="77777777" w:rsidR="00124A30" w:rsidRDefault="00000000">
      <w:pPr>
        <w:pStyle w:val="Heading4"/>
        <w:jc w:val="both"/>
      </w:pPr>
      <w:bookmarkStart w:id="49" w:name="_cafrmkm31h20" w:colFirst="0" w:colLast="0"/>
      <w:bookmarkEnd w:id="49"/>
      <w:r>
        <w:t xml:space="preserve">Aggregated and Irreversibly </w:t>
      </w:r>
      <w:proofErr w:type="spellStart"/>
      <w:r>
        <w:t>Anonymised</w:t>
      </w:r>
      <w:proofErr w:type="spellEnd"/>
      <w:r>
        <w:t xml:space="preserve"> Results</w:t>
      </w:r>
    </w:p>
    <w:p w14:paraId="3A18969F" w14:textId="77777777" w:rsidR="00124A30" w:rsidRDefault="00000000">
      <w:pPr>
        <w:jc w:val="both"/>
        <w:rPr>
          <w:i/>
          <w:highlight w:val="white"/>
        </w:rPr>
      </w:pPr>
      <w:r>
        <w:t xml:space="preserve">Combined and </w:t>
      </w:r>
      <w:proofErr w:type="spellStart"/>
      <w:r>
        <w:t>anonymised</w:t>
      </w:r>
      <w:proofErr w:type="spellEnd"/>
      <w:r>
        <w:t xml:space="preserve"> information resulting from computation over sets of individuals, ensuring the irreversibility of the identification of data subjects. Such results are therefore not subject to the GDPR. These results can be presented in the form of Tier 1 Tables.</w:t>
      </w:r>
    </w:p>
    <w:p w14:paraId="5C57224F" w14:textId="77777777" w:rsidR="00124A30" w:rsidRDefault="00000000">
      <w:pPr>
        <w:pStyle w:val="Heading4"/>
        <w:jc w:val="both"/>
        <w:rPr>
          <w:i/>
          <w:highlight w:val="white"/>
        </w:rPr>
      </w:pPr>
      <w:bookmarkStart w:id="50" w:name="_57s24jzg8aov" w:colFirst="0" w:colLast="0"/>
      <w:bookmarkEnd w:id="50"/>
      <w:r>
        <w:rPr>
          <w:i/>
          <w:highlight w:val="white"/>
        </w:rPr>
        <w:t>Algorithm goes to data</w:t>
      </w:r>
    </w:p>
    <w:p w14:paraId="15CC14A8" w14:textId="77777777" w:rsidR="00124A30" w:rsidRDefault="00000000">
      <w:pPr>
        <w:jc w:val="both"/>
        <w:rPr>
          <w:highlight w:val="white"/>
        </w:rPr>
      </w:pPr>
      <w:r>
        <w:rPr>
          <w:highlight w:val="white"/>
        </w:rPr>
        <w:t xml:space="preserve">Methodology used in data science that advocates the execution of algorithms directly at the location where the data is stored, instead of transferring the data to third-party systems for processing. This method removes the need to entrust data processing to third parties, removing the eventual exposure of sensitive data during transfer and subsequent processing, mitigating risks of </w:t>
      </w:r>
      <w:proofErr w:type="spellStart"/>
      <w:r>
        <w:rPr>
          <w:highlight w:val="white"/>
        </w:rPr>
        <w:t>unauthorised</w:t>
      </w:r>
      <w:proofErr w:type="spellEnd"/>
      <w:r>
        <w:rPr>
          <w:highlight w:val="white"/>
        </w:rPr>
        <w:t xml:space="preserve"> access, privacy violations and traceability of data processing. This approach is widely used in contexts that require high privacy and security, such as health, finance and </w:t>
      </w:r>
      <w:proofErr w:type="spellStart"/>
      <w:r>
        <w:rPr>
          <w:highlight w:val="white"/>
        </w:rPr>
        <w:t>defence</w:t>
      </w:r>
      <w:proofErr w:type="spellEnd"/>
      <w:r>
        <w:rPr>
          <w:highlight w:val="white"/>
        </w:rPr>
        <w:t>, ensuring compliance with the GDPR.</w:t>
      </w:r>
    </w:p>
    <w:p w14:paraId="51413058" w14:textId="77777777" w:rsidR="00124A30" w:rsidRDefault="00000000">
      <w:pPr>
        <w:pStyle w:val="Heading4"/>
        <w:jc w:val="both"/>
      </w:pPr>
      <w:bookmarkStart w:id="51" w:name="_f99gxlxatvb2" w:colFirst="0" w:colLast="0"/>
      <w:bookmarkEnd w:id="51"/>
      <w:proofErr w:type="spellStart"/>
      <w:r>
        <w:t>Anonymised</w:t>
      </w:r>
      <w:proofErr w:type="spellEnd"/>
      <w:r>
        <w:t xml:space="preserve"> data</w:t>
      </w:r>
    </w:p>
    <w:p w14:paraId="4CE88C77" w14:textId="77777777" w:rsidR="00124A30" w:rsidRDefault="00000000">
      <w:pPr>
        <w:pBdr>
          <w:top w:val="nil"/>
          <w:left w:val="nil"/>
          <w:bottom w:val="nil"/>
          <w:right w:val="nil"/>
          <w:between w:val="nil"/>
        </w:pBdr>
        <w:jc w:val="both"/>
        <w:rPr>
          <w:highlight w:val="white"/>
        </w:rPr>
      </w:pPr>
      <w:r>
        <w:rPr>
          <w:highlight w:val="white"/>
        </w:rPr>
        <w:t>Data that does not relate to an identified or identifiable natural person or personal data rendered anonymous in such a manner that the data subject is not or no longer identifiable (</w:t>
      </w:r>
      <w:proofErr w:type="gramStart"/>
      <w:r>
        <w:rPr>
          <w:highlight w:val="white"/>
        </w:rPr>
        <w:t>Article  26</w:t>
      </w:r>
      <w:proofErr w:type="gramEnd"/>
      <w:r>
        <w:rPr>
          <w:highlight w:val="white"/>
        </w:rPr>
        <w:t xml:space="preserve"> of the GDPR).</w:t>
      </w:r>
    </w:p>
    <w:p w14:paraId="10618BAC" w14:textId="77777777" w:rsidR="00124A30" w:rsidRDefault="00000000">
      <w:pPr>
        <w:pStyle w:val="Heading4"/>
        <w:jc w:val="both"/>
      </w:pPr>
      <w:bookmarkStart w:id="52" w:name="_cjfed6orpuig" w:colFirst="0" w:colLast="0"/>
      <w:bookmarkEnd w:id="52"/>
      <w:r>
        <w:t>ATLAS</w:t>
      </w:r>
    </w:p>
    <w:p w14:paraId="0938022E" w14:textId="77777777" w:rsidR="00124A30" w:rsidRDefault="00000000">
      <w:pPr>
        <w:jc w:val="both"/>
        <w:rPr>
          <w:i/>
        </w:rPr>
      </w:pPr>
      <w:r>
        <w:rPr>
          <w:highlight w:val="white"/>
        </w:rPr>
        <w:t>Open-source software maintained by the OHDSI (Observational Data Science and Informatics) community that allows the analysis of large-scale observational health data according to the international standard Observational Medical Outcomes Partnership - Common Data Model (OMOP-CDM).</w:t>
      </w:r>
    </w:p>
    <w:p w14:paraId="44B85722" w14:textId="77777777" w:rsidR="00124A30" w:rsidRDefault="00000000">
      <w:pPr>
        <w:pStyle w:val="Heading4"/>
        <w:jc w:val="both"/>
        <w:rPr>
          <w:highlight w:val="white"/>
        </w:rPr>
      </w:pPr>
      <w:bookmarkStart w:id="53" w:name="_7oipavn85c8s" w:colFirst="0" w:colLast="0"/>
      <w:bookmarkEnd w:id="53"/>
      <w:r>
        <w:rPr>
          <w:highlight w:val="white"/>
        </w:rPr>
        <w:t>Export</w:t>
      </w:r>
    </w:p>
    <w:p w14:paraId="6EF38492" w14:textId="77777777" w:rsidR="00124A30" w:rsidRDefault="00000000">
      <w:pPr>
        <w:jc w:val="both"/>
        <w:rPr>
          <w:highlight w:val="white"/>
        </w:rPr>
      </w:pPr>
      <w:r>
        <w:rPr>
          <w:highlight w:val="white"/>
        </w:rPr>
        <w:t>Fully traceable process of exporting processing artefacts outside the Institution's local infrastructure. This process ensures that any transfer of aggregated results is monitored and documented, ensuring compliance with security and data protection policies.</w:t>
      </w:r>
    </w:p>
    <w:p w14:paraId="0F31D159" w14:textId="77777777" w:rsidR="00124A30" w:rsidRDefault="00000000">
      <w:pPr>
        <w:pStyle w:val="Heading4"/>
        <w:jc w:val="both"/>
        <w:rPr>
          <w:highlight w:val="white"/>
        </w:rPr>
      </w:pPr>
      <w:bookmarkStart w:id="54" w:name="_ghv2x1mwy4q4" w:colFirst="0" w:colLast="0"/>
      <w:bookmarkEnd w:id="54"/>
      <w:proofErr w:type="spellStart"/>
      <w:r>
        <w:rPr>
          <w:highlight w:val="white"/>
        </w:rPr>
        <w:lastRenderedPageBreak/>
        <w:t>Internalisation</w:t>
      </w:r>
      <w:proofErr w:type="spellEnd"/>
    </w:p>
    <w:p w14:paraId="05390400" w14:textId="77777777" w:rsidR="00124A30" w:rsidRDefault="00000000">
      <w:pPr>
        <w:jc w:val="both"/>
        <w:rPr>
          <w:highlight w:val="white"/>
        </w:rPr>
      </w:pPr>
      <w:r>
        <w:rPr>
          <w:highlight w:val="white"/>
        </w:rPr>
        <w:t xml:space="preserve">Fully traceable process of importing Study Packages into the Institution's local infrastructure. This procedure ensures that all Study Packages are </w:t>
      </w:r>
      <w:proofErr w:type="spellStart"/>
      <w:r>
        <w:rPr>
          <w:highlight w:val="white"/>
        </w:rPr>
        <w:t>analysed</w:t>
      </w:r>
      <w:proofErr w:type="spellEnd"/>
      <w:r>
        <w:rPr>
          <w:highlight w:val="white"/>
        </w:rPr>
        <w:t>, validated and registered before their execution, ensuring transparency, integrity and security in data processing.</w:t>
      </w:r>
    </w:p>
    <w:p w14:paraId="775B1E1B" w14:textId="77777777" w:rsidR="00124A30" w:rsidRDefault="00000000">
      <w:pPr>
        <w:pStyle w:val="Heading4"/>
        <w:jc w:val="both"/>
      </w:pPr>
      <w:bookmarkStart w:id="55" w:name="_2bqzfla4w6gr" w:colFirst="0" w:colLast="0"/>
      <w:bookmarkEnd w:id="55"/>
      <w:r>
        <w:t>Institution</w:t>
      </w:r>
    </w:p>
    <w:p w14:paraId="7D9EF528" w14:textId="77777777" w:rsidR="00124A30" w:rsidRDefault="00000000">
      <w:pPr>
        <w:pBdr>
          <w:top w:val="nil"/>
          <w:left w:val="nil"/>
          <w:bottom w:val="nil"/>
          <w:right w:val="nil"/>
          <w:between w:val="nil"/>
        </w:pBdr>
        <w:jc w:val="both"/>
        <w:rPr>
          <w:highlight w:val="white"/>
        </w:rPr>
      </w:pPr>
      <w:r>
        <w:t>Entity holding electronic health records of patients and developing R&amp;D initiatives that require processing of these records.</w:t>
      </w:r>
    </w:p>
    <w:p w14:paraId="562FE967" w14:textId="77777777" w:rsidR="00124A30" w:rsidRDefault="00000000">
      <w:pPr>
        <w:pStyle w:val="Heading4"/>
        <w:jc w:val="both"/>
        <w:rPr>
          <w:highlight w:val="white"/>
        </w:rPr>
      </w:pPr>
      <w:bookmarkStart w:id="56" w:name="_jf2d8871l9dw" w:colFirst="0" w:colLast="0"/>
      <w:bookmarkEnd w:id="56"/>
      <w:r>
        <w:rPr>
          <w:highlight w:val="white"/>
        </w:rPr>
        <w:t>Local infrastructure</w:t>
      </w:r>
    </w:p>
    <w:p w14:paraId="071A0796" w14:textId="77777777" w:rsidR="00124A30" w:rsidRDefault="00000000">
      <w:pPr>
        <w:spacing w:after="0"/>
        <w:jc w:val="both"/>
        <w:rPr>
          <w:highlight w:val="white"/>
        </w:rPr>
      </w:pPr>
      <w:r>
        <w:rPr>
          <w:highlight w:val="white"/>
        </w:rPr>
        <w:t>Physical installation that houses the computing systems and their associated components, ensuring the secure and efficient functioning of the Institution's technological operations.</w:t>
      </w:r>
    </w:p>
    <w:p w14:paraId="0CA1BFF1" w14:textId="77777777" w:rsidR="00124A30" w:rsidRDefault="00000000">
      <w:pPr>
        <w:spacing w:after="0"/>
        <w:jc w:val="both"/>
        <w:rPr>
          <w:highlight w:val="white"/>
        </w:rPr>
      </w:pPr>
      <w:r>
        <w:rPr>
          <w:highlight w:val="white"/>
        </w:rPr>
        <w:t>Main components:</w:t>
      </w:r>
    </w:p>
    <w:p w14:paraId="344D27BD" w14:textId="77777777" w:rsidR="00124A30" w:rsidRDefault="00000000">
      <w:pPr>
        <w:spacing w:after="0"/>
        <w:jc w:val="both"/>
        <w:rPr>
          <w:highlight w:val="white"/>
        </w:rPr>
      </w:pPr>
      <w:r>
        <w:rPr>
          <w:highlight w:val="white"/>
        </w:rPr>
        <w:t>• Servers: Responsible for processing and storing data.</w:t>
      </w:r>
    </w:p>
    <w:p w14:paraId="0EFA576D" w14:textId="77777777" w:rsidR="00124A30" w:rsidRDefault="00000000">
      <w:pPr>
        <w:spacing w:after="0"/>
        <w:jc w:val="both"/>
        <w:rPr>
          <w:highlight w:val="white"/>
        </w:rPr>
      </w:pPr>
      <w:r>
        <w:rPr>
          <w:highlight w:val="white"/>
        </w:rPr>
        <w:t>• Storage systems: Include databases and repositories for information management.</w:t>
      </w:r>
    </w:p>
    <w:p w14:paraId="34F8BB4D" w14:textId="77777777" w:rsidR="00124A30" w:rsidRDefault="00000000">
      <w:pPr>
        <w:jc w:val="both"/>
      </w:pPr>
      <w:r>
        <w:rPr>
          <w:highlight w:val="white"/>
        </w:rPr>
        <w:t>• Network infrastructure: Includes switches, routers and firewalls for communication and system security.</w:t>
      </w:r>
    </w:p>
    <w:p w14:paraId="4536567C" w14:textId="77777777" w:rsidR="00124A30" w:rsidRDefault="00000000">
      <w:pPr>
        <w:pStyle w:val="Heading4"/>
        <w:jc w:val="both"/>
      </w:pPr>
      <w:bookmarkStart w:id="57" w:name="_ej3a8y6yimds" w:colFirst="0" w:colLast="0"/>
      <w:bookmarkEnd w:id="57"/>
      <w:r>
        <w:t>Metadata catalogues</w:t>
      </w:r>
    </w:p>
    <w:p w14:paraId="50A0A0E6" w14:textId="77777777" w:rsidR="00124A30" w:rsidRDefault="00000000">
      <w:pPr>
        <w:jc w:val="both"/>
        <w:rPr>
          <w:highlight w:val="white"/>
        </w:rPr>
      </w:pPr>
      <w:r>
        <w:rPr>
          <w:highlight w:val="white"/>
        </w:rPr>
        <w:t>Catalogues that describe the relevant elements of the structure of the information systems in use by the Institution and the terminologies used in the databases of these systems. They are also commonly referred to as master data. This metadata is not personal data, so the GDPR does not apply to it. Metadata is a necessary and sufficient condition for the development of Extract, Transform, and Load (ETL) processes and Study Packages.</w:t>
      </w:r>
    </w:p>
    <w:p w14:paraId="3D4966D4" w14:textId="77777777" w:rsidR="00124A30" w:rsidRDefault="00000000">
      <w:pPr>
        <w:pStyle w:val="Heading4"/>
        <w:jc w:val="both"/>
      </w:pPr>
      <w:bookmarkStart w:id="58" w:name="_ul36u0xchuo5" w:colFirst="0" w:colLast="0"/>
      <w:bookmarkEnd w:id="58"/>
      <w:r>
        <w:t>Partner entity</w:t>
      </w:r>
    </w:p>
    <w:p w14:paraId="43FAB399" w14:textId="77777777" w:rsidR="00124A30" w:rsidRDefault="00000000">
      <w:pPr>
        <w:jc w:val="both"/>
        <w:rPr>
          <w:b/>
        </w:rPr>
      </w:pPr>
      <w:r>
        <w:t>Entity that collaborates with the Institution on R&amp;D initiatives that require EHR processing.</w:t>
      </w:r>
    </w:p>
    <w:p w14:paraId="03C8D398" w14:textId="77777777" w:rsidR="00124A30" w:rsidRDefault="00000000">
      <w:pPr>
        <w:pStyle w:val="Heading4"/>
        <w:rPr>
          <w:i/>
        </w:rPr>
      </w:pPr>
      <w:bookmarkStart w:id="59" w:name="_h7jq90nfismt" w:colFirst="0" w:colLast="0"/>
      <w:bookmarkEnd w:id="59"/>
      <w:r>
        <w:t>Personal data</w:t>
      </w:r>
    </w:p>
    <w:p w14:paraId="4A6A2DFB" w14:textId="77777777" w:rsidR="00124A30" w:rsidRDefault="00000000">
      <w:pPr>
        <w:jc w:val="both"/>
      </w:pPr>
      <w:r>
        <w:t>Any information relating to an identified or identifiable natural person, i.e., a patient or a healthcare professional.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including electronic health records (Article 4(1) of the GDPR).</w:t>
      </w:r>
    </w:p>
    <w:p w14:paraId="6672E620" w14:textId="77777777" w:rsidR="00124A30" w:rsidRDefault="00000000">
      <w:pPr>
        <w:pStyle w:val="Heading4"/>
        <w:jc w:val="both"/>
      </w:pPr>
      <w:bookmarkStart w:id="60" w:name="_ev0l62vxdodn" w:colFirst="0" w:colLast="0"/>
      <w:bookmarkEnd w:id="60"/>
      <w:r>
        <w:lastRenderedPageBreak/>
        <w:t>Researchers</w:t>
      </w:r>
    </w:p>
    <w:p w14:paraId="60F341B3" w14:textId="77777777" w:rsidR="00124A30" w:rsidRDefault="00000000">
      <w:pPr>
        <w:jc w:val="both"/>
      </w:pPr>
      <w:r>
        <w:t>Researchers affiliated with the Institution or with partner entities, involved in the development of a study protocol and respective Study Package.</w:t>
      </w:r>
    </w:p>
    <w:p w14:paraId="6F2C5554" w14:textId="77777777" w:rsidR="00124A30" w:rsidRDefault="00000000">
      <w:pPr>
        <w:pStyle w:val="Heading4"/>
        <w:jc w:val="both"/>
        <w:rPr>
          <w:highlight w:val="white"/>
        </w:rPr>
      </w:pPr>
      <w:bookmarkStart w:id="61" w:name="_3vy5t6likyjn" w:colFirst="0" w:colLast="0"/>
      <w:bookmarkEnd w:id="61"/>
      <w:r>
        <w:rPr>
          <w:i/>
          <w:highlight w:val="white"/>
        </w:rPr>
        <w:t>Study Dataset</w:t>
      </w:r>
    </w:p>
    <w:p w14:paraId="12D26789" w14:textId="77777777" w:rsidR="00124A30" w:rsidRDefault="00000000">
      <w:pPr>
        <w:jc w:val="both"/>
        <w:rPr>
          <w:highlight w:val="white"/>
        </w:rPr>
      </w:pPr>
      <w:r>
        <w:rPr>
          <w:highlight w:val="white"/>
        </w:rPr>
        <w:t xml:space="preserve">A set of identifiable data, originating from the asynchronous copy of the Institution's electronic health records, containing only the minimum data strictly necessary for the execution of a specific Study Package, reducing the risk of exposure of sensitive data and ensuring compliance with the GDPR. This dataset covers a determined time interval necessary for the study objectives, </w:t>
      </w:r>
      <w:proofErr w:type="spellStart"/>
      <w:r>
        <w:rPr>
          <w:highlight w:val="white"/>
        </w:rPr>
        <w:t>minimising</w:t>
      </w:r>
      <w:proofErr w:type="spellEnd"/>
      <w:r>
        <w:rPr>
          <w:highlight w:val="white"/>
        </w:rPr>
        <w:t xml:space="preserve"> the amount of data processed and stored.</w:t>
      </w:r>
    </w:p>
    <w:p w14:paraId="2CDABB87" w14:textId="77777777" w:rsidR="00124A30" w:rsidRDefault="00000000">
      <w:pPr>
        <w:pStyle w:val="Heading4"/>
        <w:jc w:val="both"/>
        <w:rPr>
          <w:i/>
        </w:rPr>
      </w:pPr>
      <w:bookmarkStart w:id="62" w:name="_lqxfr7y3shao" w:colFirst="0" w:colLast="0"/>
      <w:bookmarkEnd w:id="62"/>
      <w:r>
        <w:rPr>
          <w:i/>
        </w:rPr>
        <w:t>Study Package</w:t>
      </w:r>
    </w:p>
    <w:p w14:paraId="5E58EBD4" w14:textId="77777777" w:rsidR="00124A30" w:rsidRDefault="00000000">
      <w:pPr>
        <w:jc w:val="both"/>
        <w:rPr>
          <w:highlight w:val="white"/>
        </w:rPr>
      </w:pPr>
      <w:r>
        <w:rPr>
          <w:highlight w:val="white"/>
        </w:rPr>
        <w:t>Software elements developed specifically to process electronic health records in formats whose specification is known, implementing eventual routines for cleaning, aggregation, summary, statistical analysis, data science, or artificial intelligence or others, which result in the production of the processing artefacts defined in the statistical analysis plan. The execution of the Study Package is carried out directly on the Institution's local infrastructure, in a dedicated and secure environment.</w:t>
      </w:r>
    </w:p>
    <w:p w14:paraId="145C104A" w14:textId="77777777" w:rsidR="00124A30" w:rsidRDefault="00000000">
      <w:pPr>
        <w:pStyle w:val="Heading4"/>
        <w:jc w:val="both"/>
        <w:rPr>
          <w:i/>
        </w:rPr>
      </w:pPr>
      <w:bookmarkStart w:id="63" w:name="_kw1ccikbpbwq" w:colFirst="0" w:colLast="0"/>
      <w:bookmarkEnd w:id="63"/>
      <w:r>
        <w:rPr>
          <w:i/>
        </w:rPr>
        <w:t>Tier 1 Tables</w:t>
      </w:r>
    </w:p>
    <w:p w14:paraId="2AE9AC6B" w14:textId="77777777" w:rsidR="00124A30" w:rsidRDefault="00000000">
      <w:pPr>
        <w:jc w:val="both"/>
      </w:pPr>
      <w:r>
        <w:t>Excel format tables used to present the aggregated results and analyses of the study.</w:t>
      </w:r>
    </w:p>
    <w:p w14:paraId="61884DED" w14:textId="77777777" w:rsidR="00124A30" w:rsidRDefault="00000000">
      <w:pPr>
        <w:pStyle w:val="Heading4"/>
        <w:jc w:val="both"/>
        <w:rPr>
          <w:i/>
        </w:rPr>
      </w:pPr>
      <w:bookmarkStart w:id="64" w:name="_pwrg6gz4423p" w:colFirst="0" w:colLast="0"/>
      <w:bookmarkEnd w:id="64"/>
      <w:r>
        <w:rPr>
          <w:i/>
        </w:rPr>
        <w:t>Tier 1 Table Shells</w:t>
      </w:r>
    </w:p>
    <w:p w14:paraId="45225AC2" w14:textId="77777777" w:rsidR="00124A30" w:rsidRDefault="00000000">
      <w:pPr>
        <w:jc w:val="both"/>
        <w:rPr>
          <w:highlight w:val="white"/>
        </w:rPr>
      </w:pPr>
      <w:r>
        <w:rPr>
          <w:highlight w:val="white"/>
        </w:rPr>
        <w:t xml:space="preserve">Templates of the Tier 1 Tables that define exactly the layout, content and format of the output, and are specified in the project planning phase, forming part of the statistical analysis plan, and are therefore created before the production of results. For example, a layout may include columns such as "Age Group" and "Diagnosis Frequency", with aggregated values, which ensure the confidentiality of data subjects. The Institution's Data Protection Team is encouraged to review the structure of the Tier 1 Table Shells, namely the categories of variables and their individual reporting elements, as well as the minimum size of the aggregated value to be reported in each cell, </w:t>
      </w:r>
      <w:proofErr w:type="gramStart"/>
      <w:r>
        <w:rPr>
          <w:highlight w:val="white"/>
        </w:rPr>
        <w:t>in order to</w:t>
      </w:r>
      <w:proofErr w:type="gramEnd"/>
      <w:r>
        <w:rPr>
          <w:highlight w:val="white"/>
        </w:rPr>
        <w:t xml:space="preserve"> adequately assess the risk of reverse identification of natural persons. The minimum number of observations for the value to be reported </w:t>
      </w:r>
      <w:proofErr w:type="gramStart"/>
      <w:r>
        <w:rPr>
          <w:highlight w:val="white"/>
        </w:rPr>
        <w:t>in a given</w:t>
      </w:r>
      <w:proofErr w:type="gramEnd"/>
      <w:r>
        <w:rPr>
          <w:highlight w:val="white"/>
        </w:rPr>
        <w:t xml:space="preserve"> cell of a Tier 1 Table Shell is 5 (five). It is expected that the Institution's Data Protection Team will review this parameter during the impact assessment </w:t>
      </w:r>
      <w:proofErr w:type="gramStart"/>
      <w:r>
        <w:rPr>
          <w:highlight w:val="white"/>
        </w:rPr>
        <w:t>in order to</w:t>
      </w:r>
      <w:proofErr w:type="gramEnd"/>
      <w:r>
        <w:rPr>
          <w:highlight w:val="white"/>
        </w:rPr>
        <w:t xml:space="preserve"> </w:t>
      </w:r>
      <w:proofErr w:type="spellStart"/>
      <w:r>
        <w:rPr>
          <w:highlight w:val="white"/>
        </w:rPr>
        <w:t>minimise</w:t>
      </w:r>
      <w:proofErr w:type="spellEnd"/>
      <w:r>
        <w:rPr>
          <w:highlight w:val="white"/>
        </w:rPr>
        <w:t xml:space="preserve"> any risk of reverse identification that it considers may be secondary to the structure of the Tier 1 Table Shell.</w:t>
      </w:r>
      <w:r>
        <w:br w:type="page"/>
      </w:r>
    </w:p>
    <w:p w14:paraId="5200A043" w14:textId="77777777" w:rsidR="00124A30" w:rsidRDefault="00000000">
      <w:pPr>
        <w:pStyle w:val="Heading1"/>
        <w:numPr>
          <w:ilvl w:val="0"/>
          <w:numId w:val="1"/>
        </w:numPr>
        <w:pBdr>
          <w:top w:val="nil"/>
          <w:left w:val="nil"/>
          <w:bottom w:val="nil"/>
          <w:right w:val="nil"/>
          <w:between w:val="nil"/>
        </w:pBdr>
        <w:spacing w:after="200"/>
        <w:ind w:left="450" w:hanging="180"/>
        <w:jc w:val="both"/>
        <w:rPr>
          <w:highlight w:val="white"/>
        </w:rPr>
      </w:pPr>
      <w:bookmarkStart w:id="65" w:name="_klcn5eijuvu" w:colFirst="0" w:colLast="0"/>
      <w:bookmarkEnd w:id="65"/>
      <w:r>
        <w:rPr>
          <w:highlight w:val="white"/>
        </w:rPr>
        <w:lastRenderedPageBreak/>
        <w:t>Annexes</w:t>
      </w:r>
    </w:p>
    <w:p w14:paraId="7D1117BB" w14:textId="77777777" w:rsidR="00124A30" w:rsidRDefault="00000000">
      <w:pPr>
        <w:pStyle w:val="Heading4"/>
        <w:jc w:val="both"/>
      </w:pPr>
      <w:bookmarkStart w:id="66" w:name="_wbt6gjaseww1" w:colFirst="0" w:colLast="0"/>
      <w:bookmarkEnd w:id="66"/>
      <w:r>
        <w:t>Annex 1</w:t>
      </w:r>
    </w:p>
    <w:p w14:paraId="13C868A2" w14:textId="77777777" w:rsidR="00124A30" w:rsidRDefault="00000000">
      <w:pPr>
        <w:jc w:val="both"/>
        <w:rPr>
          <w:highlight w:val="white"/>
        </w:rPr>
      </w:pPr>
      <w:r>
        <w:rPr>
          <w:highlight w:val="white"/>
        </w:rPr>
        <w:t>Tier 1 Tables Shells for the project {</w:t>
      </w:r>
      <w:proofErr w:type="spellStart"/>
      <w:r>
        <w:rPr>
          <w:highlight w:val="white"/>
        </w:rPr>
        <w:t>acronimo</w:t>
      </w:r>
      <w:proofErr w:type="spellEnd"/>
      <w:r>
        <w:rPr>
          <w:highlight w:val="white"/>
        </w:rPr>
        <w:t>}.</w:t>
      </w:r>
    </w:p>
    <w:p w14:paraId="0A62C088" w14:textId="77777777" w:rsidR="00124A30" w:rsidRDefault="00000000">
      <w:pPr>
        <w:rPr>
          <w:highlight w:val="white"/>
        </w:rPr>
      </w:pPr>
      <w:r>
        <w:rPr>
          <w:shd w:val="clear" w:color="auto" w:fill="D9D9D9"/>
        </w:rPr>
        <w:t xml:space="preserve">{Below you find an example of a </w:t>
      </w:r>
      <w:r>
        <w:rPr>
          <w:i/>
          <w:shd w:val="clear" w:color="auto" w:fill="D9D9D9"/>
        </w:rPr>
        <w:t>Tier 1 Table Shell</w:t>
      </w:r>
      <w:r>
        <w:rPr>
          <w:shd w:val="clear" w:color="auto" w:fill="D9D9D9"/>
        </w:rPr>
        <w:t xml:space="preserve">. Please replace it with the actual </w:t>
      </w:r>
      <w:r>
        <w:rPr>
          <w:i/>
          <w:shd w:val="clear" w:color="auto" w:fill="D9D9D9"/>
        </w:rPr>
        <w:t xml:space="preserve">Tier 1 Table Shell </w:t>
      </w:r>
      <w:r>
        <w:rPr>
          <w:shd w:val="clear" w:color="auto" w:fill="D9D9D9"/>
        </w:rPr>
        <w:t>planned for the present project.}</w:t>
      </w:r>
    </w:p>
    <w:tbl>
      <w:tblPr>
        <w:tblStyle w:val="a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440"/>
        <w:gridCol w:w="978"/>
        <w:gridCol w:w="978"/>
        <w:gridCol w:w="978"/>
        <w:gridCol w:w="978"/>
        <w:gridCol w:w="978"/>
        <w:gridCol w:w="978"/>
        <w:gridCol w:w="978"/>
      </w:tblGrid>
      <w:tr w:rsidR="00124A30" w14:paraId="0C90906C"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980E54C"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0E93774" w14:textId="77777777" w:rsidR="00124A30" w:rsidRDefault="00124A30">
            <w:pPr>
              <w:spacing w:after="0" w:line="240" w:lineRule="auto"/>
              <w:jc w:val="both"/>
              <w:rPr>
                <w:rFonts w:ascii="Arial" w:eastAsia="Arial" w:hAnsi="Arial" w:cs="Arial"/>
                <w:sz w:val="20"/>
                <w:szCs w:val="20"/>
                <w:highlight w:val="white"/>
              </w:rPr>
            </w:pPr>
          </w:p>
        </w:tc>
        <w:tc>
          <w:tcPr>
            <w:tcW w:w="6846" w:type="dxa"/>
            <w:gridSpan w:val="7"/>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E01225F" w14:textId="77777777" w:rsidR="00124A30" w:rsidRDefault="00000000">
            <w:pPr>
              <w:spacing w:after="0" w:line="240" w:lineRule="auto"/>
              <w:jc w:val="center"/>
              <w:rPr>
                <w:rFonts w:ascii="Arial" w:eastAsia="Arial" w:hAnsi="Arial" w:cs="Arial"/>
                <w:sz w:val="20"/>
                <w:szCs w:val="20"/>
                <w:highlight w:val="white"/>
              </w:rPr>
            </w:pPr>
            <w:r>
              <w:rPr>
                <w:rFonts w:ascii="Arial" w:eastAsia="Arial" w:hAnsi="Arial" w:cs="Arial"/>
                <w:b/>
                <w:sz w:val="20"/>
                <w:szCs w:val="20"/>
                <w:highlight w:val="white"/>
              </w:rPr>
              <w:t>Incident Cohorts</w:t>
            </w:r>
          </w:p>
        </w:tc>
      </w:tr>
      <w:tr w:rsidR="00124A30" w14:paraId="6710A60C"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1014718"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9111E9D" w14:textId="77777777" w:rsidR="00124A30" w:rsidRDefault="00124A30">
            <w:pPr>
              <w:spacing w:after="0" w:line="240" w:lineRule="auto"/>
              <w:jc w:val="both"/>
              <w:rPr>
                <w:rFonts w:ascii="Arial" w:eastAsia="Arial" w:hAnsi="Arial" w:cs="Arial"/>
                <w:sz w:val="20"/>
                <w:szCs w:val="20"/>
                <w:highlight w:val="white"/>
              </w:rPr>
            </w:pPr>
          </w:p>
        </w:tc>
        <w:tc>
          <w:tcPr>
            <w:tcW w:w="2934" w:type="dxa"/>
            <w:gridSpan w:val="3"/>
            <w:tcBorders>
              <w:top w:val="single" w:sz="5" w:space="0" w:color="CCCCCC"/>
              <w:left w:val="single" w:sz="5" w:space="0" w:color="CCCCCC"/>
              <w:bottom w:val="single" w:sz="5" w:space="0" w:color="000000"/>
              <w:right w:val="single" w:sz="5" w:space="0" w:color="000000"/>
            </w:tcBorders>
            <w:shd w:val="clear" w:color="auto" w:fill="D9E6FC"/>
            <w:tcMar>
              <w:top w:w="0" w:type="dxa"/>
              <w:left w:w="40" w:type="dxa"/>
              <w:bottom w:w="0" w:type="dxa"/>
              <w:right w:w="40" w:type="dxa"/>
            </w:tcMar>
            <w:vAlign w:val="bottom"/>
          </w:tcPr>
          <w:p w14:paraId="30D03E09" w14:textId="77777777" w:rsidR="00124A30" w:rsidRDefault="00000000">
            <w:pPr>
              <w:spacing w:after="0" w:line="240" w:lineRule="auto"/>
              <w:jc w:val="center"/>
              <w:rPr>
                <w:rFonts w:ascii="Arial" w:eastAsia="Arial" w:hAnsi="Arial" w:cs="Arial"/>
                <w:sz w:val="20"/>
                <w:szCs w:val="20"/>
                <w:highlight w:val="white"/>
              </w:rPr>
            </w:pPr>
            <w:r>
              <w:rPr>
                <w:rFonts w:ascii="Arial" w:eastAsia="Arial" w:hAnsi="Arial" w:cs="Arial"/>
                <w:b/>
                <w:sz w:val="20"/>
                <w:szCs w:val="20"/>
                <w:highlight w:val="white"/>
              </w:rPr>
              <w:t>Adult Population</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FE8A04F" w14:textId="77777777" w:rsidR="00124A30" w:rsidRDefault="00124A30">
            <w:pPr>
              <w:spacing w:after="0" w:line="240" w:lineRule="auto"/>
              <w:jc w:val="both"/>
              <w:rPr>
                <w:rFonts w:ascii="Arial" w:eastAsia="Arial" w:hAnsi="Arial" w:cs="Arial"/>
                <w:sz w:val="20"/>
                <w:szCs w:val="20"/>
                <w:highlight w:val="white"/>
              </w:rPr>
            </w:pPr>
          </w:p>
        </w:tc>
        <w:tc>
          <w:tcPr>
            <w:tcW w:w="2934" w:type="dxa"/>
            <w:gridSpan w:val="3"/>
            <w:tcBorders>
              <w:top w:val="single" w:sz="5" w:space="0" w:color="CCCCCC"/>
              <w:left w:val="single" w:sz="5" w:space="0" w:color="CCCCCC"/>
              <w:bottom w:val="single" w:sz="5" w:space="0" w:color="000000"/>
              <w:right w:val="single" w:sz="5" w:space="0" w:color="000000"/>
            </w:tcBorders>
            <w:shd w:val="clear" w:color="auto" w:fill="D9E6FC"/>
            <w:tcMar>
              <w:top w:w="0" w:type="dxa"/>
              <w:left w:w="40" w:type="dxa"/>
              <w:bottom w:w="0" w:type="dxa"/>
              <w:right w:w="40" w:type="dxa"/>
            </w:tcMar>
            <w:vAlign w:val="bottom"/>
          </w:tcPr>
          <w:p w14:paraId="5A5AC3A6" w14:textId="77777777" w:rsidR="00124A30" w:rsidRDefault="00000000">
            <w:pPr>
              <w:spacing w:after="0" w:line="240" w:lineRule="auto"/>
              <w:jc w:val="center"/>
              <w:rPr>
                <w:rFonts w:ascii="Arial" w:eastAsia="Arial" w:hAnsi="Arial" w:cs="Arial"/>
                <w:sz w:val="20"/>
                <w:szCs w:val="20"/>
                <w:highlight w:val="white"/>
              </w:rPr>
            </w:pPr>
            <w:r>
              <w:rPr>
                <w:rFonts w:ascii="Arial" w:eastAsia="Arial" w:hAnsi="Arial" w:cs="Arial"/>
                <w:b/>
                <w:sz w:val="20"/>
                <w:szCs w:val="20"/>
                <w:highlight w:val="white"/>
              </w:rPr>
              <w:t>Ischemic Stroke</w:t>
            </w:r>
          </w:p>
        </w:tc>
      </w:tr>
      <w:tr w:rsidR="00124A30" w14:paraId="3622F2BA"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4BF0609"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N</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F573B6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08F61E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7AB68D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5E26B2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A35AFF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8ABF5F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808B64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1460462" w14:textId="77777777" w:rsidR="00124A30" w:rsidRDefault="00124A30">
            <w:pPr>
              <w:spacing w:after="0" w:line="240" w:lineRule="auto"/>
              <w:jc w:val="both"/>
              <w:rPr>
                <w:rFonts w:ascii="Arial" w:eastAsia="Arial" w:hAnsi="Arial" w:cs="Arial"/>
                <w:sz w:val="20"/>
                <w:szCs w:val="20"/>
                <w:highlight w:val="white"/>
              </w:rPr>
            </w:pPr>
          </w:p>
        </w:tc>
      </w:tr>
      <w:tr w:rsidR="00124A30" w14:paraId="3A182327"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5C69C37"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F63D13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35EA9F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1AB20E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D1B06C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0DFE29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804ED6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4014A93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3AC752D" w14:textId="77777777" w:rsidR="00124A30" w:rsidRDefault="00124A30">
            <w:pPr>
              <w:spacing w:after="0" w:line="240" w:lineRule="auto"/>
              <w:jc w:val="both"/>
              <w:rPr>
                <w:rFonts w:ascii="Arial" w:eastAsia="Arial" w:hAnsi="Arial" w:cs="Arial"/>
                <w:sz w:val="20"/>
                <w:szCs w:val="20"/>
                <w:highlight w:val="white"/>
              </w:rPr>
            </w:pPr>
          </w:p>
        </w:tc>
      </w:tr>
      <w:tr w:rsidR="00124A30" w14:paraId="393C44B6" w14:textId="77777777">
        <w:trPr>
          <w:trHeight w:val="315"/>
        </w:trPr>
        <w:tc>
          <w:tcPr>
            <w:tcW w:w="2073" w:type="dxa"/>
            <w:tcBorders>
              <w:top w:val="single" w:sz="5" w:space="0" w:color="CCCCCC"/>
              <w:left w:val="single" w:sz="5" w:space="0" w:color="000000"/>
              <w:bottom w:val="single" w:sz="5" w:space="0" w:color="000000"/>
              <w:right w:val="single" w:sz="5" w:space="0" w:color="000000"/>
            </w:tcBorders>
            <w:shd w:val="clear" w:color="auto" w:fill="F3F3F3"/>
            <w:tcMar>
              <w:top w:w="0" w:type="dxa"/>
              <w:left w:w="40" w:type="dxa"/>
              <w:bottom w:w="0" w:type="dxa"/>
              <w:right w:w="40" w:type="dxa"/>
            </w:tcMar>
            <w:vAlign w:val="bottom"/>
          </w:tcPr>
          <w:p w14:paraId="4B0966E9"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Demographics</w:t>
            </w: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2BDC70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0588E482"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6FB312F6"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3EB4900"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45C528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54D7C4FC"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4ACE89C"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2864AC8C"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3E90EF2E"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center"/>
          </w:tcPr>
          <w:p w14:paraId="5824C964"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Male</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64EE1E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B3D86A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2639AC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2364DC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85220E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1C45F4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5883D8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6AE0F61" w14:textId="77777777" w:rsidR="00124A30" w:rsidRDefault="00124A30">
            <w:pPr>
              <w:spacing w:after="0" w:line="240" w:lineRule="auto"/>
              <w:jc w:val="both"/>
              <w:rPr>
                <w:rFonts w:ascii="Arial" w:eastAsia="Arial" w:hAnsi="Arial" w:cs="Arial"/>
                <w:sz w:val="20"/>
                <w:szCs w:val="20"/>
                <w:highlight w:val="white"/>
              </w:rPr>
            </w:pPr>
          </w:p>
        </w:tc>
      </w:tr>
      <w:tr w:rsidR="00124A30" w14:paraId="35518E19"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934839D"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EA9F7F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6999FDEA"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P50</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53AEF5A3"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IQR</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A12632D"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2E73A3F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2565324A"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P50</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3646FD47"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IQR</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5C6F4FB4"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74BEE51B"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4C52987"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Age</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AD6EEB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290D80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9BCF7B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176DEA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8494E1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F46A26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3D01B2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1ADD486" w14:textId="77777777" w:rsidR="00124A30" w:rsidRDefault="00124A30">
            <w:pPr>
              <w:spacing w:after="0" w:line="240" w:lineRule="auto"/>
              <w:jc w:val="both"/>
              <w:rPr>
                <w:rFonts w:ascii="Arial" w:eastAsia="Arial" w:hAnsi="Arial" w:cs="Arial"/>
                <w:sz w:val="20"/>
                <w:szCs w:val="20"/>
                <w:highlight w:val="white"/>
              </w:rPr>
            </w:pPr>
          </w:p>
        </w:tc>
      </w:tr>
      <w:tr w:rsidR="00124A30" w14:paraId="4096AC16"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A682123"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7CC1DF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CA5ABC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ABBA31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2B6DAE1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9BC42F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66176F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41E946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4306B71" w14:textId="77777777" w:rsidR="00124A30" w:rsidRDefault="00124A30">
            <w:pPr>
              <w:spacing w:after="0" w:line="240" w:lineRule="auto"/>
              <w:jc w:val="both"/>
              <w:rPr>
                <w:rFonts w:ascii="Arial" w:eastAsia="Arial" w:hAnsi="Arial" w:cs="Arial"/>
                <w:sz w:val="20"/>
                <w:szCs w:val="20"/>
                <w:highlight w:val="white"/>
              </w:rPr>
            </w:pPr>
          </w:p>
        </w:tc>
      </w:tr>
      <w:tr w:rsidR="00124A30" w14:paraId="6576B89E" w14:textId="77777777">
        <w:trPr>
          <w:trHeight w:val="315"/>
        </w:trPr>
        <w:tc>
          <w:tcPr>
            <w:tcW w:w="2073" w:type="dxa"/>
            <w:tcBorders>
              <w:top w:val="single" w:sz="5" w:space="0" w:color="CCCCCC"/>
              <w:left w:val="single" w:sz="5" w:space="0" w:color="000000"/>
              <w:bottom w:val="single" w:sz="5" w:space="0" w:color="000000"/>
              <w:right w:val="single" w:sz="5" w:space="0" w:color="000000"/>
            </w:tcBorders>
            <w:shd w:val="clear" w:color="auto" w:fill="F3F3F3"/>
            <w:tcMar>
              <w:top w:w="0" w:type="dxa"/>
              <w:left w:w="40" w:type="dxa"/>
              <w:bottom w:w="0" w:type="dxa"/>
              <w:right w:w="40" w:type="dxa"/>
            </w:tcMar>
            <w:vAlign w:val="bottom"/>
          </w:tcPr>
          <w:p w14:paraId="6F54A041"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Comorbidities</w:t>
            </w: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1C94DCC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15E62E7C"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3A921860"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11BDDFBD"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3C3D065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0C29FA2D"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16F4266"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645329C8"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76675514"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69572DF"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Atrial Fibrillation</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E6496F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3FFBC1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4E0D4F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057E51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6FDAFB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D4B47C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C0CF1D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7A66B18" w14:textId="77777777" w:rsidR="00124A30" w:rsidRDefault="00124A30">
            <w:pPr>
              <w:spacing w:after="0" w:line="240" w:lineRule="auto"/>
              <w:jc w:val="both"/>
              <w:rPr>
                <w:rFonts w:ascii="Arial" w:eastAsia="Arial" w:hAnsi="Arial" w:cs="Arial"/>
                <w:sz w:val="20"/>
                <w:szCs w:val="20"/>
                <w:highlight w:val="white"/>
              </w:rPr>
            </w:pPr>
          </w:p>
        </w:tc>
      </w:tr>
      <w:tr w:rsidR="00124A30" w14:paraId="364525A8"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537C68A"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Hypertension</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7C89A1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5CC24D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3AF419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5755CF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27C07E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B49290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0B6C24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E4849D3" w14:textId="77777777" w:rsidR="00124A30" w:rsidRDefault="00124A30">
            <w:pPr>
              <w:spacing w:after="0" w:line="240" w:lineRule="auto"/>
              <w:jc w:val="both"/>
              <w:rPr>
                <w:rFonts w:ascii="Arial" w:eastAsia="Arial" w:hAnsi="Arial" w:cs="Arial"/>
                <w:sz w:val="20"/>
                <w:szCs w:val="20"/>
                <w:highlight w:val="white"/>
              </w:rPr>
            </w:pPr>
          </w:p>
        </w:tc>
      </w:tr>
      <w:tr w:rsidR="00124A30" w14:paraId="79F5067E"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5C262BE"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Dyslipidemia</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D52DC2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ED4A8C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F5C71C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885A6B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A58FED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335417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D1D576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9AE2CB0" w14:textId="77777777" w:rsidR="00124A30" w:rsidRDefault="00124A30">
            <w:pPr>
              <w:spacing w:after="0" w:line="240" w:lineRule="auto"/>
              <w:jc w:val="both"/>
              <w:rPr>
                <w:rFonts w:ascii="Arial" w:eastAsia="Arial" w:hAnsi="Arial" w:cs="Arial"/>
                <w:sz w:val="20"/>
                <w:szCs w:val="20"/>
                <w:highlight w:val="white"/>
              </w:rPr>
            </w:pPr>
          </w:p>
        </w:tc>
      </w:tr>
      <w:tr w:rsidR="00124A30" w14:paraId="3DC97B79"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48071692"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2F9B03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4FE8F06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65BD73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C5C487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B552E9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DE9083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FEDB43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D28B58C" w14:textId="77777777" w:rsidR="00124A30" w:rsidRDefault="00124A30">
            <w:pPr>
              <w:spacing w:after="0" w:line="240" w:lineRule="auto"/>
              <w:jc w:val="both"/>
              <w:rPr>
                <w:rFonts w:ascii="Arial" w:eastAsia="Arial" w:hAnsi="Arial" w:cs="Arial"/>
                <w:sz w:val="20"/>
                <w:szCs w:val="20"/>
                <w:highlight w:val="white"/>
              </w:rPr>
            </w:pPr>
          </w:p>
        </w:tc>
      </w:tr>
      <w:tr w:rsidR="00124A30" w14:paraId="1E2F6E67" w14:textId="77777777">
        <w:trPr>
          <w:trHeight w:val="315"/>
        </w:trPr>
        <w:tc>
          <w:tcPr>
            <w:tcW w:w="2073" w:type="dxa"/>
            <w:tcBorders>
              <w:top w:val="single" w:sz="5" w:space="0" w:color="CCCCCC"/>
              <w:left w:val="single" w:sz="5" w:space="0" w:color="000000"/>
              <w:bottom w:val="single" w:sz="5" w:space="0" w:color="000000"/>
              <w:right w:val="single" w:sz="5" w:space="0" w:color="000000"/>
            </w:tcBorders>
            <w:shd w:val="clear" w:color="auto" w:fill="F3F3F3"/>
            <w:tcMar>
              <w:top w:w="0" w:type="dxa"/>
              <w:left w:w="40" w:type="dxa"/>
              <w:bottom w:w="0" w:type="dxa"/>
              <w:right w:w="40" w:type="dxa"/>
            </w:tcMar>
            <w:vAlign w:val="bottom"/>
          </w:tcPr>
          <w:p w14:paraId="7592B2F6"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Previous Medication</w:t>
            </w: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17E877B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C445934"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51EF78E"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00BF05B"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2510B0F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0C60FE3F"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0006718F"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123F370B"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69B1EFF0"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CAB188A"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Statins</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AD9337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997FAB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67A88B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5DB917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368A34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04BB55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379152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72CB894" w14:textId="77777777" w:rsidR="00124A30" w:rsidRDefault="00124A30">
            <w:pPr>
              <w:spacing w:after="0" w:line="240" w:lineRule="auto"/>
              <w:jc w:val="both"/>
              <w:rPr>
                <w:rFonts w:ascii="Arial" w:eastAsia="Arial" w:hAnsi="Arial" w:cs="Arial"/>
                <w:sz w:val="20"/>
                <w:szCs w:val="20"/>
                <w:highlight w:val="white"/>
              </w:rPr>
            </w:pPr>
          </w:p>
        </w:tc>
      </w:tr>
      <w:tr w:rsidR="00124A30" w14:paraId="040C660D"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A4EB2C9"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Anticoagulants</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82DB8B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D14FDD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95A9FA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4ACC51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312700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5619B5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C91DCD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2D1C201" w14:textId="77777777" w:rsidR="00124A30" w:rsidRDefault="00124A30">
            <w:pPr>
              <w:spacing w:after="0" w:line="240" w:lineRule="auto"/>
              <w:jc w:val="both"/>
              <w:rPr>
                <w:rFonts w:ascii="Arial" w:eastAsia="Arial" w:hAnsi="Arial" w:cs="Arial"/>
                <w:sz w:val="20"/>
                <w:szCs w:val="20"/>
                <w:highlight w:val="white"/>
              </w:rPr>
            </w:pPr>
          </w:p>
        </w:tc>
      </w:tr>
      <w:tr w:rsidR="00124A30" w14:paraId="67AC3F83"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AB3B159"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Antiplatelets</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AA79F1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B8FF81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D2CB0E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68AF94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C8B4DC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7338B5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F76078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E0B042E" w14:textId="77777777" w:rsidR="00124A30" w:rsidRDefault="00124A30">
            <w:pPr>
              <w:spacing w:after="0" w:line="240" w:lineRule="auto"/>
              <w:jc w:val="both"/>
              <w:rPr>
                <w:rFonts w:ascii="Arial" w:eastAsia="Arial" w:hAnsi="Arial" w:cs="Arial"/>
                <w:sz w:val="20"/>
                <w:szCs w:val="20"/>
                <w:highlight w:val="white"/>
              </w:rPr>
            </w:pPr>
          </w:p>
        </w:tc>
      </w:tr>
      <w:tr w:rsidR="00124A30" w14:paraId="24643FE2"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60D6685"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B22E5A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4D1936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711D9A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2D7845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0FD62B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3C1B1A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8C9D22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418EF545" w14:textId="77777777" w:rsidR="00124A30" w:rsidRDefault="00124A30">
            <w:pPr>
              <w:spacing w:after="0" w:line="240" w:lineRule="auto"/>
              <w:jc w:val="both"/>
              <w:rPr>
                <w:rFonts w:ascii="Arial" w:eastAsia="Arial" w:hAnsi="Arial" w:cs="Arial"/>
                <w:sz w:val="20"/>
                <w:szCs w:val="20"/>
                <w:highlight w:val="white"/>
              </w:rPr>
            </w:pPr>
          </w:p>
        </w:tc>
      </w:tr>
      <w:tr w:rsidR="00124A30" w14:paraId="1BD56C67" w14:textId="77777777">
        <w:trPr>
          <w:trHeight w:val="315"/>
        </w:trPr>
        <w:tc>
          <w:tcPr>
            <w:tcW w:w="2073" w:type="dxa"/>
            <w:tcBorders>
              <w:top w:val="single" w:sz="5" w:space="0" w:color="CCCCCC"/>
              <w:left w:val="single" w:sz="5" w:space="0" w:color="000000"/>
              <w:bottom w:val="single" w:sz="5" w:space="0" w:color="000000"/>
              <w:right w:val="single" w:sz="5" w:space="0" w:color="000000"/>
            </w:tcBorders>
            <w:shd w:val="clear" w:color="auto" w:fill="F3F3F3"/>
            <w:tcMar>
              <w:top w:w="0" w:type="dxa"/>
              <w:left w:w="40" w:type="dxa"/>
              <w:bottom w:w="0" w:type="dxa"/>
              <w:right w:w="40" w:type="dxa"/>
            </w:tcMar>
            <w:vAlign w:val="bottom"/>
          </w:tcPr>
          <w:p w14:paraId="34F37ACC"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Stroke Etiology</w:t>
            </w: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7BBAB8B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54CAE01"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29BC2352"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31A3DB27"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761B434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0EEFF786"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26F77A2A"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F1676B8"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32AAD1B4"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5AC731F" w14:textId="77777777" w:rsidR="00124A30" w:rsidRDefault="00000000">
            <w:pPr>
              <w:spacing w:after="0" w:line="240" w:lineRule="auto"/>
              <w:jc w:val="both"/>
              <w:rPr>
                <w:rFonts w:ascii="Arial" w:eastAsia="Arial" w:hAnsi="Arial" w:cs="Arial"/>
                <w:sz w:val="20"/>
                <w:szCs w:val="20"/>
                <w:highlight w:val="white"/>
              </w:rPr>
            </w:pPr>
            <w:proofErr w:type="spellStart"/>
            <w:r>
              <w:rPr>
                <w:rFonts w:ascii="Arial" w:eastAsia="Arial" w:hAnsi="Arial" w:cs="Arial"/>
                <w:sz w:val="20"/>
                <w:szCs w:val="20"/>
                <w:highlight w:val="white"/>
              </w:rPr>
              <w:t>Cardioembolism</w:t>
            </w:r>
            <w:proofErr w:type="spellEnd"/>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3C965F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058CE2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9E994D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0FF104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4209A2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1C5ED7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1346D6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3572ECA" w14:textId="77777777" w:rsidR="00124A30" w:rsidRDefault="00124A30">
            <w:pPr>
              <w:spacing w:after="0" w:line="240" w:lineRule="auto"/>
              <w:jc w:val="both"/>
              <w:rPr>
                <w:rFonts w:ascii="Arial" w:eastAsia="Arial" w:hAnsi="Arial" w:cs="Arial"/>
                <w:sz w:val="20"/>
                <w:szCs w:val="20"/>
                <w:highlight w:val="white"/>
              </w:rPr>
            </w:pPr>
          </w:p>
        </w:tc>
      </w:tr>
      <w:tr w:rsidR="00124A30" w14:paraId="73848300"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E3BA375"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Atherothrombosis</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0FA9AC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910343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DAEC6E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510EE2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58DE38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F5F82B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E25C4C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9FABF2B" w14:textId="77777777" w:rsidR="00124A30" w:rsidRDefault="00124A30">
            <w:pPr>
              <w:spacing w:after="0" w:line="240" w:lineRule="auto"/>
              <w:jc w:val="both"/>
              <w:rPr>
                <w:rFonts w:ascii="Arial" w:eastAsia="Arial" w:hAnsi="Arial" w:cs="Arial"/>
                <w:sz w:val="20"/>
                <w:szCs w:val="20"/>
                <w:highlight w:val="white"/>
              </w:rPr>
            </w:pPr>
          </w:p>
        </w:tc>
      </w:tr>
      <w:tr w:rsidR="00124A30" w14:paraId="001CFF46"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DA2818C"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Other causes</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E50BD1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A72DE0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3BD18C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86D2AE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F1446E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7F1A57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C66EA3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333AA66" w14:textId="77777777" w:rsidR="00124A30" w:rsidRDefault="00124A30">
            <w:pPr>
              <w:spacing w:after="0" w:line="240" w:lineRule="auto"/>
              <w:jc w:val="both"/>
              <w:rPr>
                <w:rFonts w:ascii="Arial" w:eastAsia="Arial" w:hAnsi="Arial" w:cs="Arial"/>
                <w:sz w:val="20"/>
                <w:szCs w:val="20"/>
                <w:highlight w:val="white"/>
              </w:rPr>
            </w:pPr>
          </w:p>
        </w:tc>
      </w:tr>
      <w:tr w:rsidR="00124A30" w14:paraId="74C72373"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379C956"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Undetermined</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22DEF3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73DF1E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E76399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88BDCF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8A9203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B44A23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30FC41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EE365D9" w14:textId="77777777" w:rsidR="00124A30" w:rsidRDefault="00124A30">
            <w:pPr>
              <w:spacing w:after="0" w:line="240" w:lineRule="auto"/>
              <w:jc w:val="both"/>
              <w:rPr>
                <w:rFonts w:ascii="Arial" w:eastAsia="Arial" w:hAnsi="Arial" w:cs="Arial"/>
                <w:sz w:val="20"/>
                <w:szCs w:val="20"/>
                <w:highlight w:val="white"/>
              </w:rPr>
            </w:pPr>
          </w:p>
        </w:tc>
      </w:tr>
      <w:tr w:rsidR="00124A30" w14:paraId="69DBBB2F"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6A7E918"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2A5EA0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20EE94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411721A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2F71EE3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0CB72F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8064B2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47E778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02BB6343" w14:textId="77777777" w:rsidR="00124A30" w:rsidRDefault="00124A30">
            <w:pPr>
              <w:spacing w:after="0" w:line="240" w:lineRule="auto"/>
              <w:jc w:val="both"/>
              <w:rPr>
                <w:rFonts w:ascii="Arial" w:eastAsia="Arial" w:hAnsi="Arial" w:cs="Arial"/>
                <w:sz w:val="20"/>
                <w:szCs w:val="20"/>
                <w:highlight w:val="white"/>
              </w:rPr>
            </w:pPr>
          </w:p>
        </w:tc>
      </w:tr>
      <w:tr w:rsidR="00124A30" w14:paraId="21F6134B"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2DA8DC9C"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22411A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CC7253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7EEB831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2C123BD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28F740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462720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2FBE4A3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231221A" w14:textId="77777777" w:rsidR="00124A30" w:rsidRDefault="00124A30">
            <w:pPr>
              <w:spacing w:after="0" w:line="240" w:lineRule="auto"/>
              <w:jc w:val="both"/>
              <w:rPr>
                <w:rFonts w:ascii="Arial" w:eastAsia="Arial" w:hAnsi="Arial" w:cs="Arial"/>
                <w:sz w:val="20"/>
                <w:szCs w:val="20"/>
                <w:highlight w:val="white"/>
              </w:rPr>
            </w:pPr>
          </w:p>
        </w:tc>
      </w:tr>
      <w:tr w:rsidR="00124A30" w14:paraId="28938873" w14:textId="77777777">
        <w:trPr>
          <w:trHeight w:val="315"/>
        </w:trPr>
        <w:tc>
          <w:tcPr>
            <w:tcW w:w="2073" w:type="dxa"/>
            <w:tcBorders>
              <w:top w:val="single" w:sz="5" w:space="0" w:color="CCCCCC"/>
              <w:left w:val="single" w:sz="5" w:space="0" w:color="000000"/>
              <w:bottom w:val="single" w:sz="5" w:space="0" w:color="000000"/>
              <w:right w:val="single" w:sz="5" w:space="0" w:color="000000"/>
            </w:tcBorders>
            <w:shd w:val="clear" w:color="auto" w:fill="F3F3F3"/>
            <w:tcMar>
              <w:top w:w="0" w:type="dxa"/>
              <w:left w:w="40" w:type="dxa"/>
              <w:bottom w:w="0" w:type="dxa"/>
              <w:right w:w="40" w:type="dxa"/>
            </w:tcMar>
            <w:vAlign w:val="bottom"/>
          </w:tcPr>
          <w:p w14:paraId="784EE189"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Lab Tests</w:t>
            </w: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052F34F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F0EB1E0"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1CAE4A5"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0FB27AF7"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D24144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C2B74C8"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2A2C204F"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9E02FB7"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56B57455"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EE67F1E"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Glycemia</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BA7657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FED19B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60163B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E5C421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45F826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F1AAFC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DD5BFD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C2D08C0" w14:textId="77777777" w:rsidR="00124A30" w:rsidRDefault="00124A30">
            <w:pPr>
              <w:spacing w:after="0" w:line="240" w:lineRule="auto"/>
              <w:jc w:val="both"/>
              <w:rPr>
                <w:rFonts w:ascii="Arial" w:eastAsia="Arial" w:hAnsi="Arial" w:cs="Arial"/>
                <w:sz w:val="20"/>
                <w:szCs w:val="20"/>
                <w:highlight w:val="white"/>
              </w:rPr>
            </w:pPr>
          </w:p>
        </w:tc>
      </w:tr>
      <w:tr w:rsidR="00124A30" w14:paraId="54E7E231"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A3CBEC5"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Uric Acid</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76F2F8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F7F557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2FD8C2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3F634D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7560E4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B6F4C8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7D8C05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157EB39" w14:textId="77777777" w:rsidR="00124A30" w:rsidRDefault="00124A30">
            <w:pPr>
              <w:spacing w:after="0" w:line="240" w:lineRule="auto"/>
              <w:jc w:val="both"/>
              <w:rPr>
                <w:rFonts w:ascii="Arial" w:eastAsia="Arial" w:hAnsi="Arial" w:cs="Arial"/>
                <w:sz w:val="20"/>
                <w:szCs w:val="20"/>
                <w:highlight w:val="white"/>
              </w:rPr>
            </w:pPr>
          </w:p>
        </w:tc>
      </w:tr>
      <w:tr w:rsidR="00124A30" w14:paraId="561E0A93"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EDD4EA3"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PCR</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B1E9F1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0C9904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FB05DF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C12923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F8049F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7A301A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382DA4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DFDA134" w14:textId="77777777" w:rsidR="00124A30" w:rsidRDefault="00124A30">
            <w:pPr>
              <w:spacing w:after="0" w:line="240" w:lineRule="auto"/>
              <w:jc w:val="both"/>
              <w:rPr>
                <w:rFonts w:ascii="Arial" w:eastAsia="Arial" w:hAnsi="Arial" w:cs="Arial"/>
                <w:sz w:val="20"/>
                <w:szCs w:val="20"/>
                <w:highlight w:val="white"/>
              </w:rPr>
            </w:pPr>
          </w:p>
        </w:tc>
      </w:tr>
      <w:tr w:rsidR="00124A30" w14:paraId="2C16F275"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9889C91"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LDL</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8EB477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5222D9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B3C205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CB1C10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A4753C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D65ED8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A55637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8D7063C" w14:textId="77777777" w:rsidR="00124A30" w:rsidRDefault="00124A30">
            <w:pPr>
              <w:spacing w:after="0" w:line="240" w:lineRule="auto"/>
              <w:jc w:val="both"/>
              <w:rPr>
                <w:rFonts w:ascii="Arial" w:eastAsia="Arial" w:hAnsi="Arial" w:cs="Arial"/>
                <w:sz w:val="20"/>
                <w:szCs w:val="20"/>
                <w:highlight w:val="white"/>
              </w:rPr>
            </w:pPr>
          </w:p>
        </w:tc>
      </w:tr>
      <w:tr w:rsidR="00124A30" w14:paraId="76E03210"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76030FF"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lastRenderedPageBreak/>
              <w:t>VS</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0446CD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C107BE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F6D1F5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856F8D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B95DD9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F64047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B0C0BB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82963A3" w14:textId="77777777" w:rsidR="00124A30" w:rsidRDefault="00124A30">
            <w:pPr>
              <w:spacing w:after="0" w:line="240" w:lineRule="auto"/>
              <w:jc w:val="both"/>
              <w:rPr>
                <w:rFonts w:ascii="Arial" w:eastAsia="Arial" w:hAnsi="Arial" w:cs="Arial"/>
                <w:sz w:val="20"/>
                <w:szCs w:val="20"/>
                <w:highlight w:val="white"/>
              </w:rPr>
            </w:pPr>
          </w:p>
        </w:tc>
      </w:tr>
      <w:tr w:rsidR="00124A30" w14:paraId="610306F9" w14:textId="77777777">
        <w:trPr>
          <w:trHeight w:val="315"/>
        </w:trPr>
        <w:tc>
          <w:tcPr>
            <w:tcW w:w="2073"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1ED8574" w14:textId="77777777" w:rsidR="00124A30" w:rsidRDefault="00124A30">
            <w:pPr>
              <w:spacing w:after="0" w:line="240" w:lineRule="auto"/>
              <w:jc w:val="both"/>
              <w:rPr>
                <w:rFonts w:ascii="Arial" w:eastAsia="Arial" w:hAnsi="Arial" w:cs="Arial"/>
                <w:sz w:val="20"/>
                <w:szCs w:val="20"/>
                <w:highlight w:val="white"/>
              </w:rPr>
            </w:pP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0256D8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6E7012D"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f</w:t>
            </w: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724D2DF"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1ABA7F5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FB40DA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397C08A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66657C0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CCCCCC"/>
            </w:tcBorders>
            <w:tcMar>
              <w:top w:w="0" w:type="dxa"/>
              <w:left w:w="40" w:type="dxa"/>
              <w:bottom w:w="0" w:type="dxa"/>
              <w:right w:w="40" w:type="dxa"/>
            </w:tcMar>
            <w:vAlign w:val="bottom"/>
          </w:tcPr>
          <w:p w14:paraId="5E543F08" w14:textId="77777777" w:rsidR="00124A30" w:rsidRDefault="00124A30">
            <w:pPr>
              <w:spacing w:after="0" w:line="240" w:lineRule="auto"/>
              <w:jc w:val="both"/>
              <w:rPr>
                <w:rFonts w:ascii="Arial" w:eastAsia="Arial" w:hAnsi="Arial" w:cs="Arial"/>
                <w:sz w:val="20"/>
                <w:szCs w:val="20"/>
                <w:highlight w:val="white"/>
              </w:rPr>
            </w:pPr>
          </w:p>
        </w:tc>
      </w:tr>
      <w:tr w:rsidR="00124A30" w14:paraId="4E4C0548" w14:textId="77777777">
        <w:trPr>
          <w:trHeight w:val="315"/>
        </w:trPr>
        <w:tc>
          <w:tcPr>
            <w:tcW w:w="2073" w:type="dxa"/>
            <w:tcBorders>
              <w:top w:val="single" w:sz="5" w:space="0" w:color="CCCCCC"/>
              <w:left w:val="single" w:sz="5" w:space="0" w:color="000000"/>
              <w:bottom w:val="single" w:sz="5" w:space="0" w:color="000000"/>
              <w:right w:val="single" w:sz="5" w:space="0" w:color="000000"/>
            </w:tcBorders>
            <w:shd w:val="clear" w:color="auto" w:fill="F3F3F3"/>
            <w:tcMar>
              <w:top w:w="0" w:type="dxa"/>
              <w:left w:w="40" w:type="dxa"/>
              <w:bottom w:w="0" w:type="dxa"/>
              <w:right w:w="40" w:type="dxa"/>
            </w:tcMar>
            <w:vAlign w:val="bottom"/>
          </w:tcPr>
          <w:p w14:paraId="4C2F5BF8" w14:textId="77777777" w:rsidR="00124A30" w:rsidRDefault="00000000">
            <w:pPr>
              <w:spacing w:after="0" w:line="240" w:lineRule="auto"/>
              <w:jc w:val="both"/>
              <w:rPr>
                <w:rFonts w:ascii="Arial" w:eastAsia="Arial" w:hAnsi="Arial" w:cs="Arial"/>
                <w:sz w:val="20"/>
                <w:szCs w:val="20"/>
                <w:highlight w:val="white"/>
              </w:rPr>
            </w:pPr>
            <w:r>
              <w:rPr>
                <w:rFonts w:ascii="Arial" w:eastAsia="Arial" w:hAnsi="Arial" w:cs="Arial"/>
                <w:b/>
                <w:sz w:val="20"/>
                <w:szCs w:val="20"/>
                <w:highlight w:val="white"/>
              </w:rPr>
              <w:t>Final TICI Score</w:t>
            </w:r>
          </w:p>
        </w:tc>
        <w:tc>
          <w:tcPr>
            <w:tcW w:w="440"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4FE806F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135F4131"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854AF05"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73CB31D3"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c>
          <w:tcPr>
            <w:tcW w:w="978"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vAlign w:val="bottom"/>
          </w:tcPr>
          <w:p w14:paraId="554351C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12A52F50"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n</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6614D8BE"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b/>
                <w:sz w:val="18"/>
                <w:szCs w:val="18"/>
                <w:highlight w:val="white"/>
              </w:rPr>
              <w:t>%</w:t>
            </w:r>
          </w:p>
        </w:tc>
        <w:tc>
          <w:tcPr>
            <w:tcW w:w="978" w:type="dxa"/>
            <w:tcBorders>
              <w:top w:val="single" w:sz="5" w:space="0" w:color="CCCCCC"/>
              <w:left w:val="single" w:sz="5" w:space="0" w:color="CCCCCC"/>
              <w:bottom w:val="single" w:sz="5" w:space="0" w:color="000000"/>
              <w:right w:val="single" w:sz="5" w:space="0" w:color="000000"/>
            </w:tcBorders>
            <w:shd w:val="clear" w:color="auto" w:fill="F3F3F3"/>
            <w:tcMar>
              <w:top w:w="0" w:type="dxa"/>
              <w:left w:w="40" w:type="dxa"/>
              <w:bottom w:w="0" w:type="dxa"/>
              <w:right w:w="40" w:type="dxa"/>
            </w:tcMar>
            <w:vAlign w:val="bottom"/>
          </w:tcPr>
          <w:p w14:paraId="48CBD235" w14:textId="77777777" w:rsidR="00124A30" w:rsidRDefault="00000000">
            <w:pPr>
              <w:spacing w:after="0" w:line="240" w:lineRule="auto"/>
              <w:jc w:val="right"/>
              <w:rPr>
                <w:rFonts w:ascii="Arial" w:eastAsia="Arial" w:hAnsi="Arial" w:cs="Arial"/>
                <w:sz w:val="20"/>
                <w:szCs w:val="20"/>
                <w:highlight w:val="white"/>
              </w:rPr>
            </w:pPr>
            <w:r>
              <w:rPr>
                <w:rFonts w:ascii="Arial Unicode MS" w:eastAsia="Arial Unicode MS" w:hAnsi="Arial Unicode MS" w:cs="Arial Unicode MS"/>
                <w:b/>
                <w:color w:val="B7B7B7"/>
                <w:sz w:val="18"/>
                <w:szCs w:val="18"/>
                <w:highlight w:val="white"/>
              </w:rPr>
              <w:t>∅</w:t>
            </w:r>
          </w:p>
        </w:tc>
      </w:tr>
      <w:tr w:rsidR="00124A30" w14:paraId="1763FDCB"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57386AD"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sz w:val="20"/>
                <w:szCs w:val="20"/>
                <w:highlight w:val="white"/>
              </w:rPr>
              <w:t>0</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C028DC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9064A4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15CAC7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B4FF6F6"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5C2370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6C4C9C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67CA0EC"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6362CDC" w14:textId="77777777" w:rsidR="00124A30" w:rsidRDefault="00124A30">
            <w:pPr>
              <w:spacing w:after="0" w:line="240" w:lineRule="auto"/>
              <w:jc w:val="both"/>
              <w:rPr>
                <w:rFonts w:ascii="Arial" w:eastAsia="Arial" w:hAnsi="Arial" w:cs="Arial"/>
                <w:sz w:val="20"/>
                <w:szCs w:val="20"/>
                <w:highlight w:val="white"/>
              </w:rPr>
            </w:pPr>
          </w:p>
        </w:tc>
      </w:tr>
      <w:tr w:rsidR="00124A30" w14:paraId="7F5BFF99"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20C109C"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sz w:val="20"/>
                <w:szCs w:val="20"/>
                <w:highlight w:val="white"/>
              </w:rPr>
              <w:t>1</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3E635E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1AE6A88"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B39C32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201015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B9D53B4"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DA0E5D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09E9E4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02B11F0" w14:textId="77777777" w:rsidR="00124A30" w:rsidRDefault="00124A30">
            <w:pPr>
              <w:spacing w:after="0" w:line="240" w:lineRule="auto"/>
              <w:jc w:val="both"/>
              <w:rPr>
                <w:rFonts w:ascii="Arial" w:eastAsia="Arial" w:hAnsi="Arial" w:cs="Arial"/>
                <w:sz w:val="20"/>
                <w:szCs w:val="20"/>
                <w:highlight w:val="white"/>
              </w:rPr>
            </w:pPr>
          </w:p>
        </w:tc>
      </w:tr>
      <w:tr w:rsidR="00124A30" w14:paraId="0663D3F2"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7698181"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sz w:val="20"/>
                <w:szCs w:val="20"/>
                <w:highlight w:val="white"/>
              </w:rPr>
              <w:t>2a</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599DB2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A791DD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37B983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78AD27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3B8F55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9A83FA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69FB77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84E7ED0" w14:textId="77777777" w:rsidR="00124A30" w:rsidRDefault="00124A30">
            <w:pPr>
              <w:spacing w:after="0" w:line="240" w:lineRule="auto"/>
              <w:jc w:val="both"/>
              <w:rPr>
                <w:rFonts w:ascii="Arial" w:eastAsia="Arial" w:hAnsi="Arial" w:cs="Arial"/>
                <w:sz w:val="20"/>
                <w:szCs w:val="20"/>
                <w:highlight w:val="white"/>
              </w:rPr>
            </w:pPr>
          </w:p>
        </w:tc>
      </w:tr>
      <w:tr w:rsidR="00124A30" w14:paraId="6D36F390"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EC6B159"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sz w:val="20"/>
                <w:szCs w:val="20"/>
                <w:highlight w:val="white"/>
              </w:rPr>
              <w:t>2b</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78E734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5EE963BA"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AA3B6DB"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5AAB2B2"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09626E9"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4B5FA71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2F99ED4E"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F319BE8" w14:textId="77777777" w:rsidR="00124A30" w:rsidRDefault="00124A30">
            <w:pPr>
              <w:spacing w:after="0" w:line="240" w:lineRule="auto"/>
              <w:jc w:val="both"/>
              <w:rPr>
                <w:rFonts w:ascii="Arial" w:eastAsia="Arial" w:hAnsi="Arial" w:cs="Arial"/>
                <w:sz w:val="20"/>
                <w:szCs w:val="20"/>
                <w:highlight w:val="white"/>
              </w:rPr>
            </w:pPr>
          </w:p>
        </w:tc>
      </w:tr>
      <w:tr w:rsidR="00124A30" w14:paraId="34F68D01" w14:textId="77777777">
        <w:trPr>
          <w:trHeight w:val="315"/>
        </w:trPr>
        <w:tc>
          <w:tcPr>
            <w:tcW w:w="2073"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702AC4CF" w14:textId="77777777" w:rsidR="00124A30" w:rsidRDefault="00000000">
            <w:pPr>
              <w:spacing w:after="0" w:line="240" w:lineRule="auto"/>
              <w:jc w:val="right"/>
              <w:rPr>
                <w:rFonts w:ascii="Arial" w:eastAsia="Arial" w:hAnsi="Arial" w:cs="Arial"/>
                <w:sz w:val="20"/>
                <w:szCs w:val="20"/>
                <w:highlight w:val="white"/>
              </w:rPr>
            </w:pPr>
            <w:r>
              <w:rPr>
                <w:rFonts w:ascii="Arial" w:eastAsia="Arial" w:hAnsi="Arial" w:cs="Arial"/>
                <w:sz w:val="20"/>
                <w:szCs w:val="20"/>
                <w:highlight w:val="white"/>
              </w:rPr>
              <w:t>3</w:t>
            </w:r>
          </w:p>
        </w:tc>
        <w:tc>
          <w:tcPr>
            <w:tcW w:w="440"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3CD2FD0"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61B006B7"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8FE979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A0B228D"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38393DC3"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070320B5"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CCCCCC"/>
              <w:right w:val="single" w:sz="5" w:space="0" w:color="CCCCCC"/>
            </w:tcBorders>
            <w:tcMar>
              <w:top w:w="0" w:type="dxa"/>
              <w:left w:w="40" w:type="dxa"/>
              <w:bottom w:w="0" w:type="dxa"/>
              <w:right w:w="40" w:type="dxa"/>
            </w:tcMar>
            <w:vAlign w:val="bottom"/>
          </w:tcPr>
          <w:p w14:paraId="1E0A8271" w14:textId="77777777" w:rsidR="00124A30" w:rsidRDefault="00124A30">
            <w:pPr>
              <w:spacing w:after="0" w:line="240" w:lineRule="auto"/>
              <w:jc w:val="both"/>
              <w:rPr>
                <w:rFonts w:ascii="Arial" w:eastAsia="Arial" w:hAnsi="Arial" w:cs="Arial"/>
                <w:sz w:val="20"/>
                <w:szCs w:val="20"/>
                <w:highlight w:val="white"/>
              </w:rPr>
            </w:pPr>
          </w:p>
        </w:tc>
        <w:tc>
          <w:tcPr>
            <w:tcW w:w="978" w:type="dxa"/>
            <w:tcBorders>
              <w:top w:val="single" w:sz="5" w:space="0" w:color="CCCCCC"/>
              <w:left w:val="single" w:sz="5" w:space="0" w:color="CCCCCC"/>
              <w:bottom w:val="single" w:sz="5" w:space="0" w:color="000000"/>
              <w:right w:val="single" w:sz="5" w:space="0" w:color="000000"/>
            </w:tcBorders>
            <w:tcMar>
              <w:top w:w="100" w:type="dxa"/>
              <w:left w:w="100" w:type="dxa"/>
              <w:bottom w:w="100" w:type="dxa"/>
              <w:right w:w="100" w:type="dxa"/>
            </w:tcMar>
          </w:tcPr>
          <w:p w14:paraId="143AF5DB" w14:textId="77777777" w:rsidR="00124A30" w:rsidRDefault="00124A30">
            <w:pPr>
              <w:spacing w:after="0" w:line="240" w:lineRule="auto"/>
              <w:jc w:val="both"/>
              <w:rPr>
                <w:rFonts w:ascii="Arial" w:eastAsia="Arial" w:hAnsi="Arial" w:cs="Arial"/>
                <w:sz w:val="20"/>
                <w:szCs w:val="20"/>
                <w:highlight w:val="white"/>
              </w:rPr>
            </w:pPr>
          </w:p>
        </w:tc>
      </w:tr>
    </w:tbl>
    <w:p w14:paraId="718C2CE9" w14:textId="77777777" w:rsidR="00124A30" w:rsidRDefault="00000000">
      <w:pPr>
        <w:jc w:val="both"/>
        <w:rPr>
          <w:highlight w:val="white"/>
        </w:rPr>
      </w:pPr>
      <w:r>
        <w:rPr>
          <w:highlight w:val="white"/>
        </w:rPr>
        <w:t>Notes: P50, Median; IQR, interquartile range. The minimum number of observations required to report a value in a specific cell is 5 (five) by default.</w:t>
      </w:r>
    </w:p>
    <w:sectPr w:rsidR="00124A30">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30126" w14:textId="77777777" w:rsidR="00D3762A" w:rsidRDefault="00D3762A">
      <w:pPr>
        <w:spacing w:after="0" w:line="240" w:lineRule="auto"/>
      </w:pPr>
      <w:r>
        <w:separator/>
      </w:r>
    </w:p>
  </w:endnote>
  <w:endnote w:type="continuationSeparator" w:id="0">
    <w:p w14:paraId="72D24CE3" w14:textId="77777777" w:rsidR="00D3762A" w:rsidRDefault="00D37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75BA59-A6FF-3449-A2CA-F5DE3B6A9FE2}"/>
  </w:font>
  <w:font w:name="Lato">
    <w:panose1 w:val="020F0502020204030203"/>
    <w:charset w:val="00"/>
    <w:family w:val="swiss"/>
    <w:pitch w:val="variable"/>
    <w:sig w:usb0="E10002FF" w:usb1="5000ECFF" w:usb2="00000021" w:usb3="00000000" w:csb0="0000019F" w:csb1="00000000"/>
    <w:embedRegular r:id="rId2" w:fontKey="{B11A153A-551C-804D-B5E4-41E2DC69EF90}"/>
    <w:embedBold r:id="rId3" w:fontKey="{9442EDEF-7E84-3E48-BB37-16E88050569A}"/>
    <w:embedItalic r:id="rId4" w:fontKey="{CEB38801-D9A5-844A-98EC-B1C4A9F2A3D5}"/>
    <w:embedBoldItalic r:id="rId5" w:fontKey="{C3252301-1B75-9A46-96F9-19E2B895A4BC}"/>
  </w:font>
  <w:font w:name="Barlow Condensed Medium">
    <w:panose1 w:val="00000606000000000000"/>
    <w:charset w:val="00"/>
    <w:family w:val="auto"/>
    <w:pitch w:val="variable"/>
    <w:sig w:usb0="20000007" w:usb1="00000000" w:usb2="00000000" w:usb3="00000000" w:csb0="00000193" w:csb1="00000000"/>
  </w:font>
  <w:font w:name="Nunito">
    <w:panose1 w:val="00000000000000000000"/>
    <w:charset w:val="00"/>
    <w:family w:val="auto"/>
    <w:pitch w:val="variable"/>
    <w:sig w:usb0="A00002FF" w:usb1="5000204B" w:usb2="00000000" w:usb3="00000000" w:csb0="00000197" w:csb1="00000000"/>
    <w:embedRegular r:id="rId6" w:fontKey="{E002B19F-CDBC-6244-89F1-14233A50C7F2}"/>
  </w:font>
  <w:font w:name="Arial">
    <w:panose1 w:val="020B0604020202020204"/>
    <w:charset w:val="00"/>
    <w:family w:val="swiss"/>
    <w:pitch w:val="variable"/>
    <w:sig w:usb0="E0002EFF" w:usb1="C000785B" w:usb2="00000009" w:usb3="00000000" w:csb0="000001FF" w:csb1="00000000"/>
    <w:embedRegular r:id="rId7" w:fontKey="{B103282A-D9BA-1D42-B747-EE8C51A16260}"/>
    <w:embedBold r:id="rId8" w:fontKey="{C7DE69E7-E54B-4D44-BBC1-AB3DE8B90195}"/>
  </w:font>
  <w:font w:name="Arial Unicode MS">
    <w:panose1 w:val="020B0604020202020204"/>
    <w:charset w:val="80"/>
    <w:family w:val="swiss"/>
    <w:pitch w:val="variable"/>
    <w:sig w:usb0="F7FFAFFF" w:usb1="E9DFFFFF" w:usb2="0000003F" w:usb3="00000000" w:csb0="003F01FF" w:csb1="00000000"/>
    <w:embedBold r:id="rId9" w:subsetted="1" w:fontKey="{B6FEE123-F9D1-8F49-82C7-B04179836904}"/>
  </w:font>
  <w:font w:name="Calibri">
    <w:panose1 w:val="020F0502020204030204"/>
    <w:charset w:val="00"/>
    <w:family w:val="swiss"/>
    <w:pitch w:val="variable"/>
    <w:sig w:usb0="E0002AFF" w:usb1="C000247B" w:usb2="00000009" w:usb3="00000000" w:csb0="000001FF" w:csb1="00000000"/>
    <w:embedRegular r:id="rId10" w:fontKey="{1067CF03-6306-0D43-9ED9-73191CA09608}"/>
  </w:font>
  <w:font w:name="Cambria">
    <w:panose1 w:val="02040503050406030204"/>
    <w:charset w:val="00"/>
    <w:family w:val="roman"/>
    <w:pitch w:val="variable"/>
    <w:sig w:usb0="E00002FF" w:usb1="400004FF" w:usb2="00000000" w:usb3="00000000" w:csb0="0000019F" w:csb1="00000000"/>
    <w:embedRegular r:id="rId11" w:fontKey="{B25DB438-7017-0144-B3CA-9C668E2EAA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620C" w14:textId="77777777" w:rsidR="00124A30" w:rsidRDefault="00000000">
    <w:pPr>
      <w:tabs>
        <w:tab w:val="right" w:pos="8993"/>
      </w:tabs>
      <w:spacing w:after="0" w:line="240" w:lineRule="auto"/>
      <w:ind w:right="33"/>
    </w:pPr>
    <w:r>
      <w:rPr>
        <w:b/>
        <w:color w:val="666666"/>
        <w:sz w:val="18"/>
        <w:szCs w:val="18"/>
      </w:rPr>
      <w:t>MTG Research and Development Lab</w:t>
    </w:r>
    <w:r>
      <w:rPr>
        <w:color w:val="666666"/>
        <w:sz w:val="18"/>
        <w:szCs w:val="18"/>
      </w:rPr>
      <w:br/>
      <w:t>compliance@mtg.pt | MTG-TPL-046 v1.0.0</w:t>
    </w:r>
    <w:r>
      <w:rPr>
        <w:color w:val="666666"/>
        <w:sz w:val="18"/>
        <w:szCs w:val="18"/>
      </w:rPr>
      <w:tab/>
    </w:r>
    <w:r>
      <w:rPr>
        <w:sz w:val="18"/>
        <w:szCs w:val="18"/>
      </w:rPr>
      <w:fldChar w:fldCharType="begin"/>
    </w:r>
    <w:r>
      <w:rPr>
        <w:sz w:val="18"/>
        <w:szCs w:val="18"/>
      </w:rPr>
      <w:instrText>PAGE</w:instrText>
    </w:r>
    <w:r>
      <w:rPr>
        <w:sz w:val="18"/>
        <w:szCs w:val="18"/>
      </w:rPr>
      <w:fldChar w:fldCharType="separate"/>
    </w:r>
    <w:r w:rsidR="00D72E0F">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D72E0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79419" w14:textId="77777777" w:rsidR="00D3762A" w:rsidRDefault="00D3762A">
      <w:pPr>
        <w:spacing w:after="0" w:line="240" w:lineRule="auto"/>
      </w:pPr>
      <w:r>
        <w:separator/>
      </w:r>
    </w:p>
  </w:footnote>
  <w:footnote w:type="continuationSeparator" w:id="0">
    <w:p w14:paraId="0A60DFB2" w14:textId="77777777" w:rsidR="00D3762A" w:rsidRDefault="00D37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BC47" w14:textId="6327F1C3" w:rsidR="00124A30" w:rsidRDefault="00000000" w:rsidP="00D72E0F">
    <w:pPr>
      <w:tabs>
        <w:tab w:val="left" w:pos="2410"/>
        <w:tab w:val="left" w:pos="5387"/>
        <w:tab w:val="left" w:pos="6376"/>
        <w:tab w:val="left" w:pos="5040"/>
        <w:tab w:val="left" w:pos="2070"/>
        <w:tab w:val="left" w:pos="6663"/>
        <w:tab w:val="left" w:pos="7797"/>
      </w:tabs>
      <w:spacing w:after="0" w:line="276" w:lineRule="auto"/>
      <w:rPr>
        <w:b/>
        <w:color w:val="005172"/>
        <w:sz w:val="18"/>
        <w:szCs w:val="18"/>
        <w:highlight w:val="white"/>
      </w:rPr>
    </w:pPr>
    <w:r>
      <w:rPr>
        <w:b/>
        <w:color w:val="005172"/>
        <w:sz w:val="18"/>
        <w:szCs w:val="18"/>
        <w:highlight w:val="white"/>
      </w:rPr>
      <w:t>Project</w:t>
    </w:r>
    <w:r>
      <w:rPr>
        <w:b/>
        <w:color w:val="005172"/>
        <w:sz w:val="18"/>
        <w:szCs w:val="18"/>
        <w:highlight w:val="white"/>
      </w:rPr>
      <w:tab/>
      <w:t>Document type</w:t>
    </w:r>
    <w:r>
      <w:rPr>
        <w:b/>
        <w:color w:val="005172"/>
        <w:sz w:val="18"/>
        <w:szCs w:val="18"/>
        <w:highlight w:val="white"/>
      </w:rPr>
      <w:tab/>
      <w:t>Version</w:t>
    </w:r>
    <w:r>
      <w:rPr>
        <w:b/>
        <w:color w:val="005172"/>
        <w:sz w:val="18"/>
        <w:szCs w:val="18"/>
        <w:highlight w:val="white"/>
      </w:rPr>
      <w:tab/>
    </w:r>
    <w:r w:rsidR="00D72E0F">
      <w:rPr>
        <w:b/>
        <w:color w:val="005172"/>
        <w:sz w:val="18"/>
        <w:szCs w:val="18"/>
        <w:highlight w:val="white"/>
      </w:rPr>
      <w:tab/>
    </w:r>
    <w:r>
      <w:rPr>
        <w:b/>
        <w:color w:val="005172"/>
        <w:sz w:val="18"/>
        <w:szCs w:val="18"/>
        <w:highlight w:val="white"/>
      </w:rPr>
      <w:t>Class</w:t>
    </w:r>
    <w:r w:rsidR="00D72E0F">
      <w:rPr>
        <w:b/>
        <w:color w:val="005172"/>
        <w:sz w:val="18"/>
        <w:szCs w:val="18"/>
        <w:highlight w:val="white"/>
      </w:rPr>
      <w:tab/>
    </w:r>
    <w:r>
      <w:rPr>
        <w:b/>
        <w:color w:val="005172"/>
        <w:sz w:val="18"/>
        <w:szCs w:val="18"/>
        <w:highlight w:val="white"/>
      </w:rPr>
      <w:t>Date</w:t>
    </w:r>
  </w:p>
  <w:p w14:paraId="733CE042" w14:textId="5EB52443" w:rsidR="00124A30" w:rsidRDefault="00000000" w:rsidP="00D72E0F">
    <w:pPr>
      <w:tabs>
        <w:tab w:val="left" w:pos="2410"/>
        <w:tab w:val="left" w:pos="5387"/>
        <w:tab w:val="left" w:pos="6376"/>
        <w:tab w:val="left" w:pos="5040"/>
        <w:tab w:val="left" w:pos="2070"/>
        <w:tab w:val="left" w:pos="6663"/>
        <w:tab w:val="left" w:pos="7797"/>
      </w:tabs>
      <w:spacing w:after="360" w:line="276" w:lineRule="auto"/>
      <w:rPr>
        <w:highlight w:val="white"/>
      </w:rPr>
    </w:pPr>
    <w:r>
      <w:rPr>
        <w:color w:val="434343"/>
        <w:sz w:val="18"/>
        <w:szCs w:val="18"/>
        <w:highlight w:val="white"/>
      </w:rPr>
      <w:t>{</w:t>
    </w:r>
    <w:proofErr w:type="spellStart"/>
    <w:r>
      <w:rPr>
        <w:color w:val="434343"/>
        <w:sz w:val="18"/>
        <w:szCs w:val="18"/>
        <w:highlight w:val="white"/>
      </w:rPr>
      <w:t>acronimo</w:t>
    </w:r>
    <w:proofErr w:type="spellEnd"/>
    <w:r>
      <w:rPr>
        <w:color w:val="434343"/>
        <w:sz w:val="18"/>
        <w:szCs w:val="18"/>
        <w:highlight w:val="white"/>
      </w:rPr>
      <w:t>}</w:t>
    </w:r>
    <w:r>
      <w:rPr>
        <w:color w:val="434343"/>
        <w:sz w:val="18"/>
        <w:szCs w:val="18"/>
        <w:highlight w:val="white"/>
      </w:rPr>
      <w:tab/>
      <w:t>DPIA</w:t>
    </w:r>
    <w:r>
      <w:rPr>
        <w:color w:val="434343"/>
        <w:sz w:val="18"/>
        <w:szCs w:val="18"/>
        <w:highlight w:val="white"/>
      </w:rPr>
      <w:tab/>
    </w:r>
    <w:r>
      <w:rPr>
        <w:color w:val="666666"/>
        <w:sz w:val="18"/>
        <w:szCs w:val="18"/>
        <w:highlight w:val="white"/>
      </w:rPr>
      <w:t>{</w:t>
    </w:r>
    <w:proofErr w:type="spellStart"/>
    <w:r>
      <w:rPr>
        <w:color w:val="666666"/>
        <w:sz w:val="18"/>
        <w:szCs w:val="18"/>
        <w:highlight w:val="white"/>
      </w:rPr>
      <w:t>x.x.x</w:t>
    </w:r>
    <w:proofErr w:type="spellEnd"/>
    <w:r>
      <w:rPr>
        <w:color w:val="666666"/>
        <w:sz w:val="18"/>
        <w:szCs w:val="18"/>
        <w:highlight w:val="white"/>
      </w:rPr>
      <w:t>}</w:t>
    </w:r>
    <w:r>
      <w:rPr>
        <w:color w:val="434343"/>
        <w:sz w:val="18"/>
        <w:szCs w:val="18"/>
        <w:highlight w:val="white"/>
      </w:rPr>
      <w:tab/>
    </w:r>
    <w:r w:rsidR="00D72E0F">
      <w:rPr>
        <w:color w:val="434343"/>
        <w:sz w:val="18"/>
        <w:szCs w:val="18"/>
        <w:highlight w:val="white"/>
      </w:rPr>
      <w:tab/>
    </w:r>
    <w:r>
      <w:rPr>
        <w:color w:val="434343"/>
        <w:sz w:val="18"/>
        <w:szCs w:val="18"/>
        <w:highlight w:val="white"/>
      </w:rPr>
      <w:t>Client</w:t>
    </w:r>
    <w:r w:rsidR="00D72E0F">
      <w:rPr>
        <w:color w:val="434343"/>
        <w:sz w:val="18"/>
        <w:szCs w:val="18"/>
        <w:highlight w:val="white"/>
      </w:rPr>
      <w:tab/>
    </w:r>
    <w:r>
      <w:rPr>
        <w:color w:val="666666"/>
        <w:sz w:val="18"/>
        <w:szCs w:val="18"/>
        <w:highlight w:val="white"/>
      </w:rPr>
      <w:t>{dd/mm/</w:t>
    </w:r>
    <w:proofErr w:type="spellStart"/>
    <w:r>
      <w:rPr>
        <w:color w:val="666666"/>
        <w:sz w:val="18"/>
        <w:szCs w:val="18"/>
        <w:highlight w:val="white"/>
      </w:rPr>
      <w:t>aaaa</w:t>
    </w:r>
    <w:proofErr w:type="spellEnd"/>
    <w:r>
      <w:rPr>
        <w:color w:val="666666"/>
        <w:sz w:val="18"/>
        <w:szCs w:val="18"/>
        <w:highlight w:val="whit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55932"/>
    <w:multiLevelType w:val="multilevel"/>
    <w:tmpl w:val="1E586D3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49849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A30"/>
    <w:rsid w:val="00115B98"/>
    <w:rsid w:val="00124A30"/>
    <w:rsid w:val="00D3762A"/>
    <w:rsid w:val="00D72E0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31F373EA"/>
  <w15:docId w15:val="{882A1A4E-F055-714A-A1AB-AA9D3A77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 w:eastAsia="en-GB"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276" w:lineRule="auto"/>
      <w:outlineLvl w:val="0"/>
    </w:pPr>
    <w:rPr>
      <w:rFonts w:ascii="Barlow Condensed Medium" w:eastAsia="Barlow Condensed Medium" w:hAnsi="Barlow Condensed Medium" w:cs="Barlow Condensed Medium"/>
      <w:color w:val="005172"/>
      <w:sz w:val="40"/>
      <w:szCs w:val="40"/>
    </w:rPr>
  </w:style>
  <w:style w:type="paragraph" w:styleId="Heading2">
    <w:name w:val="heading 2"/>
    <w:basedOn w:val="Normal"/>
    <w:next w:val="Normal"/>
    <w:uiPriority w:val="9"/>
    <w:unhideWhenUsed/>
    <w:qFormat/>
    <w:pPr>
      <w:keepNext/>
      <w:keepLines/>
      <w:spacing w:before="360" w:line="276" w:lineRule="auto"/>
      <w:outlineLvl w:val="1"/>
    </w:pPr>
    <w:rPr>
      <w:rFonts w:ascii="Barlow Condensed Medium" w:eastAsia="Barlow Condensed Medium" w:hAnsi="Barlow Condensed Medium" w:cs="Barlow Condensed Medium"/>
      <w:color w:val="009FDA"/>
      <w:sz w:val="32"/>
      <w:szCs w:val="32"/>
    </w:rPr>
  </w:style>
  <w:style w:type="paragraph" w:styleId="Heading3">
    <w:name w:val="heading 3"/>
    <w:basedOn w:val="Normal"/>
    <w:next w:val="Normal"/>
    <w:uiPriority w:val="9"/>
    <w:unhideWhenUsed/>
    <w:qFormat/>
    <w:pPr>
      <w:keepNext/>
      <w:keepLines/>
      <w:spacing w:before="240" w:after="0"/>
      <w:outlineLvl w:val="2"/>
    </w:pPr>
    <w:rPr>
      <w:rFonts w:ascii="Nunito" w:eastAsia="Nunito" w:hAnsi="Nunito" w:cs="Nunito"/>
      <w:color w:val="005172"/>
      <w:sz w:val="28"/>
      <w:szCs w:val="28"/>
    </w:rPr>
  </w:style>
  <w:style w:type="paragraph" w:styleId="Heading4">
    <w:name w:val="heading 4"/>
    <w:basedOn w:val="Normal"/>
    <w:next w:val="Normal"/>
    <w:uiPriority w:val="9"/>
    <w:unhideWhenUsed/>
    <w:qFormat/>
    <w:pPr>
      <w:keepNext/>
      <w:keepLines/>
      <w:spacing w:after="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Header">
    <w:name w:val="header"/>
    <w:basedOn w:val="Normal"/>
    <w:link w:val="HeaderChar"/>
    <w:uiPriority w:val="99"/>
    <w:unhideWhenUsed/>
    <w:rsid w:val="00D72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E0F"/>
  </w:style>
  <w:style w:type="paragraph" w:styleId="Footer">
    <w:name w:val="footer"/>
    <w:basedOn w:val="Normal"/>
    <w:link w:val="FooterChar"/>
    <w:uiPriority w:val="99"/>
    <w:unhideWhenUsed/>
    <w:rsid w:val="00D72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ristina.jacome@mtg.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LlJrSTn0PiiXSvs2z742WDDPpQJKNFnojhDGzoAJvjs/edit?tab=t.0"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google.com/document/d/1CEFBFEXsOEcpkHcQX5tgumTHmSdT881S9YkI45TmceM/edit?tab=t.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6379</Words>
  <Characters>36361</Characters>
  <Application>Microsoft Office Word</Application>
  <DocSecurity>0</DocSecurity>
  <Lines>303</Lines>
  <Paragraphs>85</Paragraphs>
  <ScaleCrop>false</ScaleCrop>
  <Company/>
  <LinksUpToDate>false</LinksUpToDate>
  <CharactersWithSpaces>42655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Sá Sousa</cp:lastModifiedBy>
  <cp:revision>2</cp:revision>
  <dcterms:created xsi:type="dcterms:W3CDTF">2025-09-24T08:55:00Z</dcterms:created>
  <dcterms:modified xsi:type="dcterms:W3CDTF">2025-09-24T08:57:00Z</dcterms:modified>
</cp:coreProperties>
</file>