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Lato" w:cs="Lato" w:eastAsia="Lato" w:hAnsi="Lato"/>
          <w:b w:val="0"/>
          <w:bCs w:val="0"/>
          <w:i w:val="0"/>
          <w:iCs w:val="0"/>
          <w:smallCaps w:val="0"/>
          <w:strike w:val="0"/>
          <w:color w:val="999999"/>
          <w:sz w:val="22"/>
          <w:szCs w:val="22"/>
          <w:highlight w:val="white"/>
          <w:u w:val="none"/>
          <w:vertAlign w:val="baseline"/>
        </w:rPr>
      </w:pPr>
      <w:bookmarkStart w:colFirst="0" w:colLast="0" w:name="_heading=h.tgdnam2ilkul" w:id="0"/>
      <w:bookmarkEnd w:id="0"/>
      <w:r w:rsidDel="00000000" w:rsidR="00000000" w:rsidRPr="00000000">
        <w:rPr>
          <w:rFonts w:ascii="Lato" w:cs="Lato" w:eastAsia="Lato" w:hAnsi="Lato"/>
          <w:b w:val="0"/>
          <w:bCs w:val="0"/>
          <w:i w:val="0"/>
          <w:iCs w:val="0"/>
          <w:smallCaps w:val="0"/>
          <w:strike w:val="0"/>
          <w:color w:val="999999"/>
          <w:sz w:val="22"/>
          <w:szCs w:val="22"/>
          <w:highlight w:val="white"/>
          <w:u w:val="none"/>
          <w:vertAlign w:val="baseline"/>
          <w:rtl w:val="0"/>
        </w:rPr>
        <w:t xml:space="preserve">Please use the current template according to the instructions on this page.</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1"/>
          <w:bCs w:val="1"/>
          <w:i w:val="0"/>
          <w:iCs w:val="0"/>
          <w:smallCaps w:val="0"/>
          <w:strike w:val="0"/>
          <w:color w:val="999999"/>
          <w:sz w:val="22"/>
          <w:szCs w:val="22"/>
          <w:highlight w:val="white"/>
          <w:u w:val="none"/>
          <w:vertAlign w:val="baseline"/>
        </w:rPr>
      </w:pPr>
      <w:bookmarkStart w:colFirst="0" w:colLast="0" w:name="_heading=h.geh4krmhaws9" w:id="1"/>
      <w:bookmarkEnd w:id="1"/>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1"/>
          <w:bCs w:val="1"/>
          <w:i w:val="0"/>
          <w:iCs w:val="0"/>
          <w:smallCaps w:val="0"/>
          <w:strike w:val="0"/>
          <w:color w:val="999999"/>
          <w:sz w:val="22"/>
          <w:szCs w:val="22"/>
          <w:highlight w:val="white"/>
          <w:u w:val="none"/>
          <w:vertAlign w:val="baseline"/>
        </w:rPr>
      </w:pPr>
      <w:bookmarkStart w:colFirst="0" w:colLast="0" w:name="_heading=h.b3ivccjeik7w" w:id="2"/>
      <w:bookmarkEnd w:id="2"/>
      <w:r w:rsidDel="00000000" w:rsidR="00000000" w:rsidRPr="00000000">
        <w:rPr>
          <w:rFonts w:ascii="Lato" w:cs="Lato" w:eastAsia="Lato" w:hAnsi="Lato"/>
          <w:b w:val="1"/>
          <w:bCs w:val="1"/>
          <w:i w:val="0"/>
          <w:iCs w:val="0"/>
          <w:smallCaps w:val="0"/>
          <w:strike w:val="0"/>
          <w:color w:val="999999"/>
          <w:sz w:val="22"/>
          <w:szCs w:val="22"/>
          <w:highlight w:val="white"/>
          <w:u w:val="none"/>
          <w:vertAlign w:val="baseline"/>
          <w:rtl w:val="0"/>
        </w:rPr>
        <w:t xml:space="preserve">Template Name</w:t>
      </w:r>
    </w:p>
    <w:p w:rsidR="00000000" w:rsidDel="00000000" w:rsidP="00000000" w:rsidRDefault="00000000" w:rsidRPr="00000000" w14:paraId="00000004">
      <w:pPr>
        <w:rPr>
          <w:color w:val="999999"/>
          <w:sz w:val="22"/>
          <w:szCs w:val="22"/>
        </w:rPr>
      </w:pPr>
      <w:r w:rsidDel="00000000" w:rsidR="00000000" w:rsidRPr="00000000">
        <w:rPr>
          <w:color w:val="999999"/>
          <w:sz w:val="22"/>
          <w:szCs w:val="22"/>
          <w:rtl w:val="0"/>
        </w:rPr>
        <w:t xml:space="preserve">MTG-TPL-015 Memorando de Entendimento</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1"/>
          <w:bCs w:val="1"/>
          <w:i w:val="0"/>
          <w:iCs w:val="0"/>
          <w:smallCaps w:val="0"/>
          <w:strike w:val="0"/>
          <w:color w:val="999999"/>
          <w:sz w:val="22"/>
          <w:szCs w:val="22"/>
          <w:highlight w:val="white"/>
          <w:u w:val="none"/>
          <w:vertAlign w:val="baseline"/>
        </w:rPr>
      </w:pPr>
      <w:bookmarkStart w:colFirst="0" w:colLast="0" w:name="_heading=h.qb4vncj783gn" w:id="3"/>
      <w:bookmarkEnd w:id="3"/>
      <w:r w:rsidDel="00000000" w:rsidR="00000000" w:rsidRPr="00000000">
        <w:rPr>
          <w:rFonts w:ascii="Lato" w:cs="Lato" w:eastAsia="Lato" w:hAnsi="Lato"/>
          <w:b w:val="1"/>
          <w:bCs w:val="1"/>
          <w:i w:val="0"/>
          <w:iCs w:val="0"/>
          <w:smallCaps w:val="0"/>
          <w:strike w:val="0"/>
          <w:color w:val="999999"/>
          <w:sz w:val="22"/>
          <w:szCs w:val="22"/>
          <w:highlight w:val="white"/>
          <w:u w:val="none"/>
          <w:vertAlign w:val="baseline"/>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190"/>
        <w:gridCol w:w="1545"/>
        <w:gridCol w:w="2955"/>
        <w:gridCol w:w="1290"/>
        <w:tblGridChange w:id="0">
          <w:tblGrid>
            <w:gridCol w:w="1050"/>
            <w:gridCol w:w="2190"/>
            <w:gridCol w:w="1545"/>
            <w:gridCol w:w="2955"/>
            <w:gridCol w:w="1290"/>
          </w:tblGrid>
        </w:tblGridChange>
      </w:tblGrid>
      <w:tr>
        <w:trPr>
          <w:cantSplit w:val="0"/>
          <w:tblHeader w:val="1"/>
        </w:trPr>
        <w:tc>
          <w:tcPr>
            <w:tcBorders>
              <w:top w:color="000000" w:space="0" w:sz="0" w:val="nil"/>
              <w:left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6">
            <w:pPr>
              <w:widowControl w:val="0"/>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Version</w:t>
            </w:r>
          </w:p>
        </w:tc>
        <w:tc>
          <w:tcPr>
            <w:tcBorders>
              <w:top w:color="000000" w:space="0" w:sz="0" w:val="nil"/>
              <w:left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7">
            <w:pPr>
              <w:widowControl w:val="0"/>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Author</w:t>
            </w:r>
          </w:p>
        </w:tc>
        <w:tc>
          <w:tcPr>
            <w:tcBorders>
              <w:top w:color="000000" w:space="0" w:sz="0" w:val="nil"/>
              <w:left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8">
            <w:pPr>
              <w:widowControl w:val="0"/>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Date</w:t>
            </w:r>
          </w:p>
        </w:tc>
        <w:tc>
          <w:tcPr>
            <w:tcBorders>
              <w:top w:color="000000" w:space="0" w:sz="0" w:val="nil"/>
              <w:left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9">
            <w:pPr>
              <w:widowControl w:val="0"/>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Notes</w:t>
            </w:r>
          </w:p>
        </w:tc>
        <w:tc>
          <w:tcPr>
            <w:tcBorders>
              <w:top w:color="000000" w:space="0" w:sz="0" w:val="nil"/>
              <w:left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A">
            <w:pPr>
              <w:widowControl w:val="0"/>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Supporte</w:t>
            </w:r>
            <w:r w:rsidDel="00000000" w:rsidR="00000000" w:rsidRPr="00000000">
              <w:rPr>
                <w:b w:val="1"/>
                <w:bCs w:val="1"/>
                <w:color w:val="999999"/>
                <w:rtl w:val="0"/>
              </w:rPr>
              <w:t xml:space="preserve">d</w:t>
            </w:r>
            <w:r w:rsidDel="00000000" w:rsidR="00000000" w:rsidRPr="00000000">
              <w:rPr>
                <w:rtl w:val="0"/>
              </w:rPr>
            </w:r>
          </w:p>
        </w:tc>
      </w:tr>
      <w:tr>
        <w:trPr>
          <w:cantSplit w:val="0"/>
          <w:tblHeader w:val="0"/>
        </w:trPr>
        <w:tc>
          <w:tcPr>
            <w:tcBorders>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B">
            <w:pPr>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1.0.0</w:t>
            </w:r>
          </w:p>
        </w:tc>
        <w:tc>
          <w:tcPr>
            <w:tcBorders>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C">
            <w:pPr>
              <w:spacing w:after="0" w:line="240" w:lineRule="auto"/>
              <w:jc w:val="left"/>
              <w:rPr>
                <w:color w:val="999999"/>
                <w:sz w:val="22"/>
                <w:szCs w:val="22"/>
              </w:rPr>
            </w:pPr>
            <w:hyperlink r:id="rId7">
              <w:r w:rsidDel="00000000" w:rsidR="00000000" w:rsidRPr="00000000">
                <w:rPr>
                  <w:color w:val="0000ee"/>
                  <w:sz w:val="22"/>
                  <w:szCs w:val="22"/>
                  <w:u w:val="single"/>
                  <w:rtl w:val="0"/>
                </w:rPr>
                <w:t xml:space="preserve">Tiago Taveira Gomes</w:t>
              </w:r>
            </w:hyperlink>
            <w:r w:rsidDel="00000000" w:rsidR="00000000" w:rsidRPr="00000000">
              <w:rPr>
                <w:rtl w:val="0"/>
              </w:rPr>
            </w:r>
          </w:p>
        </w:tc>
        <w:tc>
          <w:tcPr>
            <w:tcBorders>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D">
            <w:pPr>
              <w:spacing w:after="0" w:line="240" w:lineRule="auto"/>
              <w:jc w:val="left"/>
              <w:rPr>
                <w:color w:val="999999"/>
                <w:sz w:val="22"/>
                <w:szCs w:val="22"/>
              </w:rPr>
            </w:pPr>
            <w:r w:rsidDel="00000000" w:rsidR="00000000" w:rsidRPr="00000000">
              <w:rPr>
                <w:color w:val="999999"/>
                <w:sz w:val="22"/>
                <w:szCs w:val="22"/>
                <w:rtl w:val="0"/>
              </w:rPr>
              <w:t xml:space="preserve">May 5, 2024</w:t>
            </w:r>
          </w:p>
        </w:tc>
        <w:tc>
          <w:tcPr>
            <w:tcBorders>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E">
            <w:pPr>
              <w:spacing w:after="0" w:line="240" w:lineRule="auto"/>
              <w:jc w:val="left"/>
              <w:rPr>
                <w:color w:val="999999"/>
                <w:sz w:val="22"/>
                <w:szCs w:val="22"/>
              </w:rPr>
            </w:pPr>
            <w:r w:rsidDel="00000000" w:rsidR="00000000" w:rsidRPr="00000000">
              <w:rPr>
                <w:color w:val="999999"/>
                <w:sz w:val="22"/>
                <w:szCs w:val="22"/>
                <w:rtl w:val="0"/>
              </w:rPr>
              <w:t xml:space="preserve">Initial Version</w:t>
            </w:r>
          </w:p>
        </w:tc>
        <w:tc>
          <w:tcPr>
            <w:tcBorders>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F">
            <w:pPr>
              <w:spacing w:after="0" w:line="240" w:lineRule="auto"/>
              <w:jc w:val="left"/>
              <w:rPr>
                <w:color w:val="999999"/>
                <w:sz w:val="22"/>
                <w:szCs w:val="22"/>
              </w:rPr>
            </w:pPr>
            <w:r w:rsidDel="00000000" w:rsidR="00000000" w:rsidRPr="00000000">
              <w:rPr>
                <w:color w:val="999999"/>
                <w:sz w:val="22"/>
                <w:szCs w:val="22"/>
                <w:rtl w:val="0"/>
              </w:rPr>
              <w:t xml:space="preserve">Yes</w:t>
            </w:r>
          </w:p>
        </w:tc>
      </w:tr>
      <w:tr>
        <w:trPr>
          <w:cantSplit w:val="0"/>
          <w:tblHeader w:val="0"/>
        </w:trPr>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0">
            <w:pPr>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1.1.0</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1">
            <w:pPr>
              <w:spacing w:after="0" w:line="240" w:lineRule="auto"/>
              <w:jc w:val="left"/>
              <w:rPr>
                <w:color w:val="999999"/>
                <w:sz w:val="22"/>
                <w:szCs w:val="22"/>
              </w:rPr>
            </w:pPr>
            <w:hyperlink r:id="rId8">
              <w:r w:rsidDel="00000000" w:rsidR="00000000" w:rsidRPr="00000000">
                <w:rPr>
                  <w:color w:val="0000ee"/>
                  <w:sz w:val="22"/>
                  <w:szCs w:val="22"/>
                  <w:u w:val="single"/>
                  <w:rtl w:val="0"/>
                </w:rPr>
                <w:t xml:space="preserve">Daniela Antunes</w:t>
              </w:r>
            </w:hyperlink>
            <w:r w:rsidDel="00000000" w:rsidR="00000000" w:rsidRPr="00000000">
              <w:rPr>
                <w:rtl w:val="0"/>
              </w:rPr>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2">
            <w:pPr>
              <w:spacing w:after="0" w:line="240" w:lineRule="auto"/>
              <w:jc w:val="left"/>
              <w:rPr>
                <w:color w:val="999999"/>
                <w:sz w:val="22"/>
                <w:szCs w:val="22"/>
              </w:rPr>
            </w:pPr>
            <w:r w:rsidDel="00000000" w:rsidR="00000000" w:rsidRPr="00000000">
              <w:rPr>
                <w:color w:val="999999"/>
                <w:sz w:val="22"/>
                <w:szCs w:val="22"/>
                <w:rtl w:val="0"/>
              </w:rPr>
              <w:t xml:space="preserve">Jul 10, 2024</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3">
            <w:pPr>
              <w:spacing w:after="0" w:line="240" w:lineRule="auto"/>
              <w:jc w:val="left"/>
              <w:rPr>
                <w:color w:val="999999"/>
                <w:sz w:val="22"/>
                <w:szCs w:val="22"/>
              </w:rPr>
            </w:pPr>
            <w:r w:rsidDel="00000000" w:rsidR="00000000" w:rsidRPr="00000000">
              <w:rPr>
                <w:color w:val="999999"/>
                <w:sz w:val="22"/>
                <w:szCs w:val="22"/>
                <w:rtl w:val="0"/>
              </w:rPr>
              <w:t xml:space="preserve">Preamble</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4">
            <w:pPr>
              <w:spacing w:after="0" w:line="240" w:lineRule="auto"/>
              <w:jc w:val="left"/>
              <w:rPr>
                <w:color w:val="999999"/>
                <w:sz w:val="22"/>
                <w:szCs w:val="22"/>
              </w:rPr>
            </w:pPr>
            <w:r w:rsidDel="00000000" w:rsidR="00000000" w:rsidRPr="00000000">
              <w:rPr>
                <w:color w:val="999999"/>
                <w:sz w:val="22"/>
                <w:szCs w:val="22"/>
                <w:rtl w:val="0"/>
              </w:rPr>
              <w:t xml:space="preserve">Yes</w:t>
            </w:r>
          </w:p>
        </w:tc>
      </w:tr>
      <w:tr>
        <w:trPr>
          <w:cantSplit w:val="0"/>
          <w:tblHeader w:val="0"/>
        </w:trPr>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5">
            <w:pPr>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2.0.0</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6">
            <w:pPr>
              <w:spacing w:after="0" w:line="240" w:lineRule="auto"/>
              <w:jc w:val="left"/>
              <w:rPr>
                <w:color w:val="999999"/>
                <w:sz w:val="22"/>
                <w:szCs w:val="22"/>
              </w:rPr>
            </w:pPr>
            <w:hyperlink r:id="rId9">
              <w:r w:rsidDel="00000000" w:rsidR="00000000" w:rsidRPr="00000000">
                <w:rPr>
                  <w:color w:val="0000ee"/>
                  <w:sz w:val="22"/>
                  <w:szCs w:val="22"/>
                  <w:u w:val="single"/>
                  <w:rtl w:val="0"/>
                </w:rPr>
                <w:t xml:space="preserve">Cristina Jácome</w:t>
              </w:r>
            </w:hyperlink>
            <w:r w:rsidDel="00000000" w:rsidR="00000000" w:rsidRPr="00000000">
              <w:rPr>
                <w:rtl w:val="0"/>
              </w:rPr>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7">
            <w:pPr>
              <w:spacing w:after="0" w:line="240" w:lineRule="auto"/>
              <w:jc w:val="left"/>
              <w:rPr>
                <w:color w:val="999999"/>
                <w:sz w:val="22"/>
                <w:szCs w:val="22"/>
              </w:rPr>
            </w:pPr>
            <w:r w:rsidDel="00000000" w:rsidR="00000000" w:rsidRPr="00000000">
              <w:rPr>
                <w:color w:val="999999"/>
                <w:sz w:val="22"/>
                <w:szCs w:val="22"/>
                <w:rtl w:val="0"/>
              </w:rPr>
              <w:t xml:space="preserve">Oct 3, 2024</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8">
            <w:pPr>
              <w:spacing w:after="0" w:line="240" w:lineRule="auto"/>
              <w:jc w:val="left"/>
              <w:rPr>
                <w:color w:val="999999"/>
                <w:sz w:val="22"/>
                <w:szCs w:val="22"/>
              </w:rPr>
            </w:pPr>
            <w:r w:rsidDel="00000000" w:rsidR="00000000" w:rsidRPr="00000000">
              <w:rPr>
                <w:color w:val="999999"/>
                <w:sz w:val="22"/>
                <w:szCs w:val="22"/>
                <w:rtl w:val="0"/>
              </w:rPr>
              <w:t xml:space="preserve">Preamble, clauses &amp; glossary added, MTG standardized set of terms </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9">
            <w:pPr>
              <w:spacing w:after="0" w:line="240" w:lineRule="auto"/>
              <w:jc w:val="left"/>
              <w:rPr>
                <w:color w:val="999999"/>
                <w:sz w:val="22"/>
                <w:szCs w:val="22"/>
              </w:rPr>
            </w:pPr>
            <w:r w:rsidDel="00000000" w:rsidR="00000000" w:rsidRPr="00000000">
              <w:rPr>
                <w:color w:val="999999"/>
                <w:rtl w:val="0"/>
              </w:rPr>
              <w:t xml:space="preserve">Yes</w:t>
            </w:r>
            <w:r w:rsidDel="00000000" w:rsidR="00000000" w:rsidRPr="00000000">
              <w:rPr>
                <w:rtl w:val="0"/>
              </w:rPr>
            </w:r>
          </w:p>
        </w:tc>
      </w:tr>
      <w:tr>
        <w:trPr>
          <w:cantSplit w:val="0"/>
          <w:tblHeader w:val="0"/>
        </w:trPr>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A">
            <w:pPr>
              <w:spacing w:after="0" w:line="240" w:lineRule="auto"/>
              <w:jc w:val="left"/>
              <w:rPr>
                <w:b w:val="1"/>
                <w:bCs w:val="1"/>
                <w:color w:val="999999"/>
                <w:sz w:val="22"/>
                <w:szCs w:val="22"/>
              </w:rPr>
            </w:pPr>
            <w:r w:rsidDel="00000000" w:rsidR="00000000" w:rsidRPr="00000000">
              <w:rPr>
                <w:b w:val="1"/>
                <w:bCs w:val="1"/>
                <w:color w:val="999999"/>
                <w:sz w:val="22"/>
                <w:szCs w:val="22"/>
                <w:rtl w:val="0"/>
              </w:rPr>
              <w:t xml:space="preserve">2.1.0</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B">
            <w:pPr>
              <w:spacing w:after="0" w:line="240" w:lineRule="auto"/>
              <w:jc w:val="left"/>
              <w:rPr>
                <w:color w:val="0000ee"/>
                <w:sz w:val="22"/>
                <w:szCs w:val="22"/>
                <w:u w:val="single"/>
              </w:rPr>
            </w:pPr>
            <w:hyperlink r:id="rId10">
              <w:r w:rsidDel="00000000" w:rsidR="00000000" w:rsidRPr="00000000">
                <w:rPr>
                  <w:color w:val="0000ee"/>
                  <w:sz w:val="22"/>
                  <w:szCs w:val="22"/>
                  <w:u w:val="single"/>
                  <w:rtl w:val="0"/>
                </w:rPr>
                <w:t xml:space="preserve">Cristina Jácome</w:t>
              </w:r>
            </w:hyperlink>
            <w:r w:rsidDel="00000000" w:rsidR="00000000" w:rsidRPr="00000000">
              <w:rPr>
                <w:rtl w:val="0"/>
              </w:rPr>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C">
            <w:pPr>
              <w:spacing w:after="0" w:line="240" w:lineRule="auto"/>
              <w:jc w:val="left"/>
              <w:rPr>
                <w:color w:val="999999"/>
                <w:sz w:val="22"/>
                <w:szCs w:val="22"/>
              </w:rPr>
            </w:pPr>
            <w:r w:rsidDel="00000000" w:rsidR="00000000" w:rsidRPr="00000000">
              <w:rPr>
                <w:color w:val="999999"/>
                <w:sz w:val="22"/>
                <w:szCs w:val="22"/>
                <w:rtl w:val="0"/>
              </w:rPr>
              <w:t xml:space="preserve">Dec 13, 2024</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D">
            <w:pPr>
              <w:spacing w:after="0" w:line="240" w:lineRule="auto"/>
              <w:jc w:val="left"/>
              <w:rPr>
                <w:color w:val="999999"/>
                <w:sz w:val="22"/>
                <w:szCs w:val="22"/>
              </w:rPr>
            </w:pPr>
            <w:r w:rsidDel="00000000" w:rsidR="00000000" w:rsidRPr="00000000">
              <w:rPr>
                <w:color w:val="999999"/>
                <w:sz w:val="22"/>
                <w:szCs w:val="22"/>
                <w:rtl w:val="0"/>
              </w:rPr>
              <w:t xml:space="preserve">Changes based on expert advise</w:t>
            </w:r>
          </w:p>
        </w:tc>
        <w:tc>
          <w:tcPr>
            <w:tcBorders>
              <w:top w:color="f3f3f3" w:space="0" w:sz="8" w:val="single"/>
              <w:left w:color="000000" w:space="0" w:sz="0" w:val="nil"/>
              <w:bottom w:color="f3f3f3" w:space="0" w:sz="8" w:val="single"/>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E">
            <w:pPr>
              <w:spacing w:after="0" w:line="240" w:lineRule="auto"/>
              <w:jc w:val="left"/>
              <w:rPr>
                <w:color w:val="999999"/>
                <w:sz w:val="22"/>
                <w:szCs w:val="22"/>
              </w:rPr>
            </w:pPr>
            <w:r w:rsidDel="00000000" w:rsidR="00000000" w:rsidRPr="00000000">
              <w:rPr>
                <w:color w:val="999999"/>
                <w:rtl w:val="0"/>
              </w:rPr>
              <w:t xml:space="preserve">Yes</w:t>
            </w:r>
            <w:r w:rsidDel="00000000" w:rsidR="00000000" w:rsidRPr="00000000">
              <w:rPr>
                <w:rtl w:val="0"/>
              </w:rPr>
            </w:r>
          </w:p>
        </w:tc>
      </w:tr>
      <w:tr>
        <w:trPr>
          <w:cantSplit w:val="0"/>
          <w:tblHeader w:val="0"/>
        </w:trPr>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F">
            <w:pPr>
              <w:spacing w:after="0" w:line="240" w:lineRule="auto"/>
              <w:jc w:val="left"/>
              <w:rPr>
                <w:b w:val="1"/>
                <w:bCs w:val="1"/>
                <w:color w:val="999999"/>
              </w:rPr>
            </w:pPr>
            <w:r w:rsidDel="00000000" w:rsidR="00000000" w:rsidRPr="00000000">
              <w:rPr>
                <w:b w:val="1"/>
                <w:bCs w:val="1"/>
                <w:color w:val="999999"/>
                <w:rtl w:val="0"/>
              </w:rPr>
              <w:t xml:space="preserve">2.2.0</w:t>
            </w:r>
          </w:p>
        </w:tc>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spacing w:after="0" w:line="240" w:lineRule="auto"/>
              <w:jc w:val="left"/>
              <w:rPr>
                <w:color w:val="0000ee"/>
                <w:u w:val="single"/>
              </w:rPr>
            </w:pPr>
            <w:r w:rsidDel="00000000" w:rsidR="00000000" w:rsidRPr="00000000">
              <w:rPr>
                <w:color w:val="0000ee"/>
                <w:u w:val="single"/>
                <w:rtl w:val="0"/>
              </w:rPr>
              <w:t xml:space="preserve">Tiago Taveira Gomes</w:t>
            </w:r>
          </w:p>
        </w:tc>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spacing w:after="0" w:line="240" w:lineRule="auto"/>
              <w:jc w:val="left"/>
              <w:rPr>
                <w:color w:val="999999"/>
              </w:rPr>
            </w:pPr>
            <w:r w:rsidDel="00000000" w:rsidR="00000000" w:rsidRPr="00000000">
              <w:rPr>
                <w:color w:val="999999"/>
                <w:rtl w:val="0"/>
              </w:rPr>
              <w:t xml:space="preserve">Dec 14, 2024</w:t>
            </w:r>
          </w:p>
        </w:tc>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spacing w:after="0" w:line="240" w:lineRule="auto"/>
              <w:jc w:val="left"/>
              <w:rPr>
                <w:color w:val="999999"/>
              </w:rPr>
            </w:pPr>
            <w:r w:rsidDel="00000000" w:rsidR="00000000" w:rsidRPr="00000000">
              <w:rPr>
                <w:color w:val="999999"/>
                <w:rtl w:val="0"/>
              </w:rPr>
              <w:t xml:space="preserve">Formatting and wording</w:t>
            </w:r>
          </w:p>
        </w:tc>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spacing w:after="0" w:line="240" w:lineRule="auto"/>
              <w:jc w:val="left"/>
              <w:rPr>
                <w:color w:val="999999"/>
                <w:sz w:val="22"/>
                <w:szCs w:val="22"/>
              </w:rPr>
            </w:pPr>
            <w:r w:rsidDel="00000000" w:rsidR="00000000" w:rsidRPr="00000000">
              <w:rPr>
                <w:color w:val="999999"/>
                <w:rtl w:val="0"/>
              </w:rPr>
              <w:t xml:space="preserve">Yes</w:t>
            </w:r>
            <w:r w:rsidDel="00000000" w:rsidR="00000000" w:rsidRPr="00000000">
              <w:rPr>
                <w:rtl w:val="0"/>
              </w:rPr>
            </w:r>
          </w:p>
        </w:tc>
      </w:tr>
      <w:tr>
        <w:trPr>
          <w:cantSplit w:val="0"/>
          <w:tblHeader w:val="0"/>
        </w:trPr>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spacing w:after="0" w:line="240" w:lineRule="auto"/>
              <w:jc w:val="left"/>
              <w:rPr>
                <w:b w:val="1"/>
                <w:bCs w:val="1"/>
                <w:color w:val="999999"/>
              </w:rPr>
            </w:pPr>
            <w:r w:rsidDel="00000000" w:rsidR="00000000" w:rsidRPr="00000000">
              <w:rPr>
                <w:b w:val="1"/>
                <w:bCs w:val="1"/>
                <w:color w:val="999999"/>
                <w:rtl w:val="0"/>
              </w:rPr>
              <w:t xml:space="preserve">3.0.0</w:t>
            </w:r>
          </w:p>
        </w:tc>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spacing w:after="0" w:line="240" w:lineRule="auto"/>
              <w:jc w:val="left"/>
              <w:rPr>
                <w:color w:val="0000ee"/>
                <w:u w:val="single"/>
              </w:rPr>
            </w:pPr>
            <w:hyperlink r:id="rId11">
              <w:r w:rsidDel="00000000" w:rsidR="00000000" w:rsidRPr="00000000">
                <w:rPr>
                  <w:color w:val="0000ee"/>
                  <w:u w:val="single"/>
                  <w:rtl w:val="0"/>
                </w:rPr>
                <w:t xml:space="preserve">Cristina Jácome</w:t>
              </w:r>
            </w:hyperlink>
            <w:r w:rsidDel="00000000" w:rsidR="00000000" w:rsidRPr="00000000">
              <w:rPr>
                <w:rtl w:val="0"/>
              </w:rPr>
            </w:r>
          </w:p>
        </w:tc>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spacing w:after="0" w:line="240" w:lineRule="auto"/>
              <w:jc w:val="left"/>
              <w:rPr>
                <w:color w:val="999999"/>
              </w:rPr>
            </w:pPr>
            <w:r w:rsidDel="00000000" w:rsidR="00000000" w:rsidRPr="00000000">
              <w:rPr>
                <w:color w:val="999999"/>
                <w:rtl w:val="0"/>
              </w:rPr>
              <w:t xml:space="preserve">Feb 19, 2025</w:t>
            </w:r>
          </w:p>
        </w:tc>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spacing w:after="0" w:line="240" w:lineRule="auto"/>
              <w:jc w:val="left"/>
              <w:rPr>
                <w:color w:val="999999"/>
              </w:rPr>
            </w:pPr>
            <w:r w:rsidDel="00000000" w:rsidR="00000000" w:rsidRPr="00000000">
              <w:rPr>
                <w:color w:val="999999"/>
                <w:rtl w:val="0"/>
              </w:rPr>
              <w:t xml:space="preserve">Changes based on expert advice</w:t>
            </w:r>
          </w:p>
        </w:tc>
        <w:tc>
          <w:tcPr>
            <w:tcBorders>
              <w:top w:color="f3f3f3" w:space="0" w:sz="8" w:val="single"/>
              <w:left w:color="000000" w:space="0" w:sz="0" w:val="nil"/>
              <w:bottom w:color="000000" w:space="0" w:sz="0" w:val="nil"/>
              <w:right w:color="000000" w:space="0" w:sz="0" w:val="nil"/>
            </w:tcBorders>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spacing w:after="0" w:line="240" w:lineRule="auto"/>
              <w:jc w:val="left"/>
              <w:rPr>
                <w:color w:val="999999"/>
                <w:sz w:val="22"/>
                <w:szCs w:val="22"/>
              </w:rPr>
            </w:pPr>
            <w:r w:rsidDel="00000000" w:rsidR="00000000" w:rsidRPr="00000000">
              <w:rPr>
                <w:rtl w:val="0"/>
              </w:rPr>
            </w:r>
          </w:p>
        </w:tc>
      </w:tr>
    </w:tbl>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1"/>
          <w:bCs w:val="1"/>
          <w:i w:val="0"/>
          <w:iCs w:val="0"/>
          <w:smallCaps w:val="0"/>
          <w:strike w:val="0"/>
          <w:color w:val="999999"/>
          <w:sz w:val="22"/>
          <w:szCs w:val="22"/>
          <w:highlight w:val="white"/>
          <w:u w:val="none"/>
          <w:vertAlign w:val="baseline"/>
        </w:rPr>
      </w:pPr>
      <w:bookmarkStart w:colFirst="0" w:colLast="0" w:name="_heading=h.8it14dwc4lut" w:id="4"/>
      <w:bookmarkEnd w:id="4"/>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ato" w:cs="Lato" w:eastAsia="Lato" w:hAnsi="Lato"/>
          <w:b w:val="1"/>
          <w:bCs w:val="1"/>
          <w:i w:val="0"/>
          <w:iCs w:val="0"/>
          <w:smallCaps w:val="0"/>
          <w:strike w:val="0"/>
          <w:color w:val="999999"/>
          <w:sz w:val="22"/>
          <w:szCs w:val="22"/>
          <w:highlight w:val="white"/>
          <w:u w:val="none"/>
          <w:vertAlign w:val="baseline"/>
        </w:rPr>
      </w:pPr>
      <w:bookmarkStart w:colFirst="0" w:colLast="0" w:name="_heading=h.vophg0al841u" w:id="5"/>
      <w:bookmarkEnd w:id="5"/>
      <w:r w:rsidDel="00000000" w:rsidR="00000000" w:rsidRPr="00000000">
        <w:rPr>
          <w:rFonts w:ascii="Lato" w:cs="Lato" w:eastAsia="Lato" w:hAnsi="Lato"/>
          <w:b w:val="1"/>
          <w:bCs w:val="1"/>
          <w:i w:val="0"/>
          <w:iCs w:val="0"/>
          <w:smallCaps w:val="0"/>
          <w:strike w:val="0"/>
          <w:color w:val="999999"/>
          <w:sz w:val="22"/>
          <w:szCs w:val="22"/>
          <w:highlight w:val="white"/>
          <w:u w:val="none"/>
          <w:vertAlign w:val="baseline"/>
          <w:rtl w:val="0"/>
        </w:rPr>
        <w:t xml:space="preserve">Instructions</w:t>
      </w:r>
    </w:p>
    <w:p w:rsidR="00000000" w:rsidDel="00000000" w:rsidP="00000000" w:rsidRDefault="00000000" w:rsidRPr="00000000" w14:paraId="0000002B">
      <w:pPr>
        <w:rPr>
          <w:color w:val="999999"/>
          <w:sz w:val="22"/>
          <w:szCs w:val="22"/>
        </w:rPr>
      </w:pPr>
      <w:r w:rsidDel="00000000" w:rsidR="00000000" w:rsidRPr="00000000">
        <w:rPr>
          <w:color w:val="999999"/>
          <w:rtl w:val="0"/>
        </w:rPr>
        <w:t xml:space="preserve">[</w:t>
      </w:r>
      <w:r w:rsidDel="00000000" w:rsidR="00000000" w:rsidRPr="00000000">
        <w:rPr>
          <w:color w:val="999999"/>
          <w:sz w:val="22"/>
          <w:szCs w:val="22"/>
          <w:rtl w:val="0"/>
        </w:rPr>
        <w:t xml:space="preserve">...</w:t>
      </w:r>
      <w:r w:rsidDel="00000000" w:rsidR="00000000" w:rsidRPr="00000000">
        <w:rPr>
          <w:color w:val="999999"/>
          <w:rtl w:val="0"/>
        </w:rPr>
        <w:t xml:space="preserve">]</w:t>
      </w:r>
      <w:r w:rsidDel="00000000" w:rsidR="00000000" w:rsidRPr="00000000">
        <w:rPr>
          <w:sz w:val="22"/>
          <w:szCs w:val="22"/>
          <w:rtl w:val="0"/>
        </w:rPr>
        <w:t xml:space="preserve"> </w:t>
      </w:r>
      <w:r w:rsidDel="00000000" w:rsidR="00000000" w:rsidRPr="00000000">
        <w:rPr>
          <w:color w:val="999999"/>
          <w:sz w:val="22"/>
          <w:szCs w:val="22"/>
          <w:rtl w:val="0"/>
        </w:rPr>
        <w:t xml:space="preserve">Indicates a field to fill in with relevant information. Any instructions regarding the field will be written within the field brackets.</w:t>
      </w:r>
    </w:p>
    <w:p w:rsidR="00000000" w:rsidDel="00000000" w:rsidP="00000000" w:rsidRDefault="00000000" w:rsidRPr="00000000" w14:paraId="0000002C">
      <w:pPr>
        <w:rPr>
          <w:color w:val="999999"/>
        </w:rPr>
      </w:pPr>
      <w:r w:rsidDel="00000000" w:rsidR="00000000" w:rsidRPr="00000000">
        <w:rPr>
          <w:color w:val="999999"/>
          <w:rtl w:val="0"/>
        </w:rPr>
        <w:t xml:space="preserve">Verify all hyperlinks before finalizing the document.</w:t>
      </w:r>
    </w:p>
    <w:p w:rsidR="00000000" w:rsidDel="00000000" w:rsidP="00000000" w:rsidRDefault="00000000" w:rsidRPr="00000000" w14:paraId="0000002D">
      <w:pPr>
        <w:rPr>
          <w:color w:val="999999"/>
        </w:rPr>
      </w:pPr>
      <w:r w:rsidDel="00000000" w:rsidR="00000000" w:rsidRPr="00000000">
        <w:rPr>
          <w:color w:val="999999"/>
          <w:sz w:val="22"/>
          <w:szCs w:val="22"/>
          <w:rtl w:val="0"/>
        </w:rPr>
        <w:t xml:space="preserve">Delete this page before finalizing the document.</w:t>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Lato" w:cs="Lato" w:eastAsia="Lato" w:hAnsi="Lato"/>
          <w:b w:val="0"/>
          <w:bCs w:val="0"/>
          <w:i w:val="0"/>
          <w:iCs w:val="0"/>
          <w:smallCaps w:val="0"/>
          <w:strike w:val="0"/>
          <w:color w:val="000000"/>
          <w:sz w:val="22"/>
          <w:szCs w:val="22"/>
          <w:highlight w:val="white"/>
          <w:u w:val="none"/>
          <w:vertAlign w:val="baseline"/>
        </w:rPr>
      </w:pPr>
      <w:bookmarkStart w:colFirst="0" w:colLast="0" w:name="_heading=h.gjdgxs" w:id="6"/>
      <w:bookmarkEnd w:id="6"/>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1"/>
        <w:keepLines w:val="1"/>
        <w:spacing w:before="0" w:line="276" w:lineRule="auto"/>
        <w:jc w:val="center"/>
        <w:rPr/>
      </w:pPr>
      <w:bookmarkStart w:colFirst="0" w:colLast="0" w:name="_heading=h.8qo0457spl8w" w:id="7"/>
      <w:bookmarkEnd w:id="7"/>
      <w:r w:rsidDel="00000000" w:rsidR="00000000" w:rsidRPr="00000000">
        <w:rPr>
          <w:rtl w:val="0"/>
        </w:rPr>
        <w:t xml:space="preserve">Memorando de Entendimento</w:t>
      </w:r>
      <w:r w:rsidDel="00000000" w:rsidR="00000000" w:rsidRPr="00000000">
        <w:rPr>
          <w:rtl w:val="0"/>
        </w:rPr>
      </w:r>
    </w:p>
    <w:p w:rsidR="00000000" w:rsidDel="00000000" w:rsidP="00000000" w:rsidRDefault="00000000" w:rsidRPr="00000000" w14:paraId="00000030">
      <w:pPr>
        <w:pStyle w:val="Heading4"/>
        <w:spacing w:after="0" w:lineRule="auto"/>
        <w:jc w:val="center"/>
        <w:rPr>
          <w:vertAlign w:val="baseline"/>
        </w:rPr>
      </w:pPr>
      <w:bookmarkStart w:colFirst="0" w:colLast="0" w:name="_heading=h.jj7vu98z0y1w" w:id="8"/>
      <w:bookmarkEnd w:id="8"/>
      <w:r w:rsidDel="00000000" w:rsidR="00000000" w:rsidRPr="00000000">
        <w:rPr>
          <w:vertAlign w:val="baseline"/>
          <w:rtl w:val="0"/>
        </w:rPr>
        <w:t xml:space="preserve">Preâmbulo</w:t>
      </w:r>
    </w:p>
    <w:p w:rsidR="00000000" w:rsidDel="00000000" w:rsidP="00000000" w:rsidRDefault="00000000" w:rsidRPr="00000000" w14:paraId="00000031">
      <w:pPr>
        <w:rPr>
          <w:highlight w:val="white"/>
        </w:rPr>
      </w:pPr>
      <w:r w:rsidDel="00000000" w:rsidR="00000000" w:rsidRPr="00000000">
        <w:rPr>
          <w:rtl w:val="0"/>
        </w:rPr>
        <w:t xml:space="preserve">A MTG Research and Development Lab (doravante designada MTG), fundada em 2015, é uma empresa especializada em atividades de Investigação e Desenvolvimento (I&amp;D) com recurso a registos eletrónicos de saúde. A </w:t>
      </w:r>
      <w:hyperlink r:id="rId12">
        <w:r w:rsidDel="00000000" w:rsidR="00000000" w:rsidRPr="00000000">
          <w:rPr>
            <w:color w:val="1155cc"/>
            <w:u w:val="single"/>
            <w:rtl w:val="0"/>
          </w:rPr>
          <w:t xml:space="preserve">Agência Nacional de Inovação</w:t>
        </w:r>
      </w:hyperlink>
      <w:r w:rsidDel="00000000" w:rsidR="00000000" w:rsidRPr="00000000">
        <w:rPr>
          <w:rtl w:val="0"/>
        </w:rPr>
        <w:t xml:space="preserve"> reconhece desde 27 de fevereiro de 2020 a MTG como entidade com idoneidade para a prática de atividades de I&amp;D </w:t>
      </w:r>
      <w:r w:rsidDel="00000000" w:rsidR="00000000" w:rsidRPr="00000000">
        <w:rPr>
          <w:rtl w:val="0"/>
        </w:rPr>
        <w:t xml:space="preserve">no domínio técnico-científico da saúde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rPr>
          <w:highlight w:val="white"/>
        </w:rPr>
      </w:pPr>
      <w:r w:rsidDel="00000000" w:rsidR="00000000" w:rsidRPr="00000000">
        <w:rPr>
          <w:highlight w:val="white"/>
          <w:rtl w:val="0"/>
        </w:rPr>
        <w:t xml:space="preserve">A MTG participa ativamente em redes internacionais. A visão da MTG alinha-se com a visão dos ecossistema</w:t>
      </w:r>
      <w:r w:rsidDel="00000000" w:rsidR="00000000" w:rsidRPr="00000000">
        <w:rPr>
          <w:rtl w:val="0"/>
        </w:rPr>
        <w:t xml:space="preserve">s</w:t>
      </w:r>
      <w:r w:rsidDel="00000000" w:rsidR="00000000" w:rsidRPr="00000000">
        <w:rPr>
          <w:highlight w:val="white"/>
          <w:rtl w:val="0"/>
        </w:rPr>
        <w:t xml:space="preserve"> EHDEN</w:t>
      </w:r>
      <w:r w:rsidDel="00000000" w:rsidR="00000000" w:rsidRPr="00000000">
        <w:rPr>
          <w:highlight w:val="white"/>
          <w:rtl w:val="0"/>
        </w:rPr>
        <w:t xml:space="preserve"> - </w:t>
      </w:r>
      <w:hyperlink w:anchor="_heading=h.7myjqwhuvoqr">
        <w:r w:rsidDel="00000000" w:rsidR="00000000" w:rsidRPr="00000000">
          <w:rPr>
            <w:i w:val="1"/>
            <w:iCs w:val="1"/>
            <w:color w:val="1155cc"/>
            <w:highlight w:val="white"/>
            <w:u w:val="single"/>
            <w:rtl w:val="0"/>
          </w:rPr>
          <w:t xml:space="preserve">European Health Data Evidence Network</w:t>
        </w:r>
      </w:hyperlink>
      <w:r w:rsidDel="00000000" w:rsidR="00000000" w:rsidRPr="00000000">
        <w:rPr>
          <w:highlight w:val="white"/>
          <w:rtl w:val="0"/>
        </w:rPr>
        <w:t xml:space="preserve"> e EHDS - </w:t>
      </w:r>
      <w:hyperlink w:anchor="_heading=h.yjks4bhp4352">
        <w:r w:rsidDel="00000000" w:rsidR="00000000" w:rsidRPr="00000000">
          <w:rPr>
            <w:i w:val="1"/>
            <w:iCs w:val="1"/>
            <w:color w:val="1155cc"/>
            <w:highlight w:val="white"/>
            <w:u w:val="single"/>
            <w:rtl w:val="0"/>
          </w:rPr>
          <w:t xml:space="preserve">European Health Data Space</w:t>
        </w:r>
      </w:hyperlink>
      <w:r w:rsidDel="00000000" w:rsidR="00000000" w:rsidRPr="00000000">
        <w:rPr>
          <w:highlight w:val="white"/>
          <w:rtl w:val="0"/>
        </w:rPr>
        <w:t xml:space="preserve">, ou seja, de uma Europa onde os registos eletrónicos de saúde são utilizados pelas comunidades clínicas e científicas para gerar eficazmente evidência de elevada qualidade, que permita melhorar os resultados em saúde para os cidadãos, contribuindo para a contínua promoção dos sistemas de saúde baseada na evidência e informada pela realidade local. Para o efeito, a MTG tem como objetivo promover a capacitação científica das instituições que têm à sua guarda registos eletrónicos de saúde, de modo a que estas se tornem aptas para participar e desenvolver iniciativas de I&amp;D com recurso a registos eletrónicos de saúde.</w:t>
      </w:r>
    </w:p>
    <w:p w:rsidR="00000000" w:rsidDel="00000000" w:rsidP="00000000" w:rsidRDefault="00000000" w:rsidRPr="00000000" w14:paraId="00000033">
      <w:pPr>
        <w:rPr>
          <w:highlight w:val="white"/>
        </w:rPr>
      </w:pPr>
      <w:r w:rsidDel="00000000" w:rsidR="00000000" w:rsidRPr="00000000">
        <w:rPr>
          <w:highlight w:val="white"/>
          <w:rtl w:val="0"/>
        </w:rPr>
        <w:t xml:space="preserve">Entende-se como </w:t>
      </w:r>
      <w:r w:rsidDel="00000000" w:rsidR="00000000" w:rsidRPr="00000000">
        <w:rPr>
          <w:b w:val="1"/>
          <w:bCs w:val="1"/>
          <w:highlight w:val="white"/>
          <w:rtl w:val="0"/>
        </w:rPr>
        <w:t xml:space="preserve">capacitação científica</w:t>
      </w:r>
      <w:r w:rsidDel="00000000" w:rsidR="00000000" w:rsidRPr="00000000">
        <w:rPr>
          <w:highlight w:val="white"/>
          <w:rtl w:val="0"/>
        </w:rPr>
        <w:t xml:space="preserve"> a transferência de conhecimento aos profissionais da </w:t>
      </w:r>
      <w:r w:rsidDel="00000000" w:rsidR="00000000" w:rsidRPr="00000000">
        <w:rPr>
          <w:rtl w:val="0"/>
        </w:rPr>
        <w:t xml:space="preserve">Instituição</w:t>
      </w:r>
      <w:r w:rsidDel="00000000" w:rsidR="00000000" w:rsidRPr="00000000">
        <w:rPr>
          <w:highlight w:val="white"/>
          <w:rtl w:val="0"/>
        </w:rPr>
        <w:t xml:space="preserve"> interessados em aprender e a desenvolver iniciativas de I&amp;D utilizando dados de registos eletrónicos de saúde, concretamente na conceção do protocolo do estudo, do plano de análise estatística, do </w:t>
      </w:r>
      <w:hyperlink w:anchor="_heading=h.xldcohh2wc34">
        <w:r w:rsidDel="00000000" w:rsidR="00000000" w:rsidRPr="00000000">
          <w:rPr>
            <w:i w:val="1"/>
            <w:iCs w:val="1"/>
            <w:color w:val="1155cc"/>
            <w:highlight w:val="white"/>
            <w:u w:val="single"/>
            <w:rtl w:val="0"/>
          </w:rPr>
          <w:t xml:space="preserve">Study Package</w:t>
        </w:r>
      </w:hyperlink>
      <w:r w:rsidDel="00000000" w:rsidR="00000000" w:rsidRPr="00000000">
        <w:rPr>
          <w:highlight w:val="white"/>
          <w:rtl w:val="0"/>
        </w:rPr>
        <w:t xml:space="preserve"> com recurso à ferramenta </w:t>
      </w:r>
      <w:hyperlink w:anchor="_heading=h.7cguw72a4ml">
        <w:r w:rsidDel="00000000" w:rsidR="00000000" w:rsidRPr="00000000">
          <w:rPr>
            <w:color w:val="1155cc"/>
            <w:highlight w:val="white"/>
            <w:u w:val="single"/>
            <w:rtl w:val="0"/>
          </w:rPr>
          <w:t xml:space="preserve">ATLAS</w:t>
        </w:r>
      </w:hyperlink>
      <w:r w:rsidDel="00000000" w:rsidR="00000000" w:rsidRPr="00000000">
        <w:rPr>
          <w:highlight w:val="white"/>
          <w:rtl w:val="0"/>
        </w:rPr>
        <w:t xml:space="preserve"> e do relatório científico do estudo. A capacitação científica pode, desse modo, englobar também a transferência de conhecimentos sobre práticas científicas reprodutíveis e transparentes, princípios éticos e de proteção de dados, </w:t>
      </w:r>
      <w:r w:rsidDel="00000000" w:rsidR="00000000" w:rsidRPr="00000000">
        <w:rPr>
          <w:rtl w:val="0"/>
        </w:rPr>
        <w:t xml:space="preserve">incluindo práticas de auditoria de processos de investigação, bem como</w:t>
      </w:r>
      <w:r w:rsidDel="00000000" w:rsidR="00000000" w:rsidRPr="00000000">
        <w:rPr>
          <w:highlight w:val="white"/>
          <w:rtl w:val="0"/>
        </w:rPr>
        <w:t xml:space="preserve"> </w:t>
      </w:r>
      <w:r w:rsidDel="00000000" w:rsidR="00000000" w:rsidRPr="00000000">
        <w:rPr>
          <w:rtl w:val="0"/>
        </w:rPr>
        <w:t xml:space="preserve">desenvolvimento de competências</w:t>
      </w:r>
      <w:r w:rsidDel="00000000" w:rsidR="00000000" w:rsidRPr="00000000">
        <w:rPr>
          <w:highlight w:val="white"/>
          <w:rtl w:val="0"/>
        </w:rPr>
        <w:t xml:space="preserve"> de escrita e publicação científica. Esta capacitação tem lugar durante o desenvolvimento de iniciativas concretas de I&amp;D com dados de registos eletrónicos de saúde conduzidas pelos profissionais das </w:t>
      </w:r>
      <w:r w:rsidDel="00000000" w:rsidR="00000000" w:rsidRPr="00000000">
        <w:rPr>
          <w:rtl w:val="0"/>
        </w:rPr>
        <w:t xml:space="preserve">i</w:t>
      </w:r>
      <w:r w:rsidDel="00000000" w:rsidR="00000000" w:rsidRPr="00000000">
        <w:rPr>
          <w:highlight w:val="white"/>
          <w:rtl w:val="0"/>
        </w:rPr>
        <w:t xml:space="preserve">nstituições e com orientação da MTG.</w:t>
      </w:r>
    </w:p>
    <w:p w:rsidR="00000000" w:rsidDel="00000000" w:rsidP="00000000" w:rsidRDefault="00000000" w:rsidRPr="00000000" w14:paraId="00000034">
      <w:pPr>
        <w:rPr>
          <w:highlight w:val="white"/>
        </w:rPr>
      </w:pPr>
      <w:r w:rsidDel="00000000" w:rsidR="00000000" w:rsidRPr="00000000">
        <w:rPr>
          <w:shd w:fill="auto" w:val="clear"/>
          <w:rtl w:val="0"/>
        </w:rPr>
        <w:t xml:space="preserve">A MTG está empenhada na execução de estudos baseados em registos eletrónicos de saúde utilizando exclusivamente metodologia </w:t>
      </w:r>
      <w:hyperlink w:anchor="_heading=h.57s24jzg8aov">
        <w:r w:rsidDel="00000000" w:rsidR="00000000" w:rsidRPr="00000000">
          <w:rPr>
            <w:i w:val="1"/>
            <w:iCs w:val="1"/>
            <w:color w:val="1155cc"/>
            <w:u w:val="single"/>
            <w:shd w:fill="auto" w:val="clear"/>
            <w:rtl w:val="0"/>
          </w:rPr>
          <w:t xml:space="preserve">algorithm</w:t>
        </w:r>
      </w:hyperlink>
      <w:hyperlink w:anchor="_heading=h.57s24jzg8aov">
        <w:r w:rsidDel="00000000" w:rsidR="00000000" w:rsidRPr="00000000">
          <w:rPr>
            <w:i w:val="1"/>
            <w:iCs w:val="1"/>
            <w:color w:val="1155cc"/>
            <w:u w:val="single"/>
            <w:shd w:fill="auto" w:val="clear"/>
            <w:rtl w:val="0"/>
          </w:rPr>
          <w:t xml:space="preserve">-goes</w:t>
        </w:r>
      </w:hyperlink>
      <w:hyperlink w:anchor="_heading=h.57s24jzg8aov">
        <w:r w:rsidDel="00000000" w:rsidR="00000000" w:rsidRPr="00000000">
          <w:rPr>
            <w:i w:val="1"/>
            <w:iCs w:val="1"/>
            <w:color w:val="1155cc"/>
            <w:u w:val="single"/>
            <w:shd w:fill="auto" w:val="clear"/>
            <w:rtl w:val="0"/>
          </w:rPr>
          <w:t xml:space="preserve">-to-data</w:t>
        </w:r>
      </w:hyperlink>
      <w:r w:rsidDel="00000000" w:rsidR="00000000" w:rsidRPr="00000000">
        <w:rPr>
          <w:shd w:fill="auto" w:val="clear"/>
          <w:rtl w:val="0"/>
        </w:rPr>
        <w:t xml:space="preserve">.</w:t>
      </w:r>
      <w:r w:rsidDel="00000000" w:rsidR="00000000" w:rsidRPr="00000000">
        <w:rPr>
          <w:shd w:fill="auto" w:val="clear"/>
          <w:rtl w:val="0"/>
        </w:rPr>
        <w:t xml:space="preserve"> </w:t>
      </w:r>
      <w:r w:rsidDel="00000000" w:rsidR="00000000" w:rsidRPr="00000000">
        <w:rPr>
          <w:shd w:fill="auto" w:val="clear"/>
          <w:rtl w:val="0"/>
        </w:rPr>
        <w:t xml:space="preserve">Estas metodologias</w:t>
      </w:r>
      <w:r w:rsidDel="00000000" w:rsidR="00000000" w:rsidRPr="00000000">
        <w:rPr>
          <w:shd w:fill="auto" w:val="clear"/>
          <w:rtl w:val="0"/>
        </w:rPr>
        <w:t xml:space="preserve"> garantem uma separação completa entre a atividade de desenvolvimento de um estudo científico, e a atividade de execução do </w:t>
      </w:r>
      <w:r w:rsidDel="00000000" w:rsidR="00000000" w:rsidRPr="00000000">
        <w:rPr>
          <w:i w:val="1"/>
          <w:iCs w:val="1"/>
          <w:shd w:fill="auto" w:val="clear"/>
          <w:rtl w:val="0"/>
        </w:rPr>
        <w:t xml:space="preserve">Study Package</w:t>
      </w:r>
      <w:r w:rsidDel="00000000" w:rsidR="00000000" w:rsidRPr="00000000">
        <w:rPr>
          <w:shd w:fill="auto" w:val="clear"/>
          <w:rtl w:val="0"/>
        </w:rPr>
        <w:t xml:space="preserve"> (internalizaç</w:t>
      </w:r>
      <w:r w:rsidDel="00000000" w:rsidR="00000000" w:rsidRPr="00000000">
        <w:rPr>
          <w:shd w:fill="auto" w:val="clear"/>
          <w:rtl w:val="0"/>
        </w:rPr>
        <w:t xml:space="preserve">ão do </w:t>
      </w:r>
      <w:r w:rsidDel="00000000" w:rsidR="00000000" w:rsidRPr="00000000">
        <w:rPr>
          <w:shd w:fill="auto" w:val="clear"/>
          <w:rtl w:val="0"/>
        </w:rPr>
        <w:t xml:space="preserve">código-fonte</w:t>
      </w:r>
      <w:r w:rsidDel="00000000" w:rsidR="00000000" w:rsidRPr="00000000">
        <w:rPr>
          <w:shd w:fill="auto" w:val="clear"/>
          <w:rtl w:val="0"/>
        </w:rPr>
        <w:t xml:space="preserve"> pela Instituição e execução do mesmo na sua infraestrutura local para </w:t>
      </w:r>
      <w:r w:rsidDel="00000000" w:rsidR="00000000" w:rsidRPr="00000000">
        <w:rPr>
          <w:shd w:fill="auto" w:val="clear"/>
          <w:rtl w:val="0"/>
        </w:rPr>
        <w:t xml:space="preserve">processamento seguro dos registos eletrónicos de saúde).</w:t>
      </w:r>
      <w:r w:rsidDel="00000000" w:rsidR="00000000" w:rsidRPr="00000000">
        <w:rPr>
          <w:rtl w:val="0"/>
        </w:rPr>
        <w:t xml:space="preserve"> </w:t>
      </w:r>
      <w:r w:rsidDel="00000000" w:rsidR="00000000" w:rsidRPr="00000000">
        <w:rPr>
          <w:highlight w:val="white"/>
          <w:rtl w:val="0"/>
        </w:rPr>
        <w:t xml:space="preserve">Os resultados dessa execução podem ser visualizados em </w:t>
      </w:r>
      <w:hyperlink w:anchor="_heading=h.839bz45vhb2s">
        <w:r w:rsidDel="00000000" w:rsidR="00000000" w:rsidRPr="00000000">
          <w:rPr>
            <w:i w:val="1"/>
            <w:iCs w:val="1"/>
            <w:color w:val="1155cc"/>
            <w:highlight w:val="white"/>
            <w:u w:val="single"/>
            <w:rtl w:val="0"/>
          </w:rPr>
          <w:t xml:space="preserve">dashboards</w:t>
        </w:r>
      </w:hyperlink>
      <w:r w:rsidDel="00000000" w:rsidR="00000000" w:rsidRPr="00000000">
        <w:rPr>
          <w:i w:val="1"/>
          <w:iCs w:val="1"/>
          <w:highlight w:val="white"/>
          <w:rtl w:val="0"/>
        </w:rPr>
        <w:t xml:space="preserve">, </w:t>
      </w:r>
      <w:hyperlink w:anchor="_heading=h.7dfjsdk85z2n">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 ou outros artefactos de processamento, conforme especificação previamente definida no plano de análise estatística </w:t>
      </w:r>
      <w:r w:rsidDel="00000000" w:rsidR="00000000" w:rsidRPr="00000000">
        <w:rPr>
          <w:rtl w:val="0"/>
        </w:rPr>
        <w:t xml:space="preserve">da iniciativa I&amp;D</w:t>
      </w:r>
      <w:r w:rsidDel="00000000" w:rsidR="00000000" w:rsidRPr="00000000">
        <w:rPr>
          <w:highlight w:val="white"/>
          <w:rtl w:val="0"/>
        </w:rPr>
        <w:t xml:space="preserve">. Dessa forma, </w:t>
      </w:r>
      <w:r w:rsidDel="00000000" w:rsidR="00000000" w:rsidRPr="00000000">
        <w:rPr>
          <w:rtl w:val="0"/>
        </w:rPr>
        <w:t xml:space="preserve">fica </w:t>
      </w:r>
      <w:r w:rsidDel="00000000" w:rsidR="00000000" w:rsidRPr="00000000">
        <w:rPr>
          <w:highlight w:val="white"/>
          <w:rtl w:val="0"/>
        </w:rPr>
        <w:t xml:space="preserve">assegurado que não seja necessário, em momento algum, providenciar aos investigadores acesso a registos eletrónicos de saúde, e permitindo à </w:t>
      </w:r>
      <w:r w:rsidDel="00000000" w:rsidR="00000000" w:rsidRPr="00000000">
        <w:rPr>
          <w:rtl w:val="0"/>
        </w:rPr>
        <w:t xml:space="preserve">Instituição</w:t>
      </w:r>
      <w:r w:rsidDel="00000000" w:rsidR="00000000" w:rsidRPr="00000000">
        <w:rPr>
          <w:highlight w:val="white"/>
          <w:rtl w:val="0"/>
        </w:rPr>
        <w:t xml:space="preserve"> total controlo e rastreabilidade sobre o processamento de dados e partilha dos </w:t>
      </w:r>
      <w:r w:rsidDel="00000000" w:rsidR="00000000" w:rsidRPr="00000000">
        <w:rPr>
          <w:rtl w:val="0"/>
        </w:rPr>
        <w:t xml:space="preserve">artefactos de processamento</w:t>
      </w:r>
      <w:r w:rsidDel="00000000" w:rsidR="00000000" w:rsidRPr="00000000">
        <w:rPr>
          <w:highlight w:val="white"/>
          <w:rtl w:val="0"/>
        </w:rPr>
        <w:t xml:space="preserve">.</w:t>
      </w:r>
    </w:p>
    <w:p w:rsidR="00000000" w:rsidDel="00000000" w:rsidP="00000000" w:rsidRDefault="00000000" w:rsidRPr="00000000" w14:paraId="00000035">
      <w:pPr>
        <w:rPr>
          <w:highlight w:val="white"/>
        </w:rPr>
      </w:pPr>
      <w:r w:rsidDel="00000000" w:rsidR="00000000" w:rsidRPr="00000000">
        <w:rPr>
          <w:highlight w:val="white"/>
          <w:rtl w:val="0"/>
        </w:rPr>
        <w:t xml:space="preserve">A </w:t>
      </w:r>
      <w:r w:rsidDel="00000000" w:rsidR="00000000" w:rsidRPr="00000000">
        <w:rPr>
          <w:rtl w:val="0"/>
        </w:rPr>
        <w:t xml:space="preserve">Instituição</w:t>
      </w:r>
      <w:r w:rsidDel="00000000" w:rsidR="00000000" w:rsidRPr="00000000">
        <w:rPr>
          <w:highlight w:val="white"/>
          <w:rtl w:val="0"/>
        </w:rPr>
        <w:t xml:space="preserve">, tem como atribuições, entre outras diretamente relacionadas com a promoção da saúde, prevenção da doença e prestação de cuidados de saúde, promover o processo de investigação e formação contínua, pré- e pós-graduada, de profissionais do setor, prevendo a celebração de acordos com as entidades competentes, incluindo em atividades de I&amp;D, com recurso a registos eletrónicos de saúde, e com participação ativa em redes internacionais, celebrando acordos ou parcerias com entidades aptas para este objetivo.</w:t>
      </w:r>
    </w:p>
    <w:p w:rsidR="00000000" w:rsidDel="00000000" w:rsidP="00000000" w:rsidRDefault="00000000" w:rsidRPr="00000000" w14:paraId="00000036">
      <w:pPr>
        <w:rPr>
          <w:highlight w:val="white"/>
        </w:rPr>
      </w:pPr>
      <w:r w:rsidDel="00000000" w:rsidR="00000000" w:rsidRPr="00000000">
        <w:rPr>
          <w:highlight w:val="white"/>
          <w:rtl w:val="0"/>
        </w:rPr>
        <w:t xml:space="preserve">A </w:t>
      </w:r>
      <w:r w:rsidDel="00000000" w:rsidR="00000000" w:rsidRPr="00000000">
        <w:rPr>
          <w:rtl w:val="0"/>
        </w:rPr>
        <w:t xml:space="preserve">Instituição</w:t>
      </w:r>
      <w:r w:rsidDel="00000000" w:rsidR="00000000" w:rsidRPr="00000000">
        <w:rPr>
          <w:highlight w:val="white"/>
          <w:rtl w:val="0"/>
        </w:rPr>
        <w:t xml:space="preserve"> está fortemente empenhada na geração de evidência de elevada qualidade, que permita melhorar os resultados em saúde para os cidadãos, contribuindo para a contínua promoção dos sistemas de saúde baseada na evidência e informada pela realidade local.</w:t>
      </w:r>
    </w:p>
    <w:p w:rsidR="00000000" w:rsidDel="00000000" w:rsidP="00000000" w:rsidRDefault="00000000" w:rsidRPr="00000000" w14:paraId="00000037">
      <w:pPr>
        <w:rPr>
          <w:highlight w:val="white"/>
        </w:rPr>
      </w:pPr>
      <w:r w:rsidDel="00000000" w:rsidR="00000000" w:rsidRPr="00000000">
        <w:rPr>
          <w:highlight w:val="white"/>
          <w:rtl w:val="0"/>
        </w:rPr>
        <w:t xml:space="preserve">A </w:t>
      </w:r>
      <w:r w:rsidDel="00000000" w:rsidR="00000000" w:rsidRPr="00000000">
        <w:rPr>
          <w:rtl w:val="0"/>
        </w:rPr>
        <w:t xml:space="preserve">Instituição</w:t>
      </w:r>
      <w:r w:rsidDel="00000000" w:rsidR="00000000" w:rsidRPr="00000000">
        <w:rPr>
          <w:highlight w:val="white"/>
          <w:rtl w:val="0"/>
        </w:rPr>
        <w:t xml:space="preserve">, enquanto depositária da informação clínica dos utentes, providenciará para que não seja necessário, em momento algum, fornecer aos investigadores acesso a registos eletrónicos de saúde, assumindo o controlo e rastreabilidade integral sobre o processamento de dados e partilha dos resultados dos estudos científicos.</w:t>
      </w:r>
    </w:p>
    <w:p w:rsidR="00000000" w:rsidDel="00000000" w:rsidP="00000000" w:rsidRDefault="00000000" w:rsidRPr="00000000" w14:paraId="00000038">
      <w:pPr>
        <w:rPr>
          <w:highlight w:val="white"/>
        </w:rPr>
      </w:pPr>
      <w:r w:rsidDel="00000000" w:rsidR="00000000" w:rsidRPr="00000000">
        <w:rPr>
          <w:highlight w:val="white"/>
          <w:rtl w:val="0"/>
        </w:rPr>
        <w:t xml:space="preserve">É assim celebrado o presente Memorando de Entendimento:</w:t>
      </w:r>
    </w:p>
    <w:p w:rsidR="00000000" w:rsidDel="00000000" w:rsidP="00000000" w:rsidRDefault="00000000" w:rsidRPr="00000000" w14:paraId="00000039">
      <w:pPr>
        <w:rPr>
          <w:highlight w:val="white"/>
        </w:rPr>
      </w:pPr>
      <w:r w:rsidDel="00000000" w:rsidR="00000000" w:rsidRPr="00000000">
        <w:rPr>
          <w:highlight w:val="white"/>
          <w:rtl w:val="0"/>
        </w:rPr>
        <w:t xml:space="preserve">Entre</w:t>
      </w:r>
    </w:p>
    <w:p w:rsidR="00000000" w:rsidDel="00000000" w:rsidP="00000000" w:rsidRDefault="00000000" w:rsidRPr="00000000" w14:paraId="0000003A">
      <w:pPr>
        <w:rPr>
          <w:highlight w:val="white"/>
        </w:rPr>
      </w:pPr>
      <w:r w:rsidDel="00000000" w:rsidR="00000000" w:rsidRPr="00000000">
        <w:rPr>
          <w:b w:val="1"/>
          <w:bCs w:val="1"/>
          <w:highlight w:val="white"/>
          <w:rtl w:val="0"/>
        </w:rPr>
        <w:t xml:space="preserve">MTG Research and Development Lab</w:t>
      </w:r>
      <w:r w:rsidDel="00000000" w:rsidR="00000000" w:rsidRPr="00000000">
        <w:rPr>
          <w:highlight w:val="white"/>
          <w:rtl w:val="0"/>
        </w:rPr>
        <w:t xml:space="preserve">, com sede em Rua Professor Joaquim Bastos, 102, 2A, 4200-604, Porto, pessoal coletiva nº 513 586 849, representada por </w:t>
      </w:r>
      <w:r w:rsidDel="00000000" w:rsidR="00000000" w:rsidRPr="00000000">
        <w:rPr>
          <w:b w:val="1"/>
          <w:bCs w:val="1"/>
          <w:highlight w:val="white"/>
          <w:rtl w:val="0"/>
        </w:rPr>
        <w:t xml:space="preserve">Teresa Maria Salgado de Magalhães</w:t>
      </w:r>
      <w:r w:rsidDel="00000000" w:rsidR="00000000" w:rsidRPr="00000000">
        <w:rPr>
          <w:highlight w:val="white"/>
          <w:rtl w:val="0"/>
        </w:rPr>
        <w:t xml:space="preserve">, na qualidade de Gerente, </w:t>
      </w:r>
      <w:r w:rsidDel="00000000" w:rsidR="00000000" w:rsidRPr="00000000">
        <w:rPr>
          <w:rtl w:val="0"/>
        </w:rPr>
        <w:t xml:space="preserve">e </w:t>
      </w:r>
      <w:r w:rsidDel="00000000" w:rsidR="00000000" w:rsidRPr="00000000">
        <w:rPr>
          <w:b w:val="1"/>
          <w:bCs w:val="1"/>
          <w:rtl w:val="0"/>
        </w:rPr>
        <w:t xml:space="preserve">Daniela Neves Antunes</w:t>
      </w:r>
      <w:r w:rsidDel="00000000" w:rsidR="00000000" w:rsidRPr="00000000">
        <w:rPr>
          <w:rtl w:val="0"/>
        </w:rPr>
        <w:t xml:space="preserve">, na qualidade de </w:t>
      </w:r>
      <w:r w:rsidDel="00000000" w:rsidR="00000000" w:rsidRPr="00000000">
        <w:rPr>
          <w:b w:val="1"/>
          <w:bCs w:val="1"/>
          <w:rtl w:val="0"/>
        </w:rPr>
        <w:t xml:space="preserve">Procuradora da Gerência</w:t>
      </w:r>
      <w:r w:rsidDel="00000000" w:rsidR="00000000" w:rsidRPr="00000000">
        <w:rPr>
          <w:rtl w:val="0"/>
        </w:rPr>
        <w:t xml:space="preserve">, </w:t>
      </w:r>
      <w:r w:rsidDel="00000000" w:rsidR="00000000" w:rsidRPr="00000000">
        <w:rPr>
          <w:highlight w:val="white"/>
          <w:rtl w:val="0"/>
        </w:rPr>
        <w:t xml:space="preserve">com poderes para o ato, de ora em diante designada por “</w:t>
      </w:r>
      <w:r w:rsidDel="00000000" w:rsidR="00000000" w:rsidRPr="00000000">
        <w:rPr>
          <w:b w:val="1"/>
          <w:bCs w:val="1"/>
          <w:highlight w:val="white"/>
          <w:rtl w:val="0"/>
        </w:rPr>
        <w:t xml:space="preserve">Primeira Outorgante</w:t>
      </w:r>
      <w:r w:rsidDel="00000000" w:rsidR="00000000" w:rsidRPr="00000000">
        <w:rPr>
          <w:highlight w:val="white"/>
          <w:rtl w:val="0"/>
        </w:rPr>
        <w:t xml:space="preserve">”</w:t>
      </w:r>
    </w:p>
    <w:p w:rsidR="00000000" w:rsidDel="00000000" w:rsidP="00000000" w:rsidRDefault="00000000" w:rsidRPr="00000000" w14:paraId="0000003B">
      <w:pPr>
        <w:rPr>
          <w:highlight w:val="white"/>
        </w:rPr>
      </w:pPr>
      <w:r w:rsidDel="00000000" w:rsidR="00000000" w:rsidRPr="00000000">
        <w:rPr>
          <w:highlight w:val="white"/>
          <w:rtl w:val="0"/>
        </w:rPr>
        <w:t xml:space="preserve">E</w:t>
      </w:r>
    </w:p>
    <w:p w:rsidR="00000000" w:rsidDel="00000000" w:rsidP="00000000" w:rsidRDefault="00000000" w:rsidRPr="00000000" w14:paraId="0000003C">
      <w:pPr>
        <w:rPr>
          <w:highlight w:val="white"/>
        </w:rPr>
      </w:pPr>
      <w:r w:rsidDel="00000000" w:rsidR="00000000" w:rsidRPr="00000000">
        <w:rPr>
          <w:b w:val="1"/>
          <w:bCs w:val="1"/>
          <w:shd w:fill="d9d9d9" w:val="clear"/>
          <w:rtl w:val="0"/>
        </w:rPr>
        <w:t xml:space="preserve">{Nome da Parte por extenso}</w:t>
      </w:r>
      <w:r w:rsidDel="00000000" w:rsidR="00000000" w:rsidRPr="00000000">
        <w:rPr>
          <w:highlight w:val="white"/>
          <w:rtl w:val="0"/>
        </w:rPr>
        <w:t xml:space="preserve"> com sede na </w:t>
      </w:r>
      <w:r w:rsidDel="00000000" w:rsidR="00000000" w:rsidRPr="00000000">
        <w:rPr>
          <w:shd w:fill="d9d9d9" w:val="clear"/>
          <w:rtl w:val="0"/>
        </w:rPr>
        <w:t xml:space="preserve">{Morada},</w:t>
      </w:r>
      <w:r w:rsidDel="00000000" w:rsidR="00000000" w:rsidRPr="00000000">
        <w:rPr>
          <w:highlight w:val="white"/>
          <w:rtl w:val="0"/>
        </w:rPr>
        <w:t xml:space="preserve"> pessoa coletiva n.º </w:t>
      </w:r>
      <w:r w:rsidDel="00000000" w:rsidR="00000000" w:rsidRPr="00000000">
        <w:rPr>
          <w:shd w:fill="d9d9d9" w:val="clear"/>
          <w:rtl w:val="0"/>
        </w:rPr>
        <w:t xml:space="preserve">{NIF}</w:t>
      </w:r>
      <w:r w:rsidDel="00000000" w:rsidR="00000000" w:rsidRPr="00000000">
        <w:rPr>
          <w:highlight w:val="white"/>
          <w:rtl w:val="0"/>
        </w:rPr>
        <w:t xml:space="preserve">, registada na Conservatória do Registo Comercial de </w:t>
      </w:r>
      <w:r w:rsidDel="00000000" w:rsidR="00000000" w:rsidRPr="00000000">
        <w:rPr>
          <w:shd w:fill="d9d9d9" w:val="clear"/>
          <w:rtl w:val="0"/>
        </w:rPr>
        <w:t xml:space="preserve">{Local}</w:t>
      </w:r>
      <w:r w:rsidDel="00000000" w:rsidR="00000000" w:rsidRPr="00000000">
        <w:rPr>
          <w:highlight w:val="white"/>
          <w:rtl w:val="0"/>
        </w:rPr>
        <w:t xml:space="preserve">, sob o mesmo número, aqui representada  pela </w:t>
      </w:r>
      <w:r w:rsidDel="00000000" w:rsidR="00000000" w:rsidRPr="00000000">
        <w:rPr>
          <w:shd w:fill="f3f3f3" w:val="clear"/>
          <w:rtl w:val="0"/>
        </w:rPr>
        <w:t xml:space="preserve">{Cargo e Nome}</w:t>
      </w:r>
      <w:r w:rsidDel="00000000" w:rsidR="00000000" w:rsidRPr="00000000">
        <w:rPr>
          <w:highlight w:val="white"/>
          <w:rtl w:val="0"/>
        </w:rPr>
        <w:t xml:space="preserve"> com poderes para o ato </w:t>
      </w:r>
      <w:r w:rsidDel="00000000" w:rsidR="00000000" w:rsidRPr="00000000">
        <w:rPr>
          <w:shd w:fill="d9d9d9" w:val="clear"/>
          <w:rtl w:val="0"/>
        </w:rPr>
        <w:t xml:space="preserve">{nos termos do disposto no artigo 76.º do Estatuto do Serviço Nacional de Saúde, aprovado pelo Decreto-Lei n.º 52/2022, de 04 de agosto}</w:t>
      </w:r>
      <w:r w:rsidDel="00000000" w:rsidR="00000000" w:rsidRPr="00000000">
        <w:rPr>
          <w:highlight w:val="white"/>
          <w:rtl w:val="0"/>
        </w:rPr>
        <w:t xml:space="preserve">, de ora em diante designada por “</w:t>
      </w:r>
      <w:r w:rsidDel="00000000" w:rsidR="00000000" w:rsidRPr="00000000">
        <w:rPr>
          <w:b w:val="1"/>
          <w:bCs w:val="1"/>
          <w:highlight w:val="white"/>
          <w:rtl w:val="0"/>
        </w:rPr>
        <w:t xml:space="preserve">Segunda Outorgante</w:t>
      </w:r>
      <w:r w:rsidDel="00000000" w:rsidR="00000000" w:rsidRPr="00000000">
        <w:rPr>
          <w:highlight w:val="white"/>
          <w:rtl w:val="0"/>
        </w:rPr>
        <w:t xml:space="preserve">”</w:t>
      </w:r>
    </w:p>
    <w:p w:rsidR="00000000" w:rsidDel="00000000" w:rsidP="00000000" w:rsidRDefault="00000000" w:rsidRPr="00000000" w14:paraId="0000003D">
      <w:pPr>
        <w:pStyle w:val="Heading4"/>
        <w:spacing w:after="0" w:lineRule="auto"/>
        <w:jc w:val="center"/>
        <w:rPr>
          <w:vertAlign w:val="baseline"/>
        </w:rPr>
      </w:pPr>
      <w:bookmarkStart w:colFirst="0" w:colLast="0" w:name="_heading=h.witmeujtxq4j" w:id="9"/>
      <w:bookmarkEnd w:id="9"/>
      <w:r w:rsidDel="00000000" w:rsidR="00000000" w:rsidRPr="00000000">
        <w:rPr>
          <w:vertAlign w:val="baseline"/>
          <w:rtl w:val="0"/>
        </w:rPr>
        <w:t xml:space="preserve">Cláusula Primeira</w:t>
      </w:r>
    </w:p>
    <w:p w:rsidR="00000000" w:rsidDel="00000000" w:rsidP="00000000" w:rsidRDefault="00000000" w:rsidRPr="00000000" w14:paraId="0000003E">
      <w:pPr>
        <w:pStyle w:val="Heading4"/>
        <w:spacing w:after="0" w:lineRule="auto"/>
        <w:jc w:val="center"/>
        <w:rPr>
          <w:vertAlign w:val="baseline"/>
        </w:rPr>
      </w:pPr>
      <w:bookmarkStart w:colFirst="0" w:colLast="0" w:name="_heading=h.yh4k7fm67p3" w:id="10"/>
      <w:bookmarkEnd w:id="10"/>
      <w:r w:rsidDel="00000000" w:rsidR="00000000" w:rsidRPr="00000000">
        <w:rPr>
          <w:vertAlign w:val="baseline"/>
          <w:rtl w:val="0"/>
        </w:rPr>
        <w:t xml:space="preserve">(Objeto)</w:t>
      </w:r>
    </w:p>
    <w:p w:rsidR="00000000" w:rsidDel="00000000" w:rsidP="00000000" w:rsidRDefault="00000000" w:rsidRPr="00000000" w14:paraId="0000003F">
      <w:pPr>
        <w:rPr>
          <w:highlight w:val="yellow"/>
        </w:rPr>
      </w:pPr>
      <w:r w:rsidDel="00000000" w:rsidR="00000000" w:rsidRPr="00000000">
        <w:rPr>
          <w:highlight w:val="white"/>
          <w:rtl w:val="0"/>
        </w:rPr>
        <w:t xml:space="preserve">O presente Memorando de Entendimento tem por objeto a colaboração entre os Outorgantes, através do estabelecimento de um quadro geral que facilite a promoção conjunta de atividades de I</w:t>
      </w:r>
      <w:r w:rsidDel="00000000" w:rsidR="00000000" w:rsidRPr="00000000">
        <w:rPr>
          <w:shd w:fill="auto" w:val="clear"/>
          <w:rtl w:val="0"/>
        </w:rPr>
        <w:t xml:space="preserve">&amp;D com recurso a registos eletrónicos de saúde, de interesse mú</w:t>
      </w:r>
      <w:r w:rsidDel="00000000" w:rsidR="00000000" w:rsidRPr="00000000">
        <w:rPr>
          <w:highlight w:val="white"/>
          <w:rtl w:val="0"/>
        </w:rPr>
        <w:t xml:space="preserve">tuo, conforme os termos deste articulado</w:t>
      </w:r>
      <w:r w:rsidDel="00000000" w:rsidR="00000000" w:rsidRPr="00000000">
        <w:rPr>
          <w:shd w:fill="auto" w:val="clear"/>
          <w:rtl w:val="0"/>
        </w:rPr>
        <w:t xml:space="preserve"> e sempre respeitando os princípios éticos, jurídicos e regulatórios em vigor. </w:t>
      </w:r>
      <w:r w:rsidDel="00000000" w:rsidR="00000000" w:rsidRPr="00000000">
        <w:rPr>
          <w:rtl w:val="0"/>
        </w:rPr>
        <w:t xml:space="preserve">Anexam</w:t>
      </w:r>
      <w:r w:rsidDel="00000000" w:rsidR="00000000" w:rsidRPr="00000000">
        <w:rPr>
          <w:rtl w:val="0"/>
        </w:rPr>
        <w:t xml:space="preserve">-se exemplos de publicações científicas resultantes de tais atividades I&amp;D (Anexo I)</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40">
      <w:pPr>
        <w:spacing w:after="0" w:lineRule="auto"/>
        <w:jc w:val="center"/>
        <w:rPr/>
      </w:pPr>
      <w:r w:rsidDel="00000000" w:rsidR="00000000" w:rsidRPr="00000000">
        <w:rPr>
          <w:rtl w:val="0"/>
        </w:rPr>
      </w:r>
    </w:p>
    <w:p w:rsidR="00000000" w:rsidDel="00000000" w:rsidP="00000000" w:rsidRDefault="00000000" w:rsidRPr="00000000" w14:paraId="00000041">
      <w:pPr>
        <w:pStyle w:val="Heading4"/>
        <w:spacing w:after="0" w:lineRule="auto"/>
        <w:jc w:val="center"/>
        <w:rPr>
          <w:vertAlign w:val="baseline"/>
        </w:rPr>
      </w:pPr>
      <w:bookmarkStart w:colFirst="0" w:colLast="0" w:name="_heading=h.o4lf7own92vp" w:id="11"/>
      <w:bookmarkEnd w:id="11"/>
      <w:r w:rsidDel="00000000" w:rsidR="00000000" w:rsidRPr="00000000">
        <w:rPr>
          <w:vertAlign w:val="baseline"/>
          <w:rtl w:val="0"/>
        </w:rPr>
        <w:t xml:space="preserve">Cláusula Segunda</w:t>
      </w:r>
    </w:p>
    <w:p w:rsidR="00000000" w:rsidDel="00000000" w:rsidP="00000000" w:rsidRDefault="00000000" w:rsidRPr="00000000" w14:paraId="00000042">
      <w:pPr>
        <w:pStyle w:val="Heading4"/>
        <w:spacing w:after="0" w:lineRule="auto"/>
        <w:jc w:val="center"/>
        <w:rPr>
          <w:vertAlign w:val="baseline"/>
        </w:rPr>
      </w:pPr>
      <w:bookmarkStart w:colFirst="0" w:colLast="0" w:name="_heading=h.dl3n88q9xrxt" w:id="12"/>
      <w:bookmarkEnd w:id="12"/>
      <w:r w:rsidDel="00000000" w:rsidR="00000000" w:rsidRPr="00000000">
        <w:rPr>
          <w:vertAlign w:val="baseline"/>
          <w:rtl w:val="0"/>
        </w:rPr>
        <w:t xml:space="preserve">(Âmbito)</w:t>
      </w:r>
    </w:p>
    <w:p w:rsidR="00000000" w:rsidDel="00000000" w:rsidP="00000000" w:rsidRDefault="00000000" w:rsidRPr="00000000" w14:paraId="00000043">
      <w:pPr>
        <w:rPr/>
      </w:pPr>
      <w:r w:rsidDel="00000000" w:rsidR="00000000" w:rsidRPr="00000000">
        <w:rPr>
          <w:highlight w:val="white"/>
          <w:rtl w:val="0"/>
        </w:rPr>
        <w:t xml:space="preserve">O âmbito do presente Memorando de Entendimento abrange a colaboração entre os Outorgantes para inicia</w:t>
      </w:r>
      <w:r w:rsidDel="00000000" w:rsidR="00000000" w:rsidRPr="00000000">
        <w:rPr>
          <w:rtl w:val="0"/>
        </w:rPr>
        <w:t xml:space="preserve">tivas de I&amp;D que requeiram processamento de registos eletrónicos de saúde à guarda da Segunda Outorgante, respeitando os limites estabelecidos pelo Regulamento Geral de Proteção de dados (RGPD).</w:t>
      </w:r>
      <w:r w:rsidDel="00000000" w:rsidR="00000000" w:rsidRPr="00000000">
        <w:rPr>
          <w:shd w:fill="auto" w:val="clear"/>
          <w:rtl w:val="0"/>
        </w:rPr>
        <w:t xml:space="preserve"> Inclui-se ainda o compromisso de observar e contribuir para adoção, por parte da Instituição, de quaisquer normativos nacionais ou europeus que venham a ser aplicados no contexto da ci</w:t>
      </w:r>
      <w:r w:rsidDel="00000000" w:rsidR="00000000" w:rsidRPr="00000000">
        <w:rPr>
          <w:shd w:fill="auto" w:val="clear"/>
          <w:rtl w:val="0"/>
        </w:rPr>
        <w:t xml:space="preserve">bersegurança</w:t>
      </w:r>
      <w:r w:rsidDel="00000000" w:rsidR="00000000" w:rsidRPr="00000000">
        <w:rPr>
          <w:shd w:fill="auto" w:val="clear"/>
          <w:rtl w:val="0"/>
        </w:rPr>
        <w:t xml:space="preserve">, inteligência artificial e proteção de dados, de forma a garantir a integridade, confidencialidade e rastreabilidade dos dados.</w:t>
      </w: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ato" w:cs="Lato" w:eastAsia="Lato" w:hAnsi="Lato"/>
          <w:b w:val="1"/>
          <w:bCs w:val="1"/>
          <w:i w:val="0"/>
          <w:iCs w:val="0"/>
          <w:smallCaps w:val="0"/>
          <w:strike w:val="0"/>
          <w:color w:val="000000"/>
          <w:sz w:val="22"/>
          <w:szCs w:val="22"/>
          <w:highlight w:val="white"/>
          <w:u w:val="none"/>
          <w:vertAlign w:val="baseline"/>
        </w:rPr>
      </w:pPr>
      <w:bookmarkStart w:colFirst="0" w:colLast="0" w:name="_heading=h.xu7q92liyrm7" w:id="13"/>
      <w:bookmarkEnd w:id="13"/>
      <w:r w:rsidDel="00000000" w:rsidR="00000000" w:rsidRPr="00000000">
        <w:rPr>
          <w:rtl w:val="0"/>
        </w:rPr>
      </w:r>
    </w:p>
    <w:p w:rsidR="00000000" w:rsidDel="00000000" w:rsidP="00000000" w:rsidRDefault="00000000" w:rsidRPr="00000000" w14:paraId="00000045">
      <w:pPr>
        <w:pStyle w:val="Heading4"/>
        <w:spacing w:after="0" w:lineRule="auto"/>
        <w:jc w:val="center"/>
        <w:rPr>
          <w:vertAlign w:val="baseline"/>
        </w:rPr>
      </w:pPr>
      <w:bookmarkStart w:colFirst="0" w:colLast="0" w:name="_heading=h.ktrj1o9vza35" w:id="14"/>
      <w:bookmarkEnd w:id="14"/>
      <w:r w:rsidDel="00000000" w:rsidR="00000000" w:rsidRPr="00000000">
        <w:rPr>
          <w:vertAlign w:val="baseline"/>
          <w:rtl w:val="0"/>
        </w:rPr>
        <w:t xml:space="preserve">Cláusula Terceira</w:t>
      </w:r>
    </w:p>
    <w:p w:rsidR="00000000" w:rsidDel="00000000" w:rsidP="00000000" w:rsidRDefault="00000000" w:rsidRPr="00000000" w14:paraId="00000046">
      <w:pPr>
        <w:pStyle w:val="Heading4"/>
        <w:spacing w:after="0" w:lineRule="auto"/>
        <w:jc w:val="center"/>
        <w:rPr>
          <w:vertAlign w:val="baseline"/>
        </w:rPr>
      </w:pPr>
      <w:bookmarkStart w:colFirst="0" w:colLast="0" w:name="_heading=h.r5q4a0iw575n" w:id="15"/>
      <w:bookmarkEnd w:id="15"/>
      <w:r w:rsidDel="00000000" w:rsidR="00000000" w:rsidRPr="00000000">
        <w:rPr>
          <w:vertAlign w:val="baseline"/>
          <w:rtl w:val="0"/>
        </w:rPr>
        <w:t xml:space="preserve">(Delimitação do Memorando de Entendimento)</w:t>
      </w:r>
    </w:p>
    <w:p w:rsidR="00000000" w:rsidDel="00000000" w:rsidP="00000000" w:rsidRDefault="00000000" w:rsidRPr="00000000" w14:paraId="00000047">
      <w:pPr>
        <w:numPr>
          <w:ilvl w:val="0"/>
          <w:numId w:val="2"/>
        </w:numPr>
        <w:ind w:left="360" w:hanging="360"/>
        <w:rPr>
          <w:highlight w:val="white"/>
        </w:rPr>
      </w:pPr>
      <w:r w:rsidDel="00000000" w:rsidR="00000000" w:rsidRPr="00000000">
        <w:rPr>
          <w:highlight w:val="white"/>
          <w:rtl w:val="0"/>
        </w:rPr>
        <w:t xml:space="preserve">O presente Memorando de Entendimento</w:t>
      </w:r>
      <w:r w:rsidDel="00000000" w:rsidR="00000000" w:rsidRPr="00000000">
        <w:rPr>
          <w:rtl w:val="0"/>
        </w:rPr>
        <w:t xml:space="preserve"> não substitui a formalização contratual entre os Outorgantes na prossecução de atividades que venham a ser propostas e que dependam de autorização ou acordo específico.</w:t>
      </w:r>
    </w:p>
    <w:p w:rsidR="00000000" w:rsidDel="00000000" w:rsidP="00000000" w:rsidRDefault="00000000" w:rsidRPr="00000000" w14:paraId="00000048">
      <w:pPr>
        <w:numPr>
          <w:ilvl w:val="0"/>
          <w:numId w:val="2"/>
        </w:numPr>
        <w:ind w:left="360" w:hanging="360"/>
        <w:rPr>
          <w:highlight w:val="white"/>
        </w:rPr>
      </w:pPr>
      <w:r w:rsidDel="00000000" w:rsidR="00000000" w:rsidRPr="00000000">
        <w:rPr>
          <w:highlight w:val="white"/>
          <w:rtl w:val="0"/>
        </w:rPr>
        <w:t xml:space="preserve">O presente Memorando de Entendimento não limita a possibilidade dos Outorgantes em </w:t>
      </w:r>
      <w:r w:rsidDel="00000000" w:rsidR="00000000" w:rsidRPr="00000000">
        <w:rPr>
          <w:rtl w:val="0"/>
        </w:rPr>
        <w:t xml:space="preserve">celebrar</w:t>
      </w:r>
      <w:r w:rsidDel="00000000" w:rsidR="00000000" w:rsidRPr="00000000">
        <w:rPr>
          <w:highlight w:val="white"/>
          <w:rtl w:val="0"/>
        </w:rPr>
        <w:t xml:space="preserve"> quaisquer acordos ou compromissos com entidades terceiras, nem assume qualquer restrição à normal liberdade contratual.</w:t>
      </w:r>
    </w:p>
    <w:p w:rsidR="00000000" w:rsidDel="00000000" w:rsidP="00000000" w:rsidRDefault="00000000" w:rsidRPr="00000000" w14:paraId="00000049">
      <w:pPr>
        <w:numPr>
          <w:ilvl w:val="0"/>
          <w:numId w:val="2"/>
        </w:numPr>
        <w:ind w:left="360" w:hanging="360"/>
        <w:rPr>
          <w:highlight w:val="white"/>
        </w:rPr>
      </w:pPr>
      <w:r w:rsidDel="00000000" w:rsidR="00000000" w:rsidRPr="00000000">
        <w:rPr>
          <w:highlight w:val="white"/>
          <w:rtl w:val="0"/>
        </w:rPr>
        <w:t xml:space="preserve">A presente Outorga não vincula os Outorgantes para celebração exclusiva de futuros contratos ou para o estabelecimento de relações contratuais exclusivas entre ambos.</w:t>
      </w:r>
    </w:p>
    <w:p w:rsidR="00000000" w:rsidDel="00000000" w:rsidP="00000000" w:rsidRDefault="00000000" w:rsidRPr="00000000" w14:paraId="0000004A">
      <w:pPr>
        <w:pStyle w:val="Heading4"/>
        <w:spacing w:after="0" w:lineRule="auto"/>
        <w:jc w:val="center"/>
        <w:rPr/>
      </w:pPr>
      <w:bookmarkStart w:colFirst="0" w:colLast="0" w:name="_heading=h.uk0b8qv7v8vk" w:id="16"/>
      <w:bookmarkEnd w:id="16"/>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4"/>
        <w:spacing w:after="0" w:lineRule="auto"/>
        <w:jc w:val="center"/>
        <w:rPr>
          <w:vertAlign w:val="baseline"/>
        </w:rPr>
      </w:pPr>
      <w:bookmarkStart w:colFirst="0" w:colLast="0" w:name="_heading=h.ruyrl98fyo08" w:id="17"/>
      <w:bookmarkEnd w:id="17"/>
      <w:r w:rsidDel="00000000" w:rsidR="00000000" w:rsidRPr="00000000">
        <w:rPr>
          <w:vertAlign w:val="baseline"/>
          <w:rtl w:val="0"/>
        </w:rPr>
        <w:t xml:space="preserve">Cláusula Quarta</w:t>
      </w:r>
    </w:p>
    <w:p w:rsidR="00000000" w:rsidDel="00000000" w:rsidP="00000000" w:rsidRDefault="00000000" w:rsidRPr="00000000" w14:paraId="0000004C">
      <w:pPr>
        <w:pStyle w:val="Heading4"/>
        <w:spacing w:after="0" w:lineRule="auto"/>
        <w:jc w:val="center"/>
        <w:rPr>
          <w:vertAlign w:val="baseline"/>
        </w:rPr>
      </w:pPr>
      <w:bookmarkStart w:colFirst="0" w:colLast="0" w:name="_heading=h.s8u1qp7dhvog" w:id="18"/>
      <w:bookmarkEnd w:id="18"/>
      <w:r w:rsidDel="00000000" w:rsidR="00000000" w:rsidRPr="00000000">
        <w:rPr>
          <w:vertAlign w:val="baseline"/>
          <w:rtl w:val="0"/>
        </w:rPr>
        <w:t xml:space="preserve">(Compromissos da Primeira Outorgante)</w:t>
      </w:r>
    </w:p>
    <w:p w:rsidR="00000000" w:rsidDel="00000000" w:rsidP="00000000" w:rsidRDefault="00000000" w:rsidRPr="00000000" w14:paraId="0000004D">
      <w:pPr>
        <w:rPr>
          <w:highlight w:val="white"/>
        </w:rPr>
      </w:pPr>
      <w:r w:rsidDel="00000000" w:rsidR="00000000" w:rsidRPr="00000000">
        <w:rPr>
          <w:highlight w:val="white"/>
          <w:rtl w:val="0"/>
        </w:rPr>
        <w:t xml:space="preserve">São compromissos da Primeira Outorgante:</w:t>
      </w:r>
    </w:p>
    <w:p w:rsidR="00000000" w:rsidDel="00000000" w:rsidP="00000000" w:rsidRDefault="00000000" w:rsidRPr="00000000" w14:paraId="0000004E">
      <w:pPr>
        <w:numPr>
          <w:ilvl w:val="0"/>
          <w:numId w:val="1"/>
        </w:numPr>
        <w:ind w:left="360" w:hanging="360"/>
        <w:rPr>
          <w:shd w:fill="auto" w:val="clear"/>
        </w:rPr>
      </w:pPr>
      <w:r w:rsidDel="00000000" w:rsidR="00000000" w:rsidRPr="00000000">
        <w:rPr>
          <w:shd w:fill="auto" w:val="clear"/>
          <w:rtl w:val="0"/>
        </w:rPr>
        <w:t xml:space="preserve">Capacitar a Segunda Outorgante na vertente científica, por forma a que esta reúna condições para desenvolver e participar em iniciativas de I&amp;D com recurso a registos eletrónicos de saúde, sejam eles da iniciativa dos Outorgantes ou de quaisquer entidades terceiras.</w:t>
      </w:r>
    </w:p>
    <w:p w:rsidR="00000000" w:rsidDel="00000000" w:rsidP="00000000" w:rsidRDefault="00000000" w:rsidRPr="00000000" w14:paraId="0000004F">
      <w:pPr>
        <w:numPr>
          <w:ilvl w:val="0"/>
          <w:numId w:val="1"/>
        </w:numPr>
        <w:ind w:left="360" w:hanging="360"/>
        <w:rPr>
          <w:shd w:fill="auto" w:val="clear"/>
        </w:rPr>
      </w:pPr>
      <w:r w:rsidDel="00000000" w:rsidR="00000000" w:rsidRPr="00000000">
        <w:rPr>
          <w:shd w:fill="auto" w:val="clear"/>
          <w:rtl w:val="0"/>
        </w:rPr>
        <w:t xml:space="preserve">Fazer as duas contribuições materiais:</w:t>
      </w:r>
    </w:p>
    <w:p w:rsidR="00000000" w:rsidDel="00000000" w:rsidP="00000000" w:rsidRDefault="00000000" w:rsidRPr="00000000" w14:paraId="00000050">
      <w:pPr>
        <w:numPr>
          <w:ilvl w:val="1"/>
          <w:numId w:val="1"/>
        </w:numPr>
        <w:ind w:left="720" w:hanging="360"/>
        <w:rPr>
          <w:shd w:fill="auto" w:val="clear"/>
        </w:rPr>
      </w:pPr>
      <w:r w:rsidDel="00000000" w:rsidR="00000000" w:rsidRPr="00000000">
        <w:rPr>
          <w:shd w:fill="auto" w:val="clear"/>
          <w:rtl w:val="0"/>
        </w:rPr>
        <w:t xml:space="preserve">D</w:t>
      </w:r>
      <w:r w:rsidDel="00000000" w:rsidR="00000000" w:rsidRPr="00000000">
        <w:rPr>
          <w:shd w:fill="auto" w:val="clear"/>
          <w:rtl w:val="0"/>
        </w:rPr>
        <w:t xml:space="preserve">esenvolvimento de </w:t>
      </w:r>
      <w:r w:rsidDel="00000000" w:rsidR="00000000" w:rsidRPr="00000000">
        <w:rPr>
          <w:shd w:fill="auto" w:val="clear"/>
          <w:rtl w:val="0"/>
        </w:rPr>
        <w:t xml:space="preserve">código-fonte de processos de </w:t>
      </w:r>
      <w:r w:rsidDel="00000000" w:rsidR="00000000" w:rsidRPr="00000000">
        <w:rPr>
          <w:i w:val="1"/>
          <w:iCs w:val="1"/>
          <w:shd w:fill="auto" w:val="clear"/>
          <w:rtl w:val="0"/>
        </w:rPr>
        <w:t xml:space="preserve">Extract, transform, and load</w:t>
      </w:r>
      <w:r w:rsidDel="00000000" w:rsidR="00000000" w:rsidRPr="00000000">
        <w:rPr>
          <w:shd w:fill="auto" w:val="clear"/>
          <w:rtl w:val="0"/>
        </w:rPr>
        <w:t xml:space="preserve"> (ETL)</w:t>
      </w:r>
      <w:r w:rsidDel="00000000" w:rsidR="00000000" w:rsidRPr="00000000">
        <w:rPr>
          <w:shd w:fill="auto" w:val="clear"/>
          <w:rtl w:val="0"/>
        </w:rPr>
        <w:t xml:space="preserve"> de preparação de dados, segundo </w:t>
      </w:r>
      <w:r w:rsidDel="00000000" w:rsidR="00000000" w:rsidRPr="00000000">
        <w:rPr>
          <w:i w:val="1"/>
          <w:iCs w:val="1"/>
          <w:shd w:fill="auto" w:val="clear"/>
          <w:rtl w:val="0"/>
        </w:rPr>
        <w:t xml:space="preserve">standards</w:t>
      </w:r>
      <w:r w:rsidDel="00000000" w:rsidR="00000000" w:rsidRPr="00000000">
        <w:rPr>
          <w:shd w:fill="auto" w:val="clear"/>
          <w:rtl w:val="0"/>
        </w:rPr>
        <w:t xml:space="preserve"> internacionais vigentes e relevantes (e.g., </w:t>
      </w:r>
      <w:r w:rsidDel="00000000" w:rsidR="00000000" w:rsidRPr="00000000">
        <w:rPr>
          <w:i w:val="1"/>
          <w:iCs w:val="1"/>
          <w:shd w:fill="auto" w:val="clear"/>
          <w:rtl w:val="0"/>
        </w:rPr>
        <w:t xml:space="preserve">Observational Medical Outcomes Partnership</w:t>
      </w:r>
      <w:r w:rsidDel="00000000" w:rsidR="00000000" w:rsidRPr="00000000">
        <w:rPr>
          <w:shd w:fill="auto" w:val="clear"/>
          <w:rtl w:val="0"/>
        </w:rPr>
        <w:t xml:space="preserve">-OMOP 5.4; HL7</w:t>
      </w:r>
      <w:r w:rsidDel="00000000" w:rsidR="00000000" w:rsidRPr="00000000">
        <w:rPr>
          <w:shd w:fill="auto" w:val="clear"/>
          <w:rtl w:val="0"/>
        </w:rPr>
        <w:t xml:space="preserve"> </w:t>
      </w:r>
      <w:r w:rsidDel="00000000" w:rsidR="00000000" w:rsidRPr="00000000">
        <w:rPr>
          <w:shd w:fill="auto" w:val="clear"/>
          <w:rtl w:val="0"/>
        </w:rPr>
        <w:t xml:space="preserve">FH</w:t>
      </w:r>
      <w:r w:rsidDel="00000000" w:rsidR="00000000" w:rsidRPr="00000000">
        <w:rPr>
          <w:shd w:fill="auto" w:val="clear"/>
          <w:rtl w:val="0"/>
        </w:rPr>
        <w:t xml:space="preserve">I</w:t>
      </w:r>
      <w:r w:rsidDel="00000000" w:rsidR="00000000" w:rsidRPr="00000000">
        <w:rPr>
          <w:shd w:fill="auto" w:val="clear"/>
          <w:rtl w:val="0"/>
        </w:rPr>
        <w:t xml:space="preserve">R-</w:t>
      </w:r>
      <w:r w:rsidDel="00000000" w:rsidR="00000000" w:rsidRPr="00000000">
        <w:rPr>
          <w:i w:val="1"/>
          <w:iCs w:val="1"/>
          <w:shd w:fill="auto" w:val="clear"/>
          <w:rtl w:val="0"/>
        </w:rPr>
        <w:t xml:space="preserve">Fast Healthcare Interoperability Resources, </w:t>
      </w:r>
      <w:r w:rsidDel="00000000" w:rsidR="00000000" w:rsidRPr="00000000">
        <w:rPr>
          <w:shd w:fill="auto" w:val="clear"/>
          <w:rtl w:val="0"/>
        </w:rPr>
        <w:t xml:space="preserve">entre outros), necessários para que os registos eletrónicos de saúde provenientes de sistemas de informação propriedade da Segunda Outorgante estejam disponíveis e atualizados continuamente,</w:t>
      </w:r>
      <w:r w:rsidDel="00000000" w:rsidR="00000000" w:rsidRPr="00000000">
        <w:rPr>
          <w:shd w:fill="auto" w:val="clear"/>
          <w:rtl w:val="0"/>
        </w:rPr>
        <w:t xml:space="preserve"> </w:t>
      </w:r>
      <w:r w:rsidDel="00000000" w:rsidR="00000000" w:rsidRPr="00000000">
        <w:rPr>
          <w:shd w:fill="auto" w:val="clear"/>
          <w:rtl w:val="0"/>
        </w:rPr>
        <w:t xml:space="preserve">para a execução de quaisquer atividades que venham a ser desenvolvidas no âmbito deste Memorando de Entendimento. Os processos ETL serão disponibilizados sob a licença de </w:t>
      </w:r>
      <w:r w:rsidDel="00000000" w:rsidR="00000000" w:rsidRPr="00000000">
        <w:rPr>
          <w:i w:val="1"/>
          <w:iCs w:val="1"/>
          <w:shd w:fill="auto" w:val="clear"/>
          <w:rtl w:val="0"/>
        </w:rPr>
        <w:t xml:space="preserve">software</w:t>
      </w:r>
      <w:r w:rsidDel="00000000" w:rsidR="00000000" w:rsidRPr="00000000">
        <w:rPr>
          <w:shd w:fill="auto" w:val="clear"/>
          <w:rtl w:val="0"/>
        </w:rPr>
        <w:t xml:space="preserve"> livre GNU (</w:t>
      </w:r>
      <w:hyperlink r:id="rId13">
        <w:r w:rsidDel="00000000" w:rsidR="00000000" w:rsidRPr="00000000">
          <w:rPr>
            <w:i w:val="1"/>
            <w:iCs w:val="1"/>
            <w:color w:val="1155cc"/>
            <w:u w:val="single"/>
            <w:shd w:fill="auto" w:val="clear"/>
            <w:rtl w:val="0"/>
          </w:rPr>
          <w:t xml:space="preserve">General Public License</w:t>
        </w:r>
      </w:hyperlink>
      <w:r w:rsidDel="00000000" w:rsidR="00000000" w:rsidRPr="00000000">
        <w:rPr>
          <w:shd w:fill="auto" w:val="clear"/>
          <w:rtl w:val="0"/>
        </w:rPr>
        <w:t xml:space="preserve">) e cumprirão integralmente a Recomendação da Resolução do Conselho de Ministros n.º 41/2018, de 28 de março, e demais legislação em vigor em matéria de cibersegurança e proteção de dados, bem como de boas práticas vigentes no que diz respeito à cibersegurança.</w:t>
      </w:r>
    </w:p>
    <w:p w:rsidR="00000000" w:rsidDel="00000000" w:rsidP="00000000" w:rsidRDefault="00000000" w:rsidRPr="00000000" w14:paraId="00000051">
      <w:pPr>
        <w:numPr>
          <w:ilvl w:val="1"/>
          <w:numId w:val="1"/>
        </w:numPr>
        <w:ind w:left="720" w:hanging="360"/>
        <w:rPr>
          <w:shd w:fill="auto" w:val="clear"/>
        </w:rPr>
      </w:pPr>
      <w:r w:rsidDel="00000000" w:rsidR="00000000" w:rsidRPr="00000000">
        <w:rPr>
          <w:shd w:fill="auto" w:val="clear"/>
          <w:rtl w:val="0"/>
        </w:rPr>
        <w:t xml:space="preserve">Disponibilização de código-fonte de processos de ETL relativos a sistemas de informação em uso pela Segunda Outorgante mas propriedade de terceiros. Os processos ETL serão disponibilizados livres de quaisquer ónus ou encargos e cumprirão integralmente a Recomendação da Resolução do Conselho de Ministros n.º 41/2018, de 28 de março, e demais legislação em vigor em matéria de cibersegurança e proteção de dados, bem como de boas </w:t>
      </w:r>
      <w:r w:rsidDel="00000000" w:rsidR="00000000" w:rsidRPr="00000000">
        <w:rPr>
          <w:shd w:fill="auto" w:val="clear"/>
          <w:rtl w:val="0"/>
        </w:rPr>
        <w:t xml:space="preserve">práticas</w:t>
      </w:r>
      <w:r w:rsidDel="00000000" w:rsidR="00000000" w:rsidRPr="00000000">
        <w:rPr>
          <w:shd w:fill="auto" w:val="clear"/>
          <w:rtl w:val="0"/>
        </w:rPr>
        <w:t xml:space="preserve"> vigentes no que diz respeito à cibersegurança.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shd w:fill="auto" w:val="clear"/>
        </w:rPr>
      </w:pPr>
      <w:r w:rsidDel="00000000" w:rsidR="00000000" w:rsidRPr="00000000">
        <w:rPr>
          <w:shd w:fill="auto" w:val="clear"/>
          <w:rtl w:val="0"/>
        </w:rPr>
        <w:t xml:space="preserve">A disponibilização de códigos-fonte de processos de ETL e de </w:t>
      </w:r>
      <w:r w:rsidDel="00000000" w:rsidR="00000000" w:rsidRPr="00000000">
        <w:rPr>
          <w:i w:val="1"/>
          <w:iCs w:val="1"/>
          <w:shd w:fill="auto" w:val="clear"/>
          <w:rtl w:val="0"/>
        </w:rPr>
        <w:t xml:space="preserve">Study Packages</w:t>
      </w:r>
      <w:r w:rsidDel="00000000" w:rsidR="00000000" w:rsidRPr="00000000">
        <w:rPr>
          <w:shd w:fill="auto" w:val="clear"/>
          <w:rtl w:val="0"/>
        </w:rPr>
        <w:t xml:space="preserve"> para iniciativas I&amp;D específicas será realizada através da partilha dos mesmos pela Primeira Outorgante em repositório da conta da Segunda Outorgante na plataforma de versionamento de código GitHub. O acesso de escrita à Primeira Outorgante para disponibilizar o código-fonte no repositório será feito por requisição por escrito de autorização de acesso nominal a cada repositório específico para cada iniciativa de I&amp;D.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shd w:fill="auto" w:val="clear"/>
        </w:rPr>
      </w:pPr>
      <w:r w:rsidDel="00000000" w:rsidR="00000000" w:rsidRPr="00000000">
        <w:rPr>
          <w:shd w:fill="auto" w:val="clear"/>
          <w:rtl w:val="0"/>
        </w:rPr>
        <w:t xml:space="preserve">As</w:t>
      </w:r>
      <w:r w:rsidDel="00000000" w:rsidR="00000000" w:rsidRPr="00000000">
        <w:rPr>
          <w:rtl w:val="0"/>
        </w:rPr>
        <w:t xml:space="preserve"> contribuições indicadas no n.º 2 da presente Cláusula, são livres de quaisquer ónus ou encargos para a Segunda Outorgante e passam a ser propriedade desta no momento da sua entrega.</w:t>
      </w:r>
      <w:r w:rsidDel="00000000" w:rsidR="00000000" w:rsidRPr="00000000">
        <w:rPr>
          <w:rtl w:val="0"/>
        </w:rPr>
      </w:r>
    </w:p>
    <w:p w:rsidR="00000000" w:rsidDel="00000000" w:rsidP="00000000" w:rsidRDefault="00000000" w:rsidRPr="00000000" w14:paraId="00000054">
      <w:pPr>
        <w:numPr>
          <w:ilvl w:val="0"/>
          <w:numId w:val="1"/>
        </w:numPr>
        <w:ind w:left="360" w:hanging="360"/>
        <w:rPr>
          <w:highlight w:val="white"/>
        </w:rPr>
      </w:pPr>
      <w:r w:rsidDel="00000000" w:rsidR="00000000" w:rsidRPr="00000000">
        <w:rPr>
          <w:highlight w:val="white"/>
          <w:rtl w:val="0"/>
        </w:rPr>
        <w:t xml:space="preserve">Garantir que os processos desenvolvidos pela Primeira Outorgante são realizados sem a necessidade de receber qualquer tipo de contrapartida, nomeadamente o acesso </w:t>
      </w:r>
      <w:r w:rsidDel="00000000" w:rsidR="00000000" w:rsidRPr="00000000">
        <w:rPr>
          <w:rtl w:val="0"/>
        </w:rPr>
        <w:t xml:space="preserve">aos dados</w:t>
      </w:r>
      <w:r w:rsidDel="00000000" w:rsidR="00000000" w:rsidRPr="00000000">
        <w:rPr>
          <w:highlight w:val="white"/>
          <w:rtl w:val="0"/>
        </w:rPr>
        <w:t xml:space="preserve"> da Segunda Outorgante.</w:t>
      </w:r>
    </w:p>
    <w:p w:rsidR="00000000" w:rsidDel="00000000" w:rsidP="00000000" w:rsidRDefault="00000000" w:rsidRPr="00000000" w14:paraId="00000055">
      <w:pPr>
        <w:numPr>
          <w:ilvl w:val="0"/>
          <w:numId w:val="1"/>
        </w:numPr>
        <w:ind w:left="360" w:hanging="360"/>
        <w:rPr>
          <w:highlight w:val="white"/>
        </w:rPr>
      </w:pPr>
      <w:r w:rsidDel="00000000" w:rsidR="00000000" w:rsidRPr="00000000">
        <w:rPr>
          <w:highlight w:val="white"/>
          <w:rtl w:val="0"/>
        </w:rPr>
        <w:t xml:space="preserve">Respeitar a política de proteção de dados em vigor na Segunda Outorgante, do RGPD, aprovado pelo Regulamento da U</w:t>
      </w:r>
      <w:r w:rsidDel="00000000" w:rsidR="00000000" w:rsidRPr="00000000">
        <w:rPr>
          <w:rtl w:val="0"/>
        </w:rPr>
        <w:t xml:space="preserve">nião Europeia</w:t>
      </w:r>
      <w:r w:rsidDel="00000000" w:rsidR="00000000" w:rsidRPr="00000000">
        <w:rPr>
          <w:highlight w:val="white"/>
          <w:rtl w:val="0"/>
        </w:rPr>
        <w:t xml:space="preserve"> (UE) n.º 679/2016, de 27 de Abril, pela Lei da Proteção de Dados, aprovada pela Lei n.º 58/2019, de 08 de Agosto e, da demais legislação aplicável.</w:t>
      </w:r>
    </w:p>
    <w:p w:rsidR="00000000" w:rsidDel="00000000" w:rsidP="00000000" w:rsidRDefault="00000000" w:rsidRPr="00000000" w14:paraId="00000056">
      <w:pPr>
        <w:numPr>
          <w:ilvl w:val="0"/>
          <w:numId w:val="1"/>
        </w:numPr>
        <w:ind w:left="360" w:hanging="360"/>
        <w:rPr>
          <w:shd w:fill="auto" w:val="clear"/>
        </w:rPr>
      </w:pPr>
      <w:r w:rsidDel="00000000" w:rsidR="00000000" w:rsidRPr="00000000">
        <w:rPr>
          <w:shd w:fill="auto" w:val="clear"/>
          <w:rtl w:val="0"/>
        </w:rPr>
        <w:t xml:space="preserve">Garantir a realização de avaliações de impacto de proteção de dados (DPIA), conforme exigido pelo RGPD, para cada iniciativa I&amp;D que envolva o uso de registos eletrónicos de saúde, antes do início das atividades.</w:t>
      </w: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ato" w:cs="Lato" w:eastAsia="Lato" w:hAnsi="Lato"/>
          <w:b w:val="1"/>
          <w:bCs w:val="1"/>
          <w:i w:val="0"/>
          <w:iCs w:val="0"/>
          <w:smallCaps w:val="0"/>
          <w:strike w:val="0"/>
          <w:color w:val="000000"/>
          <w:sz w:val="22"/>
          <w:szCs w:val="22"/>
          <w:highlight w:val="white"/>
          <w:u w:val="none"/>
          <w:vertAlign w:val="baseline"/>
        </w:rPr>
      </w:pPr>
      <w:bookmarkStart w:colFirst="0" w:colLast="0" w:name="_heading=h.jgcwg4k2l3hx" w:id="19"/>
      <w:bookmarkEnd w:id="19"/>
      <w:r w:rsidDel="00000000" w:rsidR="00000000" w:rsidRPr="00000000">
        <w:rPr>
          <w:rtl w:val="0"/>
        </w:rPr>
      </w:r>
    </w:p>
    <w:p w:rsidR="00000000" w:rsidDel="00000000" w:rsidP="00000000" w:rsidRDefault="00000000" w:rsidRPr="00000000" w14:paraId="00000058">
      <w:pPr>
        <w:pStyle w:val="Heading4"/>
        <w:spacing w:after="0" w:lineRule="auto"/>
        <w:jc w:val="center"/>
        <w:rPr>
          <w:vertAlign w:val="baseline"/>
        </w:rPr>
      </w:pPr>
      <w:bookmarkStart w:colFirst="0" w:colLast="0" w:name="_heading=h.o9ily3k4hres" w:id="20"/>
      <w:bookmarkEnd w:id="20"/>
      <w:r w:rsidDel="00000000" w:rsidR="00000000" w:rsidRPr="00000000">
        <w:rPr>
          <w:vertAlign w:val="baseline"/>
          <w:rtl w:val="0"/>
        </w:rPr>
        <w:t xml:space="preserve">Cláusula Quinta</w:t>
      </w:r>
    </w:p>
    <w:p w:rsidR="00000000" w:rsidDel="00000000" w:rsidP="00000000" w:rsidRDefault="00000000" w:rsidRPr="00000000" w14:paraId="00000059">
      <w:pPr>
        <w:pStyle w:val="Heading4"/>
        <w:spacing w:after="0" w:lineRule="auto"/>
        <w:jc w:val="center"/>
        <w:rPr>
          <w:vertAlign w:val="baseline"/>
        </w:rPr>
      </w:pPr>
      <w:bookmarkStart w:colFirst="0" w:colLast="0" w:name="_heading=h.2kmzi7vp86kb" w:id="21"/>
      <w:bookmarkEnd w:id="21"/>
      <w:r w:rsidDel="00000000" w:rsidR="00000000" w:rsidRPr="00000000">
        <w:rPr>
          <w:vertAlign w:val="baseline"/>
          <w:rtl w:val="0"/>
        </w:rPr>
        <w:t xml:space="preserve">(Compromissos da Segunda Outorgante)</w:t>
      </w:r>
    </w:p>
    <w:p w:rsidR="00000000" w:rsidDel="00000000" w:rsidP="00000000" w:rsidRDefault="00000000" w:rsidRPr="00000000" w14:paraId="0000005A">
      <w:pPr>
        <w:rPr>
          <w:highlight w:val="white"/>
        </w:rPr>
      </w:pPr>
      <w:r w:rsidDel="00000000" w:rsidR="00000000" w:rsidRPr="00000000">
        <w:rPr>
          <w:highlight w:val="white"/>
          <w:rtl w:val="0"/>
        </w:rPr>
        <w:t xml:space="preserve">São compromissos da Segunda Outorgante:</w:t>
      </w:r>
    </w:p>
    <w:p w:rsidR="00000000" w:rsidDel="00000000" w:rsidP="00000000" w:rsidRDefault="00000000" w:rsidRPr="00000000" w14:paraId="0000005B">
      <w:pPr>
        <w:numPr>
          <w:ilvl w:val="0"/>
          <w:numId w:val="5"/>
        </w:numPr>
        <w:ind w:left="360" w:hanging="360"/>
        <w:rPr>
          <w:shd w:fill="auto" w:val="clear"/>
        </w:rPr>
      </w:pPr>
      <w:r w:rsidDel="00000000" w:rsidR="00000000" w:rsidRPr="00000000">
        <w:rPr>
          <w:shd w:fill="auto" w:val="clear"/>
          <w:rtl w:val="0"/>
        </w:rPr>
        <w:t xml:space="preserve">Comprometer-se a providenciar os meios e a obter as autorizações eventualmente necessárias para permitir que a to</w:t>
      </w:r>
      <w:r w:rsidDel="00000000" w:rsidR="00000000" w:rsidRPr="00000000">
        <w:rPr>
          <w:shd w:fill="auto" w:val="clear"/>
          <w:rtl w:val="0"/>
        </w:rPr>
        <w:t xml:space="preserve">t</w:t>
      </w:r>
      <w:r w:rsidDel="00000000" w:rsidR="00000000" w:rsidRPr="00000000">
        <w:rPr>
          <w:shd w:fill="auto" w:val="clear"/>
          <w:rtl w:val="0"/>
        </w:rPr>
        <w:t xml:space="preserve">alidade dos registos eletrónicos de saúde à sua guarda possam ser </w:t>
      </w:r>
      <w:r w:rsidDel="00000000" w:rsidR="00000000" w:rsidRPr="00000000">
        <w:rPr>
          <w:shd w:fill="auto" w:val="clear"/>
          <w:rtl w:val="0"/>
        </w:rPr>
        <w:t xml:space="preserve">alvo de processamento em escala.</w:t>
      </w:r>
    </w:p>
    <w:p w:rsidR="00000000" w:rsidDel="00000000" w:rsidP="00000000" w:rsidRDefault="00000000" w:rsidRPr="00000000" w14:paraId="0000005C">
      <w:pPr>
        <w:numPr>
          <w:ilvl w:val="0"/>
          <w:numId w:val="5"/>
        </w:numPr>
        <w:ind w:left="360" w:hanging="360"/>
      </w:pPr>
      <w:r w:rsidDel="00000000" w:rsidR="00000000" w:rsidRPr="00000000">
        <w:rPr>
          <w:highlight w:val="white"/>
          <w:rtl w:val="0"/>
        </w:rPr>
        <w:t xml:space="preserve">Comprometer-se a tomar as diligências necessárias para se envolver formalmente em iniciativas de I&amp;D para as quais a Primeira Outorgante a venha a convidar;</w:t>
      </w:r>
    </w:p>
    <w:p w:rsidR="00000000" w:rsidDel="00000000" w:rsidP="00000000" w:rsidRDefault="00000000" w:rsidRPr="00000000" w14:paraId="0000005D">
      <w:pPr>
        <w:numPr>
          <w:ilvl w:val="0"/>
          <w:numId w:val="5"/>
        </w:numPr>
        <w:ind w:left="360" w:hanging="360"/>
      </w:pPr>
      <w:r w:rsidDel="00000000" w:rsidR="00000000" w:rsidRPr="00000000">
        <w:rPr>
          <w:highlight w:val="white"/>
          <w:rtl w:val="0"/>
        </w:rPr>
        <w:t xml:space="preserve">Comprometer-se a garantir que para cada iniciativa concreta de I&amp;D com recurso a registos eletrónicos de saúde, a Comissão de Ética para a Saúde da </w:t>
      </w:r>
      <w:r w:rsidDel="00000000" w:rsidR="00000000" w:rsidRPr="00000000">
        <w:rPr>
          <w:rtl w:val="0"/>
        </w:rPr>
        <w:t xml:space="preserve">I</w:t>
      </w:r>
      <w:r w:rsidDel="00000000" w:rsidR="00000000" w:rsidRPr="00000000">
        <w:rPr>
          <w:highlight w:val="white"/>
          <w:rtl w:val="0"/>
        </w:rPr>
        <w:t xml:space="preserve">nstituição emite o seu parecer quanto ao respeito pelos princípios éticos</w:t>
      </w:r>
      <w:r w:rsidDel="00000000" w:rsidR="00000000" w:rsidRPr="00000000">
        <w:rPr>
          <w:rtl w:val="0"/>
        </w:rPr>
        <w:t xml:space="preserve"> aplicáveis</w:t>
      </w:r>
      <w:r w:rsidDel="00000000" w:rsidR="00000000" w:rsidRPr="00000000">
        <w:rPr>
          <w:highlight w:val="white"/>
          <w:rtl w:val="0"/>
        </w:rPr>
        <w:t xml:space="preserve">.</w:t>
      </w:r>
    </w:p>
    <w:p w:rsidR="00000000" w:rsidDel="00000000" w:rsidP="00000000" w:rsidRDefault="00000000" w:rsidRPr="00000000" w14:paraId="0000005E">
      <w:pPr>
        <w:numPr>
          <w:ilvl w:val="0"/>
          <w:numId w:val="5"/>
        </w:numPr>
        <w:ind w:left="360" w:hanging="360"/>
      </w:pPr>
      <w:r w:rsidDel="00000000" w:rsidR="00000000" w:rsidRPr="00000000">
        <w:rPr>
          <w:highlight w:val="white"/>
          <w:rtl w:val="0"/>
        </w:rPr>
        <w:t xml:space="preserve">Comprometer-se a garantir que para cada iniciativa concreta de I&amp;D com recurso a registos eletrónicos de saúde, o Encarregado de Protecção de Dados emite parecer quanto à conformidade com o RGPD e demais leis e regulamentos de proteção de dados em vigor. Quando necessário, o</w:t>
      </w:r>
      <w:r w:rsidDel="00000000" w:rsidR="00000000" w:rsidRPr="00000000">
        <w:rPr>
          <w:rtl w:val="0"/>
        </w:rPr>
        <w:t xml:space="preserve"> Segundo Outorgante</w:t>
      </w:r>
      <w:r w:rsidDel="00000000" w:rsidR="00000000" w:rsidRPr="00000000">
        <w:rPr>
          <w:shd w:fill="auto" w:val="clear"/>
          <w:rtl w:val="0"/>
        </w:rPr>
        <w:t xml:space="preserve"> deve i</w:t>
      </w:r>
      <w:r w:rsidDel="00000000" w:rsidR="00000000" w:rsidRPr="00000000">
        <w:rPr>
          <w:shd w:fill="auto" w:val="clear"/>
          <w:rtl w:val="0"/>
        </w:rPr>
        <w:t xml:space="preserve">ncluir uma etapa adicional para revisão por auditores externos, visando validar a conformidade técnica e regulatória antes do início das atividades.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tl w:val="0"/>
        </w:rPr>
        <w:t xml:space="preserve">Comprometer-se a disponibilizar à Primeira Outorgante, ou a qualquer entidade terceira, a consulta dos </w:t>
      </w:r>
      <w:hyperlink w:anchor="_heading=h.lzsj9bjn6uq2">
        <w:r w:rsidDel="00000000" w:rsidR="00000000" w:rsidRPr="00000000">
          <w:rPr>
            <w:color w:val="1155cc"/>
            <w:u w:val="single"/>
            <w:rtl w:val="0"/>
          </w:rPr>
          <w:t xml:space="preserve">catálogos de metadados</w:t>
        </w:r>
      </w:hyperlink>
      <w:r w:rsidDel="00000000" w:rsidR="00000000" w:rsidRPr="00000000">
        <w:rPr>
          <w:rtl w:val="0"/>
        </w:rPr>
        <w:t xml:space="preserve"> dos sistemas de informação usados pela Segunda Outorgante para informar os processos de ETL e de desenvolvimento dos </w:t>
      </w:r>
      <w:r w:rsidDel="00000000" w:rsidR="00000000" w:rsidRPr="00000000">
        <w:rPr>
          <w:i w:val="1"/>
          <w:iCs w:val="1"/>
          <w:rtl w:val="0"/>
        </w:rPr>
        <w:t xml:space="preserve">Study Packages</w:t>
      </w:r>
      <w:r w:rsidDel="00000000" w:rsidR="00000000" w:rsidRPr="00000000">
        <w:rPr>
          <w:rtl w:val="0"/>
        </w:rPr>
        <w:t xml:space="preserve">. A não ser que os catálogos sejam do domínio público, o seu acesso ocorrerá através da conta da Segunda Outorgante na plataforma de versionamento de código </w:t>
      </w:r>
      <w:r w:rsidDel="00000000" w:rsidR="00000000" w:rsidRPr="00000000">
        <w:rPr>
          <w:rtl w:val="0"/>
        </w:rPr>
        <w:t xml:space="preserve">GitHub</w:t>
      </w:r>
      <w:r w:rsidDel="00000000" w:rsidR="00000000" w:rsidRPr="00000000">
        <w:rPr>
          <w:rtl w:val="0"/>
        </w:rPr>
        <w:t xml:space="preserve">. O acesso a esses catálogos será feito por requisição por escrito de autorização de acesso nominal aos profissionais da Primeira Outorgante e da Segunda Outorgante.</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pPr>
      <w:r w:rsidDel="00000000" w:rsidR="00000000" w:rsidRPr="00000000">
        <w:rPr>
          <w:rtl w:val="0"/>
        </w:rPr>
        <w:t xml:space="preserve">Responsabilizar-se pela supervisão, manutenção e suporte dos processos ETL disponibilizados pela Primeira Outorgante, não sendo atribuíveis à Primeira Outorgante quaisquer responsabilidades nesse foro, exceto eventuais correções ou atualizações ao código-fonte dos processos de ETL durante a vigência do presente Memorando de Entendimento.</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pPr>
      <w:r w:rsidDel="00000000" w:rsidR="00000000" w:rsidRPr="00000000">
        <w:rPr>
          <w:highlight w:val="white"/>
          <w:rtl w:val="0"/>
        </w:rPr>
        <w:t xml:space="preserve">Garantir a viabilidade técnica da execução dos </w:t>
      </w:r>
      <w:r w:rsidDel="00000000" w:rsidR="00000000" w:rsidRPr="00000000">
        <w:rPr>
          <w:i w:val="1"/>
          <w:iCs w:val="1"/>
          <w:highlight w:val="white"/>
          <w:rtl w:val="0"/>
        </w:rPr>
        <w:t xml:space="preserve">Study Packages</w:t>
      </w:r>
      <w:r w:rsidDel="00000000" w:rsidR="00000000" w:rsidRPr="00000000">
        <w:rPr>
          <w:highlight w:val="white"/>
          <w:rtl w:val="0"/>
        </w:rPr>
        <w:t xml:space="preserve"> </w:t>
      </w:r>
      <w:r w:rsidDel="00000000" w:rsidR="00000000" w:rsidRPr="00000000">
        <w:rPr>
          <w:rtl w:val="0"/>
        </w:rPr>
        <w:t xml:space="preserve">na infraestrutura local da Segunda Outorgante</w:t>
      </w:r>
      <w:r w:rsidDel="00000000" w:rsidR="00000000" w:rsidRPr="00000000">
        <w:rPr>
          <w:highlight w:val="white"/>
          <w:rtl w:val="0"/>
        </w:rPr>
        <w:t xml:space="preserve">. Assumir a responsabilidade exclusiva do processamento, tratamento e conservação de todos e quaisquer dados pessoais usados no âmbito da parceria que aqui se celebra, adotando as medidas necessárias para cumprir o RGPD, aprovado pelo Regulamento (UE) n.º 679/2016, de 27 de Abril, pela Lei da Proteção de Dados, aprovada pela Lei n.º 58/2019, de 08 de Agosto e, da demais legislação aplicável.</w:t>
      </w:r>
      <w:r w:rsidDel="00000000" w:rsidR="00000000" w:rsidRPr="00000000">
        <w:rPr>
          <w:rtl w:val="0"/>
        </w:rPr>
      </w:r>
    </w:p>
    <w:p w:rsidR="00000000" w:rsidDel="00000000" w:rsidP="00000000" w:rsidRDefault="00000000" w:rsidRPr="00000000" w14:paraId="00000062">
      <w:pPr>
        <w:numPr>
          <w:ilvl w:val="0"/>
          <w:numId w:val="5"/>
        </w:numPr>
        <w:ind w:left="360" w:hanging="360"/>
      </w:pPr>
      <w:r w:rsidDel="00000000" w:rsidR="00000000" w:rsidRPr="00000000">
        <w:rPr>
          <w:highlight w:val="white"/>
          <w:rtl w:val="0"/>
        </w:rPr>
        <w:t xml:space="preserve">Responsabilizar-se pela partilha dos artefactos</w:t>
      </w:r>
      <w:r w:rsidDel="00000000" w:rsidR="00000000" w:rsidRPr="00000000">
        <w:rPr>
          <w:rtl w:val="0"/>
        </w:rPr>
        <w:t xml:space="preserve"> de processamento produzidos como </w:t>
      </w:r>
      <w:r w:rsidDel="00000000" w:rsidR="00000000" w:rsidRPr="00000000">
        <w:rPr>
          <w:highlight w:val="white"/>
          <w:rtl w:val="0"/>
        </w:rPr>
        <w:t xml:space="preserve">resultado da execução dos </w:t>
      </w:r>
      <w:r w:rsidDel="00000000" w:rsidR="00000000" w:rsidRPr="00000000">
        <w:rPr>
          <w:i w:val="1"/>
          <w:iCs w:val="1"/>
          <w:highlight w:val="white"/>
          <w:rtl w:val="0"/>
        </w:rPr>
        <w:t xml:space="preserve">Study Packages</w:t>
      </w:r>
      <w:r w:rsidDel="00000000" w:rsidR="00000000" w:rsidRPr="00000000">
        <w:rPr>
          <w:highlight w:val="white"/>
          <w:rtl w:val="0"/>
        </w:rPr>
        <w:t xml:space="preserve">.</w:t>
      </w:r>
      <w:r w:rsidDel="00000000" w:rsidR="00000000" w:rsidRPr="00000000">
        <w:rPr>
          <w:shd w:fill="auto" w:val="clear"/>
          <w:rtl w:val="0"/>
        </w:rPr>
        <w:t xml:space="preserve"> A forma de disponibilização dos artefactos de processamento com </w:t>
      </w:r>
      <w:hyperlink w:anchor="_heading=h.cafrmkm31h20">
        <w:r w:rsidDel="00000000" w:rsidR="00000000" w:rsidRPr="00000000">
          <w:rPr>
            <w:color w:val="1155cc"/>
            <w:u w:val="single"/>
            <w:shd w:fill="auto" w:val="clear"/>
            <w:rtl w:val="0"/>
          </w:rPr>
          <w:t xml:space="preserve">resultados agregados</w:t>
        </w:r>
      </w:hyperlink>
      <w:r w:rsidDel="00000000" w:rsidR="00000000" w:rsidRPr="00000000">
        <w:rPr>
          <w:shd w:fill="auto" w:val="clear"/>
          <w:rtl w:val="0"/>
        </w:rPr>
        <w:t xml:space="preserve"> anonimizados de forma irreversível,</w:t>
      </w:r>
      <w:r w:rsidDel="00000000" w:rsidR="00000000" w:rsidRPr="00000000">
        <w:rPr>
          <w:shd w:fill="auto" w:val="clear"/>
          <w:rtl w:val="0"/>
        </w:rPr>
        <w:t xml:space="preserve"> será realizada igualmente através da conta do GitHub da Segunda Outorgante. O acesso a esses artefactos do processamento será feito por requisição por escrito de autorização de acesso nominal aos profissionais da Primeira Outorgante e a Segunda Outorgante terá a capacidade de auditar os acessos realizados.</w:t>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ato" w:cs="Lato" w:eastAsia="Lato" w:hAnsi="Lato"/>
          <w:b w:val="1"/>
          <w:bCs w:val="1"/>
          <w:i w:val="0"/>
          <w:iCs w:val="0"/>
          <w:smallCaps w:val="0"/>
          <w:strike w:val="0"/>
          <w:color w:val="000000"/>
          <w:sz w:val="22"/>
          <w:szCs w:val="22"/>
          <w:highlight w:val="white"/>
          <w:u w:val="none"/>
          <w:vertAlign w:val="baseline"/>
        </w:rPr>
      </w:pPr>
      <w:bookmarkStart w:colFirst="0" w:colLast="0" w:name="_heading=h.6xl1gy3ctqnx" w:id="22"/>
      <w:bookmarkEnd w:id="22"/>
      <w:r w:rsidDel="00000000" w:rsidR="00000000" w:rsidRPr="00000000">
        <w:rPr>
          <w:rtl w:val="0"/>
        </w:rPr>
      </w:r>
    </w:p>
    <w:p w:rsidR="00000000" w:rsidDel="00000000" w:rsidP="00000000" w:rsidRDefault="00000000" w:rsidRPr="00000000" w14:paraId="00000064">
      <w:pPr>
        <w:pStyle w:val="Heading4"/>
        <w:spacing w:after="0" w:lineRule="auto"/>
        <w:jc w:val="center"/>
        <w:rPr>
          <w:vertAlign w:val="baseline"/>
        </w:rPr>
      </w:pPr>
      <w:bookmarkStart w:colFirst="0" w:colLast="0" w:name="_heading=h.wryjm0a6d1p6" w:id="23"/>
      <w:bookmarkEnd w:id="23"/>
      <w:r w:rsidDel="00000000" w:rsidR="00000000" w:rsidRPr="00000000">
        <w:rPr>
          <w:vertAlign w:val="baseline"/>
          <w:rtl w:val="0"/>
        </w:rPr>
        <w:t xml:space="preserve">Cláusula Sexta</w:t>
      </w:r>
    </w:p>
    <w:p w:rsidR="00000000" w:rsidDel="00000000" w:rsidP="00000000" w:rsidRDefault="00000000" w:rsidRPr="00000000" w14:paraId="00000065">
      <w:pPr>
        <w:pStyle w:val="Heading4"/>
        <w:spacing w:after="0" w:lineRule="auto"/>
        <w:jc w:val="center"/>
        <w:rPr>
          <w:vertAlign w:val="baseline"/>
        </w:rPr>
      </w:pPr>
      <w:bookmarkStart w:colFirst="0" w:colLast="0" w:name="_heading=h.2riv0lmpa8j8" w:id="24"/>
      <w:bookmarkEnd w:id="24"/>
      <w:r w:rsidDel="00000000" w:rsidR="00000000" w:rsidRPr="00000000">
        <w:rPr>
          <w:vertAlign w:val="baseline"/>
          <w:rtl w:val="0"/>
        </w:rPr>
        <w:t xml:space="preserve">(Autorização de Iniciativas)</w:t>
      </w:r>
    </w:p>
    <w:p w:rsidR="00000000" w:rsidDel="00000000" w:rsidP="00000000" w:rsidRDefault="00000000" w:rsidRPr="00000000" w14:paraId="00000066">
      <w:pPr>
        <w:rPr/>
      </w:pPr>
      <w:r w:rsidDel="00000000" w:rsidR="00000000" w:rsidRPr="00000000">
        <w:rPr>
          <w:highlight w:val="white"/>
          <w:rtl w:val="0"/>
        </w:rPr>
        <w:t xml:space="preserve">Os Outorgantes concordam que é imperativa a autorização formal da Segunda Outorgante para quaisquer atividades ou iniciativas concretas que requeiram a utilização de quaisquer capacidades criadas no âmbito deste Memorando de Entendimento. Tais autorizações serão requeridas conforme regulado pelos procedimentos em vigor à data de cada pedido de autorização, que poderão requerer pareceres adicionais àqueles identificados na Cláusula de Compromisso da Segunda Outorgant</w:t>
      </w:r>
      <w:r w:rsidDel="00000000" w:rsidR="00000000" w:rsidRPr="00000000">
        <w:rPr>
          <w:rtl w:val="0"/>
        </w:rPr>
        <w:t xml:space="preserve">e, nomeadamente da necessidade parecer de uma Comissão de Ética para a Saúde (n.º</w:t>
      </w:r>
      <w:r w:rsidDel="00000000" w:rsidR="00000000" w:rsidRPr="00000000">
        <w:rPr>
          <w:rtl w:val="0"/>
        </w:rPr>
        <w:t xml:space="preserve"> </w:t>
      </w:r>
      <w:r w:rsidDel="00000000" w:rsidR="00000000" w:rsidRPr="00000000">
        <w:rPr>
          <w:rtl w:val="0"/>
        </w:rPr>
        <w:t xml:space="preserve">3 da Cláusula Quinta) e do Encarregado de Protecção de Dados (n.º 4 da Cláusula Quinta). Serão se</w:t>
      </w:r>
      <w:r w:rsidDel="00000000" w:rsidR="00000000" w:rsidRPr="00000000">
        <w:rPr>
          <w:highlight w:val="white"/>
          <w:rtl w:val="0"/>
        </w:rPr>
        <w:t xml:space="preserve">mpre seguidos os referidos procedimentos, sejam essas iniciativas propostas pela Primeira ou pela Segunda Outorgante, ou por qualquer outra entidade terceira.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spacing w:after="0" w:lineRule="auto"/>
        <w:jc w:val="center"/>
        <w:rPr>
          <w:vertAlign w:val="baseline"/>
        </w:rPr>
      </w:pPr>
      <w:bookmarkStart w:colFirst="0" w:colLast="0" w:name="_heading=h.bpherdyzefcx" w:id="25"/>
      <w:bookmarkEnd w:id="25"/>
      <w:r w:rsidDel="00000000" w:rsidR="00000000" w:rsidRPr="00000000">
        <w:rPr>
          <w:vertAlign w:val="baseline"/>
          <w:rtl w:val="0"/>
        </w:rPr>
        <w:t xml:space="preserve">Cláusula Sétima</w:t>
      </w:r>
    </w:p>
    <w:p w:rsidR="00000000" w:rsidDel="00000000" w:rsidP="00000000" w:rsidRDefault="00000000" w:rsidRPr="00000000" w14:paraId="00000069">
      <w:pPr>
        <w:pStyle w:val="Heading4"/>
        <w:spacing w:after="0" w:lineRule="auto"/>
        <w:jc w:val="center"/>
        <w:rPr>
          <w:vertAlign w:val="baseline"/>
        </w:rPr>
      </w:pPr>
      <w:bookmarkStart w:colFirst="0" w:colLast="0" w:name="_heading=h.r1jnjhye3j7g" w:id="26"/>
      <w:bookmarkEnd w:id="26"/>
      <w:r w:rsidDel="00000000" w:rsidR="00000000" w:rsidRPr="00000000">
        <w:rPr>
          <w:vertAlign w:val="baseline"/>
          <w:rtl w:val="0"/>
        </w:rPr>
        <w:t xml:space="preserve">(Compromissos de Ambos)</w:t>
      </w:r>
    </w:p>
    <w:p w:rsidR="00000000" w:rsidDel="00000000" w:rsidP="00000000" w:rsidRDefault="00000000" w:rsidRPr="00000000" w14:paraId="0000006A">
      <w:pPr>
        <w:rPr>
          <w:highlight w:val="yellow"/>
        </w:rPr>
      </w:pPr>
      <w:r w:rsidDel="00000000" w:rsidR="00000000" w:rsidRPr="00000000">
        <w:rPr>
          <w:highlight w:val="white"/>
          <w:rtl w:val="0"/>
        </w:rPr>
        <w:t xml:space="preserve">Os Outorgantes concordam em convidar-se mutuamente para iniciativas de I&amp;D com recurso a registos eletrónicos de saúde, respeitando a independência científica de ambos, os procedimentos de autorização de ambos e a respetiva liberdade em recusar a participação em quaisquer iniciativas, por imperativos de natureza ética, jurídica ou deontológica.</w:t>
      </w: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Lato" w:cs="Lato" w:eastAsia="Lato" w:hAnsi="Lato"/>
          <w:b w:val="1"/>
          <w:bCs w:val="1"/>
          <w:i w:val="0"/>
          <w:iCs w:val="0"/>
          <w:smallCaps w:val="0"/>
          <w:strike w:val="0"/>
          <w:color w:val="000000"/>
          <w:sz w:val="22"/>
          <w:szCs w:val="22"/>
          <w:highlight w:val="white"/>
          <w:u w:val="none"/>
          <w:vertAlign w:val="baseline"/>
        </w:rPr>
      </w:pPr>
      <w:bookmarkStart w:colFirst="0" w:colLast="0" w:name="_heading=h.vyl9z9abn82m" w:id="27"/>
      <w:bookmarkEnd w:id="27"/>
      <w:r w:rsidDel="00000000" w:rsidR="00000000" w:rsidRPr="00000000">
        <w:rPr>
          <w:rtl w:val="0"/>
        </w:rPr>
      </w:r>
    </w:p>
    <w:p w:rsidR="00000000" w:rsidDel="00000000" w:rsidP="00000000" w:rsidRDefault="00000000" w:rsidRPr="00000000" w14:paraId="0000006C">
      <w:pPr>
        <w:pStyle w:val="Heading4"/>
        <w:spacing w:after="0" w:lineRule="auto"/>
        <w:jc w:val="center"/>
        <w:rPr>
          <w:vertAlign w:val="baseline"/>
        </w:rPr>
      </w:pPr>
      <w:bookmarkStart w:colFirst="0" w:colLast="0" w:name="_heading=h.a2h2nrkjoe4b" w:id="28"/>
      <w:bookmarkEnd w:id="28"/>
      <w:r w:rsidDel="00000000" w:rsidR="00000000" w:rsidRPr="00000000">
        <w:rPr>
          <w:vertAlign w:val="baseline"/>
          <w:rtl w:val="0"/>
        </w:rPr>
        <w:t xml:space="preserve">Cláusula Oitava</w:t>
      </w:r>
    </w:p>
    <w:p w:rsidR="00000000" w:rsidDel="00000000" w:rsidP="00000000" w:rsidRDefault="00000000" w:rsidRPr="00000000" w14:paraId="0000006D">
      <w:pPr>
        <w:pStyle w:val="Heading4"/>
        <w:spacing w:after="0" w:lineRule="auto"/>
        <w:jc w:val="center"/>
        <w:rPr>
          <w:vertAlign w:val="baseline"/>
        </w:rPr>
      </w:pPr>
      <w:bookmarkStart w:colFirst="0" w:colLast="0" w:name="_heading=h.dv55tavcp55l" w:id="29"/>
      <w:bookmarkEnd w:id="29"/>
      <w:r w:rsidDel="00000000" w:rsidR="00000000" w:rsidRPr="00000000">
        <w:rPr>
          <w:vertAlign w:val="baseline"/>
          <w:rtl w:val="0"/>
        </w:rPr>
        <w:t xml:space="preserve">(Vigência, Renovação e Cessação)</w:t>
      </w:r>
    </w:p>
    <w:p w:rsidR="00000000" w:rsidDel="00000000" w:rsidP="00000000" w:rsidRDefault="00000000" w:rsidRPr="00000000" w14:paraId="0000006E">
      <w:pPr>
        <w:numPr>
          <w:ilvl w:val="0"/>
          <w:numId w:val="3"/>
        </w:numPr>
        <w:ind w:left="360" w:hanging="360"/>
        <w:rPr>
          <w:highlight w:val="white"/>
        </w:rPr>
      </w:pPr>
      <w:r w:rsidDel="00000000" w:rsidR="00000000" w:rsidRPr="00000000">
        <w:rPr>
          <w:highlight w:val="white"/>
          <w:rtl w:val="0"/>
        </w:rPr>
        <w:t xml:space="preserve">O presente Memorando de Entendimento é válido por 1 (um) ano, entrando em vigor na data da respetiva assinatura pelos Outorgantes.</w:t>
      </w:r>
    </w:p>
    <w:p w:rsidR="00000000" w:rsidDel="00000000" w:rsidP="00000000" w:rsidRDefault="00000000" w:rsidRPr="00000000" w14:paraId="0000006F">
      <w:pPr>
        <w:numPr>
          <w:ilvl w:val="0"/>
          <w:numId w:val="3"/>
        </w:numPr>
        <w:ind w:left="360" w:hanging="360"/>
        <w:rPr>
          <w:highlight w:val="white"/>
        </w:rPr>
      </w:pPr>
      <w:r w:rsidDel="00000000" w:rsidR="00000000" w:rsidRPr="00000000">
        <w:rPr>
          <w:highlight w:val="white"/>
          <w:rtl w:val="0"/>
        </w:rPr>
        <w:t xml:space="preserve">O Memorando de Entendimento renova-se, por períodos iguais e sucessivos, se não for denunciado, ainda que unilateralmente e por carta registada com aviso de receção, por qualquer um dos Outorgantes, até 30 (trinta) dias antes da verificação do seu termo, sem prejuízo de atividades programadas, exceto em situações de calamidade.</w:t>
      </w:r>
    </w:p>
    <w:p w:rsidR="00000000" w:rsidDel="00000000" w:rsidP="00000000" w:rsidRDefault="00000000" w:rsidRPr="00000000" w14:paraId="00000070">
      <w:pPr>
        <w:numPr>
          <w:ilvl w:val="0"/>
          <w:numId w:val="3"/>
        </w:numPr>
        <w:ind w:left="360" w:hanging="360"/>
        <w:rPr>
          <w:shd w:fill="auto" w:val="clear"/>
        </w:rPr>
      </w:pPr>
      <w:r w:rsidDel="00000000" w:rsidR="00000000" w:rsidRPr="00000000">
        <w:rPr>
          <w:shd w:fill="auto" w:val="clear"/>
          <w:rtl w:val="0"/>
        </w:rPr>
        <w:t xml:space="preserve">As partes comprometem-se a incluir, no final de cada período de vigência, um relatório consolidado de co</w:t>
      </w:r>
      <w:r w:rsidDel="00000000" w:rsidR="00000000" w:rsidRPr="00000000">
        <w:rPr>
          <w:shd w:fill="auto" w:val="clear"/>
          <w:rtl w:val="0"/>
        </w:rPr>
        <w:t xml:space="preserve">nformidade ética, regulatória e técnica, que será anexado ao processo de renovação.</w:t>
      </w:r>
    </w:p>
    <w:p w:rsidR="00000000" w:rsidDel="00000000" w:rsidP="00000000" w:rsidRDefault="00000000" w:rsidRPr="00000000" w14:paraId="00000071">
      <w:pPr>
        <w:numPr>
          <w:ilvl w:val="0"/>
          <w:numId w:val="3"/>
        </w:numPr>
        <w:ind w:left="360" w:hanging="360"/>
        <w:rPr/>
      </w:pPr>
      <w:r w:rsidDel="00000000" w:rsidR="00000000" w:rsidRPr="00000000">
        <w:rPr>
          <w:rtl w:val="0"/>
        </w:rPr>
        <w:t xml:space="preserve">Caso o presente Memorando de Entendimento seja denunciado tal como exposto no n.º 2 da presente Cláusula, é estabelecido um período mínimo de transição de 90 (noventa) dias, a fim de assegurar a conclusão de quaisquer iniciativas I&amp;D em curso no âmbito deste Memorando de Entendimento.</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4"/>
        <w:spacing w:after="0" w:lineRule="auto"/>
        <w:jc w:val="center"/>
        <w:rPr>
          <w:vertAlign w:val="baseline"/>
        </w:rPr>
      </w:pPr>
      <w:bookmarkStart w:colFirst="0" w:colLast="0" w:name="_heading=h.b05ma5o6nxgp" w:id="30"/>
      <w:bookmarkEnd w:id="30"/>
      <w:r w:rsidDel="00000000" w:rsidR="00000000" w:rsidRPr="00000000">
        <w:rPr>
          <w:vertAlign w:val="baseline"/>
          <w:rtl w:val="0"/>
        </w:rPr>
        <w:t xml:space="preserve">Cláusula Nona</w:t>
      </w:r>
    </w:p>
    <w:p w:rsidR="00000000" w:rsidDel="00000000" w:rsidP="00000000" w:rsidRDefault="00000000" w:rsidRPr="00000000" w14:paraId="00000073">
      <w:pPr>
        <w:pStyle w:val="Heading4"/>
        <w:spacing w:after="0" w:lineRule="auto"/>
        <w:jc w:val="center"/>
        <w:rPr>
          <w:vertAlign w:val="baseline"/>
        </w:rPr>
      </w:pPr>
      <w:bookmarkStart w:colFirst="0" w:colLast="0" w:name="_heading=h.ptoc7a4h2qdv" w:id="31"/>
      <w:bookmarkEnd w:id="31"/>
      <w:r w:rsidDel="00000000" w:rsidR="00000000" w:rsidRPr="00000000">
        <w:rPr>
          <w:vertAlign w:val="baseline"/>
          <w:rtl w:val="0"/>
        </w:rPr>
        <w:t xml:space="preserve">(Comunicações)</w:t>
      </w:r>
    </w:p>
    <w:p w:rsidR="00000000" w:rsidDel="00000000" w:rsidP="00000000" w:rsidRDefault="00000000" w:rsidRPr="00000000" w14:paraId="00000074">
      <w:pPr>
        <w:numPr>
          <w:ilvl w:val="0"/>
          <w:numId w:val="4"/>
        </w:numPr>
        <w:ind w:left="360" w:hanging="360"/>
        <w:rPr>
          <w:shd w:fill="auto" w:val="clear"/>
        </w:rPr>
      </w:pPr>
      <w:r w:rsidDel="00000000" w:rsidR="00000000" w:rsidRPr="00000000">
        <w:rPr>
          <w:shd w:fill="auto" w:val="clear"/>
          <w:rtl w:val="0"/>
        </w:rPr>
        <w:t xml:space="preserve">As comunicações realizadas no âmbito do presente Memorando devem observar critérios de rastreabilidade, sendo guardadas por ambas as partes por um período mínimo de 5 anos, para auditorias futuras.</w:t>
      </w:r>
      <w:r w:rsidDel="00000000" w:rsidR="00000000" w:rsidRPr="00000000">
        <w:rPr>
          <w:rtl w:val="0"/>
        </w:rPr>
      </w:r>
    </w:p>
    <w:p w:rsidR="00000000" w:rsidDel="00000000" w:rsidP="00000000" w:rsidRDefault="00000000" w:rsidRPr="00000000" w14:paraId="00000075">
      <w:pPr>
        <w:numPr>
          <w:ilvl w:val="0"/>
          <w:numId w:val="4"/>
        </w:numPr>
        <w:ind w:left="360" w:hanging="360"/>
        <w:rPr>
          <w:highlight w:val="white"/>
        </w:rPr>
      </w:pPr>
      <w:r w:rsidDel="00000000" w:rsidR="00000000" w:rsidRPr="00000000">
        <w:rPr>
          <w:highlight w:val="white"/>
          <w:rtl w:val="0"/>
        </w:rPr>
        <w:t xml:space="preserve">As notificações ou comunicações escritas que se realizam ao abrigo do presente Memorando de Entendimento são enviadas por correio registado, e, quando exigido, com aviso de receção, por e-mail ou entregues em mão, nos seguintes termos:</w:t>
      </w:r>
    </w:p>
    <w:p w:rsidR="00000000" w:rsidDel="00000000" w:rsidP="00000000" w:rsidRDefault="00000000" w:rsidRPr="00000000" w14:paraId="00000076">
      <w:pPr>
        <w:ind w:left="0" w:firstLine="0"/>
        <w:rPr/>
      </w:pPr>
      <w:r w:rsidDel="00000000" w:rsidR="00000000" w:rsidRPr="00000000">
        <w:rPr>
          <w:rtl w:val="0"/>
        </w:rPr>
      </w:r>
    </w:p>
    <w:sdt>
      <w:sdtPr>
        <w:lock w:val="contentLocked"/>
        <w:id w:val="1633510184"/>
        <w:tag w:val="goog_rdk_0"/>
      </w:sdtPr>
      <w:sdtContent>
        <w:tbl>
          <w:tblPr>
            <w:tblStyle w:val="Table2"/>
            <w:tblW w:w="865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155"/>
            <w:tblGridChange w:id="0">
              <w:tblGrid>
                <w:gridCol w:w="4500"/>
                <w:gridCol w:w="4155"/>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jc w:val="left"/>
                  <w:rPr>
                    <w:b w:val="1"/>
                    <w:bCs w:val="1"/>
                  </w:rPr>
                </w:pPr>
                <w:r w:rsidDel="00000000" w:rsidR="00000000" w:rsidRPr="00000000">
                  <w:rPr>
                    <w:b w:val="1"/>
                    <w:bCs w:val="1"/>
                    <w:rtl w:val="0"/>
                  </w:rPr>
                  <w:t xml:space="preserve">Primeira Outorgante</w:t>
                </w:r>
              </w:p>
              <w:p w:rsidR="00000000" w:rsidDel="00000000" w:rsidP="00000000" w:rsidRDefault="00000000" w:rsidRPr="00000000" w14:paraId="00000078">
                <w:pPr>
                  <w:spacing w:after="0" w:line="276" w:lineRule="auto"/>
                  <w:jc w:val="left"/>
                  <w:rPr>
                    <w:b w:val="1"/>
                    <w:bCs w:val="1"/>
                  </w:rPr>
                </w:pPr>
                <w:r w:rsidDel="00000000" w:rsidR="00000000" w:rsidRPr="00000000">
                  <w:rPr>
                    <w:rtl w:val="0"/>
                  </w:rPr>
                </w:r>
              </w:p>
              <w:p w:rsidR="00000000" w:rsidDel="00000000" w:rsidP="00000000" w:rsidRDefault="00000000" w:rsidRPr="00000000" w14:paraId="00000079">
                <w:pPr>
                  <w:spacing w:after="0" w:line="276" w:lineRule="auto"/>
                  <w:jc w:val="left"/>
                  <w:rPr>
                    <w:b w:val="1"/>
                    <w:bCs w:val="1"/>
                  </w:rPr>
                </w:pPr>
                <w:r w:rsidDel="00000000" w:rsidR="00000000" w:rsidRPr="00000000">
                  <w:rPr>
                    <w:b w:val="1"/>
                    <w:bCs w:val="1"/>
                    <w:rtl w:val="0"/>
                  </w:rPr>
                  <w:t xml:space="preserve">Nome</w:t>
                </w:r>
              </w:p>
              <w:p w:rsidR="00000000" w:rsidDel="00000000" w:rsidP="00000000" w:rsidRDefault="00000000" w:rsidRPr="00000000" w14:paraId="0000007A">
                <w:pPr>
                  <w:spacing w:after="0" w:line="276" w:lineRule="auto"/>
                  <w:jc w:val="left"/>
                  <w:rPr/>
                </w:pPr>
                <w:r w:rsidDel="00000000" w:rsidR="00000000" w:rsidRPr="00000000">
                  <w:rPr>
                    <w:rtl w:val="0"/>
                  </w:rPr>
                  <w:t xml:space="preserve">MTG Research and Development Lab</w:t>
                </w:r>
              </w:p>
              <w:p w:rsidR="00000000" w:rsidDel="00000000" w:rsidP="00000000" w:rsidRDefault="00000000" w:rsidRPr="00000000" w14:paraId="0000007B">
                <w:pPr>
                  <w:spacing w:after="0" w:line="276" w:lineRule="auto"/>
                  <w:jc w:val="left"/>
                  <w:rPr>
                    <w:b w:val="1"/>
                    <w:bCs w:val="1"/>
                  </w:rPr>
                </w:pPr>
                <w:r w:rsidDel="00000000" w:rsidR="00000000" w:rsidRPr="00000000">
                  <w:rPr>
                    <w:rtl w:val="0"/>
                  </w:rPr>
                </w:r>
              </w:p>
              <w:p w:rsidR="00000000" w:rsidDel="00000000" w:rsidP="00000000" w:rsidRDefault="00000000" w:rsidRPr="00000000" w14:paraId="0000007C">
                <w:pPr>
                  <w:spacing w:after="0" w:line="276" w:lineRule="auto"/>
                  <w:jc w:val="left"/>
                  <w:rPr/>
                </w:pPr>
                <w:r w:rsidDel="00000000" w:rsidR="00000000" w:rsidRPr="00000000">
                  <w:rPr>
                    <w:b w:val="1"/>
                    <w:bCs w:val="1"/>
                    <w:rtl w:val="0"/>
                  </w:rPr>
                  <w:t xml:space="preserve">A/C de</w:t>
                </w:r>
                <w:r w:rsidDel="00000000" w:rsidR="00000000" w:rsidRPr="00000000">
                  <w:rPr>
                    <w:rtl w:val="0"/>
                  </w:rPr>
                </w:r>
              </w:p>
              <w:p w:rsidR="00000000" w:rsidDel="00000000" w:rsidP="00000000" w:rsidRDefault="00000000" w:rsidRPr="00000000" w14:paraId="0000007D">
                <w:pPr>
                  <w:spacing w:after="0" w:line="276" w:lineRule="auto"/>
                  <w:jc w:val="left"/>
                  <w:rPr/>
                </w:pPr>
                <w:r w:rsidDel="00000000" w:rsidR="00000000" w:rsidRPr="00000000">
                  <w:rPr>
                    <w:rtl w:val="0"/>
                  </w:rPr>
                  <w:t xml:space="preserve">Raquel Moreira</w:t>
                </w:r>
              </w:p>
              <w:p w:rsidR="00000000" w:rsidDel="00000000" w:rsidP="00000000" w:rsidRDefault="00000000" w:rsidRPr="00000000" w14:paraId="0000007E">
                <w:pPr>
                  <w:spacing w:after="0" w:line="276" w:lineRule="auto"/>
                  <w:jc w:val="left"/>
                  <w:rPr>
                    <w:b w:val="1"/>
                    <w:bCs w:val="1"/>
                  </w:rPr>
                </w:pPr>
                <w:r w:rsidDel="00000000" w:rsidR="00000000" w:rsidRPr="00000000">
                  <w:rPr>
                    <w:rtl w:val="0"/>
                  </w:rPr>
                </w:r>
              </w:p>
              <w:p w:rsidR="00000000" w:rsidDel="00000000" w:rsidP="00000000" w:rsidRDefault="00000000" w:rsidRPr="00000000" w14:paraId="0000007F">
                <w:pPr>
                  <w:spacing w:after="0" w:line="276" w:lineRule="auto"/>
                  <w:jc w:val="left"/>
                  <w:rPr/>
                </w:pPr>
                <w:r w:rsidDel="00000000" w:rsidR="00000000" w:rsidRPr="00000000">
                  <w:rPr>
                    <w:b w:val="1"/>
                    <w:bCs w:val="1"/>
                    <w:rtl w:val="0"/>
                  </w:rPr>
                  <w:t xml:space="preserve">Morada</w:t>
                </w:r>
                <w:r w:rsidDel="00000000" w:rsidR="00000000" w:rsidRPr="00000000">
                  <w:rPr>
                    <w:rtl w:val="0"/>
                  </w:rPr>
                </w:r>
              </w:p>
              <w:p w:rsidR="00000000" w:rsidDel="00000000" w:rsidP="00000000" w:rsidRDefault="00000000" w:rsidRPr="00000000" w14:paraId="00000080">
                <w:pPr>
                  <w:spacing w:after="0" w:line="276" w:lineRule="auto"/>
                  <w:jc w:val="left"/>
                  <w:rPr/>
                </w:pPr>
                <w:r w:rsidDel="00000000" w:rsidR="00000000" w:rsidRPr="00000000">
                  <w:rPr>
                    <w:rtl w:val="0"/>
                  </w:rPr>
                  <w:t xml:space="preserve">Rua Professor Joaquim Bastos</w:t>
                </w:r>
              </w:p>
              <w:p w:rsidR="00000000" w:rsidDel="00000000" w:rsidP="00000000" w:rsidRDefault="00000000" w:rsidRPr="00000000" w14:paraId="00000081">
                <w:pPr>
                  <w:spacing w:after="0" w:line="276" w:lineRule="auto"/>
                  <w:jc w:val="left"/>
                  <w:rPr/>
                </w:pPr>
                <w:r w:rsidDel="00000000" w:rsidR="00000000" w:rsidRPr="00000000">
                  <w:rPr>
                    <w:rtl w:val="0"/>
                  </w:rPr>
                  <w:t xml:space="preserve">102 2A 4200-604 Porto</w:t>
                </w:r>
              </w:p>
              <w:p w:rsidR="00000000" w:rsidDel="00000000" w:rsidP="00000000" w:rsidRDefault="00000000" w:rsidRPr="00000000" w14:paraId="00000082">
                <w:pPr>
                  <w:spacing w:after="0" w:line="276" w:lineRule="auto"/>
                  <w:jc w:val="left"/>
                  <w:rPr/>
                </w:pPr>
                <w:r w:rsidDel="00000000" w:rsidR="00000000" w:rsidRPr="00000000">
                  <w:rPr>
                    <w:rtl w:val="0"/>
                  </w:rPr>
                  <w:t xml:space="preserve">Portugal</w:t>
                </w:r>
              </w:p>
              <w:p w:rsidR="00000000" w:rsidDel="00000000" w:rsidP="00000000" w:rsidRDefault="00000000" w:rsidRPr="00000000" w14:paraId="00000083">
                <w:pPr>
                  <w:spacing w:after="0" w:line="276" w:lineRule="auto"/>
                  <w:jc w:val="left"/>
                  <w:rPr>
                    <w:b w:val="1"/>
                    <w:bCs w:val="1"/>
                  </w:rPr>
                </w:pPr>
                <w:r w:rsidDel="00000000" w:rsidR="00000000" w:rsidRPr="00000000">
                  <w:rPr>
                    <w:rtl w:val="0"/>
                  </w:rPr>
                </w:r>
              </w:p>
              <w:p w:rsidR="00000000" w:rsidDel="00000000" w:rsidP="00000000" w:rsidRDefault="00000000" w:rsidRPr="00000000" w14:paraId="00000084">
                <w:pPr>
                  <w:spacing w:after="0" w:line="276" w:lineRule="auto"/>
                  <w:jc w:val="left"/>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85">
                <w:pPr>
                  <w:spacing w:after="0" w:line="276" w:lineRule="auto"/>
                  <w:jc w:val="left"/>
                  <w:rPr/>
                </w:pPr>
                <w:r w:rsidDel="00000000" w:rsidR="00000000" w:rsidRPr="00000000">
                  <w:rPr>
                    <w:rtl w:val="0"/>
                  </w:rPr>
                  <w:t xml:space="preserve">corporate@mtg.pt</w:t>
                </w:r>
              </w:p>
              <w:p w:rsidR="00000000" w:rsidDel="00000000" w:rsidP="00000000" w:rsidRDefault="00000000" w:rsidRPr="00000000" w14:paraId="00000086">
                <w:pPr>
                  <w:spacing w:after="0" w:line="276" w:lineRule="auto"/>
                  <w:jc w:val="left"/>
                  <w:rPr>
                    <w:b w:val="1"/>
                    <w:bCs w:val="1"/>
                  </w:rPr>
                </w:pPr>
                <w:r w:rsidDel="00000000" w:rsidR="00000000" w:rsidRPr="00000000">
                  <w:rPr>
                    <w:rtl w:val="0"/>
                  </w:rPr>
                </w:r>
              </w:p>
              <w:p w:rsidR="00000000" w:rsidDel="00000000" w:rsidP="00000000" w:rsidRDefault="00000000" w:rsidRPr="00000000" w14:paraId="00000087">
                <w:pPr>
                  <w:spacing w:after="0" w:line="276" w:lineRule="auto"/>
                  <w:jc w:val="left"/>
                  <w:rPr>
                    <w:b w:val="1"/>
                    <w:bCs w:val="1"/>
                  </w:rPr>
                </w:pPr>
                <w:r w:rsidDel="00000000" w:rsidR="00000000" w:rsidRPr="00000000">
                  <w:rPr>
                    <w:b w:val="1"/>
                    <w:bCs w:val="1"/>
                    <w:rtl w:val="0"/>
                  </w:rPr>
                  <w:t xml:space="preserve">Telefone</w:t>
                </w:r>
              </w:p>
              <w:p w:rsidR="00000000" w:rsidDel="00000000" w:rsidP="00000000" w:rsidRDefault="00000000" w:rsidRPr="00000000" w14:paraId="00000088">
                <w:pPr>
                  <w:spacing w:after="0" w:line="276" w:lineRule="auto"/>
                  <w:jc w:val="left"/>
                  <w:rPr/>
                </w:pPr>
                <w:r w:rsidDel="00000000" w:rsidR="00000000" w:rsidRPr="00000000">
                  <w:rPr>
                    <w:rtl w:val="0"/>
                  </w:rPr>
                  <w:t xml:space="preserve">+351 911 729 305</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76" w:lineRule="auto"/>
                  <w:jc w:val="left"/>
                  <w:rPr>
                    <w:b w:val="1"/>
                    <w:bCs w:val="1"/>
                  </w:rPr>
                </w:pPr>
                <w:r w:rsidDel="00000000" w:rsidR="00000000" w:rsidRPr="00000000">
                  <w:rPr>
                    <w:b w:val="1"/>
                    <w:bCs w:val="1"/>
                    <w:rtl w:val="0"/>
                  </w:rPr>
                  <w:t xml:space="preserve">Segunda Outorgante</w:t>
                </w:r>
              </w:p>
              <w:p w:rsidR="00000000" w:rsidDel="00000000" w:rsidP="00000000" w:rsidRDefault="00000000" w:rsidRPr="00000000" w14:paraId="0000008A">
                <w:pPr>
                  <w:spacing w:after="0" w:line="276" w:lineRule="auto"/>
                  <w:jc w:val="left"/>
                  <w:rPr>
                    <w:b w:val="1"/>
                    <w:bCs w:val="1"/>
                  </w:rPr>
                </w:pPr>
                <w:r w:rsidDel="00000000" w:rsidR="00000000" w:rsidRPr="00000000">
                  <w:rPr>
                    <w:rtl w:val="0"/>
                  </w:rPr>
                </w:r>
              </w:p>
              <w:p w:rsidR="00000000" w:rsidDel="00000000" w:rsidP="00000000" w:rsidRDefault="00000000" w:rsidRPr="00000000" w14:paraId="0000008B">
                <w:pPr>
                  <w:spacing w:after="0" w:line="276" w:lineRule="auto"/>
                  <w:jc w:val="left"/>
                  <w:rPr>
                    <w:b w:val="1"/>
                    <w:bCs w:val="1"/>
                  </w:rPr>
                </w:pPr>
                <w:r w:rsidDel="00000000" w:rsidR="00000000" w:rsidRPr="00000000">
                  <w:rPr>
                    <w:b w:val="1"/>
                    <w:bCs w:val="1"/>
                    <w:rtl w:val="0"/>
                  </w:rPr>
                  <w:t xml:space="preserve">Nome</w:t>
                </w:r>
              </w:p>
              <w:p w:rsidR="00000000" w:rsidDel="00000000" w:rsidP="00000000" w:rsidRDefault="00000000" w:rsidRPr="00000000" w14:paraId="0000008C">
                <w:pPr>
                  <w:spacing w:after="0" w:line="276" w:lineRule="auto"/>
                  <w:jc w:val="left"/>
                  <w:rPr>
                    <w:b w:val="1"/>
                    <w:bCs w:val="1"/>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8D">
                <w:pPr>
                  <w:spacing w:after="0" w:line="276" w:lineRule="auto"/>
                  <w:jc w:val="left"/>
                  <w:rPr>
                    <w:b w:val="1"/>
                    <w:bCs w:val="1"/>
                  </w:rPr>
                </w:pPr>
                <w:r w:rsidDel="00000000" w:rsidR="00000000" w:rsidRPr="00000000">
                  <w:rPr>
                    <w:rtl w:val="0"/>
                  </w:rPr>
                </w:r>
              </w:p>
              <w:p w:rsidR="00000000" w:rsidDel="00000000" w:rsidP="00000000" w:rsidRDefault="00000000" w:rsidRPr="00000000" w14:paraId="0000008E">
                <w:pPr>
                  <w:spacing w:after="0" w:line="276" w:lineRule="auto"/>
                  <w:jc w:val="left"/>
                  <w:rPr/>
                </w:pPr>
                <w:r w:rsidDel="00000000" w:rsidR="00000000" w:rsidRPr="00000000">
                  <w:rPr>
                    <w:b w:val="1"/>
                    <w:bCs w:val="1"/>
                    <w:rtl w:val="0"/>
                  </w:rPr>
                  <w:t xml:space="preserve">A/C de</w:t>
                </w:r>
                <w:r w:rsidDel="00000000" w:rsidR="00000000" w:rsidRPr="00000000">
                  <w:rPr>
                    <w:rtl w:val="0"/>
                  </w:rPr>
                </w:r>
              </w:p>
              <w:p w:rsidR="00000000" w:rsidDel="00000000" w:rsidP="00000000" w:rsidRDefault="00000000" w:rsidRPr="00000000" w14:paraId="0000008F">
                <w:pPr>
                  <w:spacing w:after="0" w:line="276" w:lineRule="auto"/>
                  <w:jc w:val="left"/>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90">
                <w:pPr>
                  <w:spacing w:after="0" w:line="276" w:lineRule="auto"/>
                  <w:jc w:val="left"/>
                  <w:rPr>
                    <w:b w:val="1"/>
                    <w:bCs w:val="1"/>
                  </w:rPr>
                </w:pPr>
                <w:r w:rsidDel="00000000" w:rsidR="00000000" w:rsidRPr="00000000">
                  <w:rPr>
                    <w:rtl w:val="0"/>
                  </w:rPr>
                </w:r>
              </w:p>
              <w:p w:rsidR="00000000" w:rsidDel="00000000" w:rsidP="00000000" w:rsidRDefault="00000000" w:rsidRPr="00000000" w14:paraId="00000091">
                <w:pPr>
                  <w:spacing w:after="0" w:line="276" w:lineRule="auto"/>
                  <w:jc w:val="left"/>
                  <w:rPr/>
                </w:pPr>
                <w:r w:rsidDel="00000000" w:rsidR="00000000" w:rsidRPr="00000000">
                  <w:rPr>
                    <w:b w:val="1"/>
                    <w:bCs w:val="1"/>
                    <w:rtl w:val="0"/>
                  </w:rPr>
                  <w:t xml:space="preserve">Morada</w:t>
                </w:r>
                <w:r w:rsidDel="00000000" w:rsidR="00000000" w:rsidRPr="00000000">
                  <w:rPr>
                    <w:rtl w:val="0"/>
                  </w:rPr>
                </w:r>
              </w:p>
              <w:p w:rsidR="00000000" w:rsidDel="00000000" w:rsidP="00000000" w:rsidRDefault="00000000" w:rsidRPr="00000000" w14:paraId="00000092">
                <w:pPr>
                  <w:spacing w:after="0" w:line="276" w:lineRule="auto"/>
                  <w:jc w:val="left"/>
                  <w:rPr>
                    <w:shd w:fill="d9d9d9" w:val="clear"/>
                  </w:rPr>
                </w:pPr>
                <w:r w:rsidDel="00000000" w:rsidR="00000000" w:rsidRPr="00000000">
                  <w:rPr>
                    <w:shd w:fill="d9d9d9" w:val="clear"/>
                    <w:rtl w:val="0"/>
                  </w:rPr>
                  <w:t xml:space="preserve">[...]</w:t>
                </w:r>
                <w:r w:rsidDel="00000000" w:rsidR="00000000" w:rsidRPr="00000000">
                  <w:rPr>
                    <w:rtl w:val="0"/>
                  </w:rPr>
                  <w:br w:type="textWrapping"/>
                </w:r>
                <w:r w:rsidDel="00000000" w:rsidR="00000000" w:rsidRPr="00000000">
                  <w:rPr>
                    <w:shd w:fill="d9d9d9" w:val="clear"/>
                    <w:rtl w:val="0"/>
                  </w:rPr>
                  <w:t xml:space="preserve">[...]</w:t>
                </w:r>
              </w:p>
              <w:p w:rsidR="00000000" w:rsidDel="00000000" w:rsidP="00000000" w:rsidRDefault="00000000" w:rsidRPr="00000000" w14:paraId="00000093">
                <w:pPr>
                  <w:spacing w:after="0" w:line="276" w:lineRule="auto"/>
                  <w:jc w:val="left"/>
                  <w:rPr>
                    <w:shd w:fill="d9d9d9" w:val="clear"/>
                  </w:rPr>
                </w:pPr>
                <w:r w:rsidDel="00000000" w:rsidR="00000000" w:rsidRPr="00000000">
                  <w:rPr>
                    <w:shd w:fill="d9d9d9" w:val="clear"/>
                    <w:rtl w:val="0"/>
                  </w:rPr>
                  <w:t xml:space="preserve">[...]</w:t>
                </w:r>
              </w:p>
              <w:p w:rsidR="00000000" w:rsidDel="00000000" w:rsidP="00000000" w:rsidRDefault="00000000" w:rsidRPr="00000000" w14:paraId="00000094">
                <w:pPr>
                  <w:spacing w:after="0" w:line="276" w:lineRule="auto"/>
                  <w:jc w:val="left"/>
                  <w:rPr>
                    <w:b w:val="1"/>
                    <w:bCs w:val="1"/>
                  </w:rPr>
                </w:pPr>
                <w:r w:rsidDel="00000000" w:rsidR="00000000" w:rsidRPr="00000000">
                  <w:rPr>
                    <w:rtl w:val="0"/>
                  </w:rPr>
                </w:r>
              </w:p>
              <w:p w:rsidR="00000000" w:rsidDel="00000000" w:rsidP="00000000" w:rsidRDefault="00000000" w:rsidRPr="00000000" w14:paraId="00000095">
                <w:pPr>
                  <w:spacing w:after="0" w:line="276" w:lineRule="auto"/>
                  <w:jc w:val="left"/>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96">
                <w:pPr>
                  <w:spacing w:after="0" w:line="276" w:lineRule="auto"/>
                  <w:jc w:val="left"/>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spacing w:after="0" w:line="276" w:lineRule="auto"/>
                  <w:jc w:val="left"/>
                  <w:rPr>
                    <w:b w:val="1"/>
                    <w:bCs w:val="1"/>
                  </w:rPr>
                </w:pPr>
                <w:r w:rsidDel="00000000" w:rsidR="00000000" w:rsidRPr="00000000">
                  <w:rPr>
                    <w:b w:val="1"/>
                    <w:bCs w:val="1"/>
                    <w:rtl w:val="0"/>
                  </w:rPr>
                  <w:t xml:space="preserve">Telefone</w:t>
                </w:r>
              </w:p>
              <w:p w:rsidR="00000000" w:rsidDel="00000000" w:rsidP="00000000" w:rsidRDefault="00000000" w:rsidRPr="00000000" w14:paraId="00000099">
                <w:pPr>
                  <w:spacing w:after="0" w:line="276" w:lineRule="auto"/>
                  <w:jc w:val="left"/>
                  <w:rPr/>
                </w:pPr>
                <w:r w:rsidDel="00000000" w:rsidR="00000000" w:rsidRPr="00000000">
                  <w:rPr>
                    <w:shd w:fill="d9d9d9" w:val="clear"/>
                    <w:rtl w:val="0"/>
                  </w:rPr>
                  <w:t xml:space="preserve">[...]</w:t>
                </w:r>
                <w:r w:rsidDel="00000000" w:rsidR="00000000" w:rsidRPr="00000000">
                  <w:rPr>
                    <w:rtl w:val="0"/>
                  </w:rPr>
                </w:r>
              </w:p>
            </w:tc>
          </w:tr>
        </w:tbl>
      </w:sdtContent>
    </w:sdt>
    <w:p w:rsidR="00000000" w:rsidDel="00000000" w:rsidP="00000000" w:rsidRDefault="00000000" w:rsidRPr="00000000" w14:paraId="0000009A">
      <w:pPr>
        <w:ind w:left="360" w:hanging="360"/>
        <w:rPr/>
      </w:pPr>
      <w:r w:rsidDel="00000000" w:rsidR="00000000" w:rsidRPr="00000000">
        <w:rPr>
          <w:rtl w:val="0"/>
        </w:rPr>
      </w:r>
    </w:p>
    <w:p w:rsidR="00000000" w:rsidDel="00000000" w:rsidP="00000000" w:rsidRDefault="00000000" w:rsidRPr="00000000" w14:paraId="0000009B">
      <w:pPr>
        <w:ind w:left="360" w:hanging="360"/>
        <w:rPr/>
      </w:pPr>
      <w:r w:rsidDel="00000000" w:rsidR="00000000" w:rsidRPr="00000000">
        <w:rPr>
          <w:highlight w:val="white"/>
          <w:rtl w:val="0"/>
        </w:rPr>
        <w:t xml:space="preserve">2. </w:t>
        <w:tab/>
        <w:t xml:space="preserve">A alteração das moradas indicadas no número anterior deve ser comunicada ao outro Outorgante, por carta registada com aviso de receção, nos 15 (quinze) dias subsequentes à respetiva alteração.</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rPr>
          <w:shd w:fill="d9d9d9" w:val="clear"/>
        </w:rPr>
      </w:pPr>
      <w:r w:rsidDel="00000000" w:rsidR="00000000" w:rsidRPr="00000000">
        <w:rPr>
          <w:highlight w:val="white"/>
          <w:rtl w:val="0"/>
        </w:rPr>
        <w:t xml:space="preserve">Feito em duplicado, </w:t>
      </w:r>
      <w:r w:rsidDel="00000000" w:rsidR="00000000" w:rsidRPr="00000000">
        <w:rPr>
          <w:shd w:fill="d9d9d9" w:val="clear"/>
          <w:rtl w:val="0"/>
        </w:rPr>
        <w:t xml:space="preserve">[Local]</w:t>
      </w:r>
      <w:r w:rsidDel="00000000" w:rsidR="00000000" w:rsidRPr="00000000">
        <w:rPr>
          <w:highlight w:val="white"/>
          <w:rtl w:val="0"/>
        </w:rPr>
        <w:t xml:space="preserve">, </w:t>
      </w:r>
      <w:r w:rsidDel="00000000" w:rsidR="00000000" w:rsidRPr="00000000">
        <w:rPr>
          <w:shd w:fill="d9d9d9" w:val="clear"/>
          <w:rtl w:val="0"/>
        </w:rPr>
        <w:t xml:space="preserve">[dia] </w:t>
      </w:r>
      <w:r w:rsidDel="00000000" w:rsidR="00000000" w:rsidRPr="00000000">
        <w:rPr>
          <w:highlight w:val="white"/>
          <w:rtl w:val="0"/>
        </w:rPr>
        <w:t xml:space="preserve">de </w:t>
      </w:r>
      <w:r w:rsidDel="00000000" w:rsidR="00000000" w:rsidRPr="00000000">
        <w:rPr>
          <w:shd w:fill="d9d9d9" w:val="clear"/>
          <w:rtl w:val="0"/>
        </w:rPr>
        <w:t xml:space="preserve">[mês]</w:t>
      </w:r>
      <w:r w:rsidDel="00000000" w:rsidR="00000000" w:rsidRPr="00000000">
        <w:rPr>
          <w:highlight w:val="white"/>
          <w:rtl w:val="0"/>
        </w:rPr>
        <w:t xml:space="preserve"> de 202</w:t>
      </w:r>
      <w:r w:rsidDel="00000000" w:rsidR="00000000" w:rsidRPr="00000000">
        <w:rPr>
          <w:shd w:fill="d9d9d9" w:val="clear"/>
          <w:rtl w:val="0"/>
        </w:rPr>
        <w:t xml:space="preserve">[...]</w:t>
      </w:r>
    </w:p>
    <w:p w:rsidR="00000000" w:rsidDel="00000000" w:rsidP="00000000" w:rsidRDefault="00000000" w:rsidRPr="00000000" w14:paraId="0000009E">
      <w:pPr>
        <w:rPr>
          <w:shd w:fill="d9d9d9" w:val="clear"/>
        </w:rPr>
      </w:pPr>
      <w:r w:rsidDel="00000000" w:rsidR="00000000" w:rsidRPr="00000000">
        <w:rPr>
          <w:rtl w:val="0"/>
        </w:rPr>
      </w:r>
    </w:p>
    <w:sdt>
      <w:sdtPr>
        <w:lock w:val="contentLocked"/>
        <w:id w:val="-1532515459"/>
        <w:tag w:val="goog_rdk_1"/>
      </w:sdtPr>
      <w:sdtContent>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30"/>
            <w:tblGridChange w:id="0">
              <w:tblGrid>
                <w:gridCol w:w="4500"/>
                <w:gridCol w:w="4530"/>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jc w:val="left"/>
                  <w:rPr/>
                </w:pPr>
                <w:r w:rsidDel="00000000" w:rsidR="00000000" w:rsidRPr="00000000">
                  <w:rPr>
                    <w:rtl w:val="0"/>
                  </w:rPr>
                  <w:t xml:space="preserve">Pela Primeira Outorgante</w:t>
                </w:r>
              </w:p>
              <w:p w:rsidR="00000000" w:rsidDel="00000000" w:rsidP="00000000" w:rsidRDefault="00000000" w:rsidRPr="00000000" w14:paraId="000000A0">
                <w:pPr>
                  <w:spacing w:after="0" w:line="276" w:lineRule="auto"/>
                  <w:jc w:val="left"/>
                  <w:rPr/>
                </w:pPr>
                <w:r w:rsidDel="00000000" w:rsidR="00000000" w:rsidRPr="00000000">
                  <w:rPr>
                    <w:rtl w:val="0"/>
                  </w:rPr>
                </w:r>
              </w:p>
              <w:p w:rsidR="00000000" w:rsidDel="00000000" w:rsidP="00000000" w:rsidRDefault="00000000" w:rsidRPr="00000000" w14:paraId="000000A1">
                <w:pPr>
                  <w:spacing w:after="0" w:line="276" w:lineRule="auto"/>
                  <w:jc w:val="left"/>
                  <w:rPr/>
                </w:pPr>
                <w:r w:rsidDel="00000000" w:rsidR="00000000" w:rsidRPr="00000000">
                  <w:rPr>
                    <w:rtl w:val="0"/>
                  </w:rPr>
                </w:r>
              </w:p>
              <w:p w:rsidR="00000000" w:rsidDel="00000000" w:rsidP="00000000" w:rsidRDefault="00000000" w:rsidRPr="00000000" w14:paraId="000000A2">
                <w:pPr>
                  <w:spacing w:after="0" w:line="276" w:lineRule="auto"/>
                  <w:jc w:val="left"/>
                  <w:rPr/>
                </w:pPr>
                <w:r w:rsidDel="00000000" w:rsidR="00000000" w:rsidRPr="00000000">
                  <w:rPr>
                    <w:rtl w:val="0"/>
                  </w:rPr>
                </w:r>
              </w:p>
              <w:p w:rsidR="00000000" w:rsidDel="00000000" w:rsidP="00000000" w:rsidRDefault="00000000" w:rsidRPr="00000000" w14:paraId="000000A3">
                <w:pPr>
                  <w:spacing w:after="0" w:line="276" w:lineRule="auto"/>
                  <w:jc w:val="left"/>
                  <w:rPr/>
                </w:pPr>
                <w:r w:rsidDel="00000000" w:rsidR="00000000" w:rsidRPr="00000000">
                  <w:rPr>
                    <w:rtl w:val="0"/>
                  </w:rPr>
                  <w:t xml:space="preserve">________________________________________</w:t>
                </w:r>
              </w:p>
              <w:p w:rsidR="00000000" w:rsidDel="00000000" w:rsidP="00000000" w:rsidRDefault="00000000" w:rsidRPr="00000000" w14:paraId="000000A4">
                <w:pPr>
                  <w:spacing w:after="0" w:line="276" w:lineRule="auto"/>
                  <w:jc w:val="left"/>
                  <w:rPr>
                    <w:b w:val="1"/>
                    <w:bCs w:val="1"/>
                  </w:rPr>
                </w:pPr>
                <w:r w:rsidDel="00000000" w:rsidR="00000000" w:rsidRPr="00000000">
                  <w:rPr>
                    <w:b w:val="1"/>
                    <w:bCs w:val="1"/>
                    <w:rtl w:val="0"/>
                  </w:rPr>
                  <w:t xml:space="preserve">Teresa Maria Salgado de Magalhães</w:t>
                </w:r>
              </w:p>
              <w:p w:rsidR="00000000" w:rsidDel="00000000" w:rsidP="00000000" w:rsidRDefault="00000000" w:rsidRPr="00000000" w14:paraId="000000A5">
                <w:pPr>
                  <w:spacing w:after="0" w:line="276" w:lineRule="auto"/>
                  <w:jc w:val="left"/>
                  <w:rPr/>
                </w:pPr>
                <w:r w:rsidDel="00000000" w:rsidR="00000000" w:rsidRPr="00000000">
                  <w:rPr>
                    <w:rtl w:val="0"/>
                  </w:rPr>
                  <w:t xml:space="preserve">Gerente</w:t>
                </w:r>
              </w:p>
              <w:p w:rsidR="00000000" w:rsidDel="00000000" w:rsidP="00000000" w:rsidRDefault="00000000" w:rsidRPr="00000000" w14:paraId="000000A6">
                <w:pPr>
                  <w:spacing w:after="0" w:line="276" w:lineRule="auto"/>
                  <w:jc w:val="left"/>
                  <w:rPr/>
                </w:pPr>
                <w:r w:rsidDel="00000000" w:rsidR="00000000" w:rsidRPr="00000000">
                  <w:rPr>
                    <w:rtl w:val="0"/>
                  </w:rPr>
                </w:r>
              </w:p>
              <w:p w:rsidR="00000000" w:rsidDel="00000000" w:rsidP="00000000" w:rsidRDefault="00000000" w:rsidRPr="00000000" w14:paraId="000000A7">
                <w:pPr>
                  <w:spacing w:after="0" w:line="276" w:lineRule="auto"/>
                  <w:jc w:val="left"/>
                  <w:rPr/>
                </w:pPr>
                <w:r w:rsidDel="00000000" w:rsidR="00000000" w:rsidRPr="00000000">
                  <w:rPr>
                    <w:rtl w:val="0"/>
                  </w:rPr>
                </w:r>
              </w:p>
              <w:p w:rsidR="00000000" w:rsidDel="00000000" w:rsidP="00000000" w:rsidRDefault="00000000" w:rsidRPr="00000000" w14:paraId="000000A8">
                <w:pPr>
                  <w:spacing w:after="0" w:line="276" w:lineRule="auto"/>
                  <w:jc w:val="left"/>
                  <w:rPr/>
                </w:pPr>
                <w:r w:rsidDel="00000000" w:rsidR="00000000" w:rsidRPr="00000000">
                  <w:rPr>
                    <w:rtl w:val="0"/>
                  </w:rPr>
                </w:r>
              </w:p>
              <w:p w:rsidR="00000000" w:rsidDel="00000000" w:rsidP="00000000" w:rsidRDefault="00000000" w:rsidRPr="00000000" w14:paraId="000000A9">
                <w:pPr>
                  <w:spacing w:after="0" w:line="276" w:lineRule="auto"/>
                  <w:jc w:val="left"/>
                  <w:rPr/>
                </w:pPr>
                <w:r w:rsidDel="00000000" w:rsidR="00000000" w:rsidRPr="00000000">
                  <w:rPr>
                    <w:rtl w:val="0"/>
                  </w:rPr>
                  <w:t xml:space="preserve">________________________________________</w:t>
                </w:r>
              </w:p>
              <w:p w:rsidR="00000000" w:rsidDel="00000000" w:rsidP="00000000" w:rsidRDefault="00000000" w:rsidRPr="00000000" w14:paraId="000000AA">
                <w:pPr>
                  <w:spacing w:line="276" w:lineRule="auto"/>
                  <w:jc w:val="left"/>
                  <w:rPr/>
                </w:pPr>
                <w:r w:rsidDel="00000000" w:rsidR="00000000" w:rsidRPr="00000000">
                  <w:rPr>
                    <w:b w:val="1"/>
                    <w:bCs w:val="1"/>
                    <w:rtl w:val="0"/>
                  </w:rPr>
                  <w:t xml:space="preserve">Daniela Neves Antunes</w:t>
                  <w:br w:type="textWrapping"/>
                </w:r>
                <w:r w:rsidDel="00000000" w:rsidR="00000000" w:rsidRPr="00000000">
                  <w:rPr>
                    <w:rtl w:val="0"/>
                  </w:rPr>
                  <w:t xml:space="preserve">Procuradora da Gerência</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276" w:lineRule="auto"/>
                  <w:rPr/>
                </w:pPr>
                <w:r w:rsidDel="00000000" w:rsidR="00000000" w:rsidRPr="00000000">
                  <w:rPr>
                    <w:rtl w:val="0"/>
                  </w:rPr>
                  <w:t xml:space="preserve">Pela Segunda Outorgante</w:t>
                </w:r>
              </w:p>
              <w:p w:rsidR="00000000" w:rsidDel="00000000" w:rsidP="00000000" w:rsidRDefault="00000000" w:rsidRPr="00000000" w14:paraId="000000AC">
                <w:pPr>
                  <w:spacing w:after="0" w:line="276" w:lineRule="auto"/>
                  <w:rPr/>
                </w:pPr>
                <w:r w:rsidDel="00000000" w:rsidR="00000000" w:rsidRPr="00000000">
                  <w:rPr>
                    <w:rtl w:val="0"/>
                  </w:rPr>
                </w:r>
              </w:p>
              <w:p w:rsidR="00000000" w:rsidDel="00000000" w:rsidP="00000000" w:rsidRDefault="00000000" w:rsidRPr="00000000" w14:paraId="000000AD">
                <w:pPr>
                  <w:spacing w:after="0" w:line="276" w:lineRule="auto"/>
                  <w:rPr/>
                </w:pPr>
                <w:r w:rsidDel="00000000" w:rsidR="00000000" w:rsidRPr="00000000">
                  <w:rPr>
                    <w:rtl w:val="0"/>
                  </w:rPr>
                </w:r>
              </w:p>
              <w:p w:rsidR="00000000" w:rsidDel="00000000" w:rsidP="00000000" w:rsidRDefault="00000000" w:rsidRPr="00000000" w14:paraId="000000AE">
                <w:pPr>
                  <w:spacing w:after="0" w:line="276" w:lineRule="auto"/>
                  <w:rPr/>
                </w:pPr>
                <w:r w:rsidDel="00000000" w:rsidR="00000000" w:rsidRPr="00000000">
                  <w:rPr>
                    <w:rtl w:val="0"/>
                  </w:rPr>
                </w:r>
              </w:p>
              <w:p w:rsidR="00000000" w:rsidDel="00000000" w:rsidP="00000000" w:rsidRDefault="00000000" w:rsidRPr="00000000" w14:paraId="000000AF">
                <w:pPr>
                  <w:spacing w:after="0" w:line="276" w:lineRule="auto"/>
                  <w:rPr/>
                </w:pPr>
                <w:r w:rsidDel="00000000" w:rsidR="00000000" w:rsidRPr="00000000">
                  <w:rPr>
                    <w:rtl w:val="0"/>
                  </w:rPr>
                  <w:t xml:space="preserve">________________________________________</w:t>
                </w:r>
              </w:p>
              <w:p w:rsidR="00000000" w:rsidDel="00000000" w:rsidP="00000000" w:rsidRDefault="00000000" w:rsidRPr="00000000" w14:paraId="000000B0">
                <w:pPr>
                  <w:spacing w:after="0" w:line="276" w:lineRule="auto"/>
                  <w:rPr>
                    <w:b w:val="1"/>
                    <w:bCs w:val="1"/>
                    <w:shd w:fill="d9d9d9" w:val="clear"/>
                  </w:rPr>
                </w:pPr>
                <w:r w:rsidDel="00000000" w:rsidR="00000000" w:rsidRPr="00000000">
                  <w:rPr>
                    <w:b w:val="1"/>
                    <w:bCs w:val="1"/>
                    <w:shd w:fill="d9d9d9" w:val="clear"/>
                    <w:rtl w:val="0"/>
                  </w:rPr>
                  <w:t xml:space="preserve">[...]</w:t>
                </w:r>
              </w:p>
              <w:p w:rsidR="00000000" w:rsidDel="00000000" w:rsidP="00000000" w:rsidRDefault="00000000" w:rsidRPr="00000000" w14:paraId="000000B1">
                <w:pPr>
                  <w:spacing w:after="0" w:line="276" w:lineRule="auto"/>
                  <w:rPr>
                    <w:shd w:fill="d9d9d9" w:val="clear"/>
                  </w:rPr>
                </w:pPr>
                <w:r w:rsidDel="00000000" w:rsidR="00000000" w:rsidRPr="00000000">
                  <w:rPr>
                    <w:shd w:fill="d9d9d9" w:val="clear"/>
                    <w:rtl w:val="0"/>
                  </w:rPr>
                  <w:t xml:space="preserve">[...]</w:t>
                </w:r>
              </w:p>
              <w:p w:rsidR="00000000" w:rsidDel="00000000" w:rsidP="00000000" w:rsidRDefault="00000000" w:rsidRPr="00000000" w14:paraId="000000B2">
                <w:pPr>
                  <w:spacing w:after="0" w:line="276" w:lineRule="auto"/>
                  <w:rPr>
                    <w:shd w:fill="d9d9d9" w:val="clear"/>
                  </w:rPr>
                </w:pPr>
                <w:r w:rsidDel="00000000" w:rsidR="00000000" w:rsidRPr="00000000">
                  <w:rPr>
                    <w:rtl w:val="0"/>
                  </w:rPr>
                </w:r>
              </w:p>
              <w:p w:rsidR="00000000" w:rsidDel="00000000" w:rsidP="00000000" w:rsidRDefault="00000000" w:rsidRPr="00000000" w14:paraId="000000B3">
                <w:pPr>
                  <w:spacing w:after="0" w:line="276" w:lineRule="auto"/>
                  <w:rPr>
                    <w:shd w:fill="d9d9d9" w:val="clear"/>
                  </w:rPr>
                </w:pPr>
                <w:r w:rsidDel="00000000" w:rsidR="00000000" w:rsidRPr="00000000">
                  <w:rPr>
                    <w:rtl w:val="0"/>
                  </w:rPr>
                </w:r>
              </w:p>
              <w:p w:rsidR="00000000" w:rsidDel="00000000" w:rsidP="00000000" w:rsidRDefault="00000000" w:rsidRPr="00000000" w14:paraId="000000B4">
                <w:pPr>
                  <w:spacing w:after="0" w:line="276" w:lineRule="auto"/>
                  <w:rPr/>
                </w:pPr>
                <w:r w:rsidDel="00000000" w:rsidR="00000000" w:rsidRPr="00000000">
                  <w:rPr>
                    <w:rtl w:val="0"/>
                  </w:rPr>
                </w:r>
              </w:p>
              <w:p w:rsidR="00000000" w:rsidDel="00000000" w:rsidP="00000000" w:rsidRDefault="00000000" w:rsidRPr="00000000" w14:paraId="000000B5">
                <w:pPr>
                  <w:spacing w:after="0" w:line="276" w:lineRule="auto"/>
                  <w:rPr/>
                </w:pPr>
                <w:r w:rsidDel="00000000" w:rsidR="00000000" w:rsidRPr="00000000">
                  <w:rPr>
                    <w:rtl w:val="0"/>
                  </w:rPr>
                  <w:t xml:space="preserve">________________________________________</w:t>
                </w:r>
              </w:p>
              <w:p w:rsidR="00000000" w:rsidDel="00000000" w:rsidP="00000000" w:rsidRDefault="00000000" w:rsidRPr="00000000" w14:paraId="000000B6">
                <w:pPr>
                  <w:spacing w:after="0" w:line="276" w:lineRule="auto"/>
                  <w:rPr>
                    <w:b w:val="1"/>
                    <w:bCs w:val="1"/>
                    <w:shd w:fill="d9d9d9" w:val="clear"/>
                  </w:rPr>
                </w:pPr>
                <w:r w:rsidDel="00000000" w:rsidR="00000000" w:rsidRPr="00000000">
                  <w:rPr>
                    <w:b w:val="1"/>
                    <w:bCs w:val="1"/>
                    <w:shd w:fill="d9d9d9" w:val="clear"/>
                    <w:rtl w:val="0"/>
                  </w:rPr>
                  <w:t xml:space="preserve">[...]</w:t>
                </w:r>
              </w:p>
              <w:p w:rsidR="00000000" w:rsidDel="00000000" w:rsidP="00000000" w:rsidRDefault="00000000" w:rsidRPr="00000000" w14:paraId="000000B7">
                <w:pPr>
                  <w:spacing w:after="0" w:line="276" w:lineRule="auto"/>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B8">
      <w:pPr>
        <w:ind w:left="360" w:firstLine="0"/>
        <w:rPr/>
      </w:pPr>
      <w:r w:rsidDel="00000000" w:rsidR="00000000" w:rsidRPr="00000000">
        <w:rPr>
          <w:rtl w:val="0"/>
        </w:rPr>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276" w:lineRule="auto"/>
        <w:ind w:left="0" w:right="0" w:firstLine="0"/>
        <w:jc w:val="center"/>
        <w:rPr>
          <w:rFonts w:ascii="Barlow Condensed Medium" w:cs="Barlow Condensed Medium" w:eastAsia="Barlow Condensed Medium" w:hAnsi="Barlow Condensed Medium"/>
          <w:b w:val="0"/>
          <w:bCs w:val="0"/>
          <w:i w:val="0"/>
          <w:iCs w:val="0"/>
          <w:smallCaps w:val="0"/>
          <w:strike w:val="0"/>
          <w:color w:val="005172"/>
          <w:sz w:val="40"/>
          <w:szCs w:val="40"/>
          <w:highlight w:val="white"/>
          <w:u w:val="none"/>
          <w:vertAlign w:val="baseline"/>
        </w:rPr>
      </w:pPr>
      <w:bookmarkStart w:colFirst="0" w:colLast="0" w:name="_heading=h.u43hnbddhxoj" w:id="32"/>
      <w:bookmarkEnd w:id="32"/>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keepNext w:val="1"/>
        <w:keepLines w:val="1"/>
        <w:spacing w:before="400" w:line="276" w:lineRule="auto"/>
        <w:jc w:val="center"/>
        <w:rPr>
          <w:vertAlign w:val="baseline"/>
        </w:rPr>
      </w:pPr>
      <w:bookmarkStart w:colFirst="0" w:colLast="0" w:name="_heading=h.tyh8d65pe2y1" w:id="33"/>
      <w:bookmarkEnd w:id="33"/>
      <w:r w:rsidDel="00000000" w:rsidR="00000000" w:rsidRPr="00000000">
        <w:rPr>
          <w:vertAlign w:val="baseline"/>
          <w:rtl w:val="0"/>
        </w:rPr>
        <w:t xml:space="preserve">Anexo I - Exemplos de Iniciativas de Investigação e Desenvolvimento</w:t>
      </w:r>
    </w:p>
    <w:p w:rsidR="00000000" w:rsidDel="00000000" w:rsidP="00000000" w:rsidRDefault="00000000" w:rsidRPr="00000000" w14:paraId="000000BB">
      <w:pPr>
        <w:pStyle w:val="Heading2"/>
        <w:rPr>
          <w:vertAlign w:val="baseline"/>
        </w:rPr>
      </w:pPr>
      <w:bookmarkStart w:colFirst="0" w:colLast="0" w:name="_heading=h.iw7oifh6l6a3" w:id="34"/>
      <w:bookmarkEnd w:id="34"/>
      <w:r w:rsidDel="00000000" w:rsidR="00000000" w:rsidRPr="00000000">
        <w:rPr>
          <w:vertAlign w:val="baseline"/>
          <w:rtl w:val="0"/>
        </w:rPr>
        <w:t xml:space="preserve">Trends of drug use with suggested shortages and their alternatives across 41 real world data sources and 18 countries in Europe and North America</w:t>
      </w:r>
    </w:p>
    <w:p w:rsidR="00000000" w:rsidDel="00000000" w:rsidP="00000000" w:rsidRDefault="00000000" w:rsidRPr="00000000" w14:paraId="000000BC">
      <w:pPr>
        <w:rPr/>
      </w:pPr>
      <w:hyperlink r:id="rId14">
        <w:r w:rsidDel="00000000" w:rsidR="00000000" w:rsidRPr="00000000">
          <w:rPr>
            <w:color w:val="1155cc"/>
            <w:u w:val="single"/>
            <w:rtl w:val="0"/>
          </w:rPr>
          <w:t xml:space="preserve">medrxiv.org/content/10.1101/2024.08.28.24312695v1</w:t>
        </w:r>
      </w:hyperlink>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Objective:</w:t>
      </w:r>
      <w:r w:rsidDel="00000000" w:rsidR="00000000" w:rsidRPr="00000000">
        <w:rPr>
          <w:rtl w:val="0"/>
        </w:rPr>
        <w:t xml:space="preserve"> To describe incidence and prevalence of medicines with suggested shortages in at least one European country</w:t>
      </w:r>
    </w:p>
    <w:p w:rsidR="00000000" w:rsidDel="00000000" w:rsidP="00000000" w:rsidRDefault="00000000" w:rsidRPr="00000000" w14:paraId="000000BE">
      <w:pPr>
        <w:rPr/>
      </w:pPr>
      <w:r w:rsidDel="00000000" w:rsidR="00000000" w:rsidRPr="00000000">
        <w:rPr>
          <w:b w:val="1"/>
          <w:bCs w:val="1"/>
          <w:rtl w:val="0"/>
        </w:rPr>
        <w:t xml:space="preserve">Design:</w:t>
      </w:r>
      <w:r w:rsidDel="00000000" w:rsidR="00000000" w:rsidRPr="00000000">
        <w:rPr>
          <w:rtl w:val="0"/>
        </w:rPr>
        <w:t xml:space="preserve"> We performed a descriptive cohort study between 2010 in a network of databases which have mapped their data to the Observational Medical Outcomes Partnership (OMOP) Common Data Model (CDM).</w:t>
      </w:r>
    </w:p>
    <w:p w:rsidR="00000000" w:rsidDel="00000000" w:rsidP="00000000" w:rsidRDefault="00000000" w:rsidRPr="00000000" w14:paraId="000000BF">
      <w:pPr>
        <w:rPr/>
      </w:pPr>
      <w:r w:rsidDel="00000000" w:rsidR="00000000" w:rsidRPr="00000000">
        <w:rPr>
          <w:b w:val="1"/>
          <w:bCs w:val="1"/>
          <w:rtl w:val="0"/>
        </w:rPr>
        <w:t xml:space="preserve">Setting:</w:t>
      </w:r>
      <w:r w:rsidDel="00000000" w:rsidR="00000000" w:rsidRPr="00000000">
        <w:rPr>
          <w:rtl w:val="0"/>
        </w:rPr>
        <w:t xml:space="preserve"> Setting included primary care, secondary care, and various disease registries whose previously collected data was leveraged.</w:t>
      </w:r>
    </w:p>
    <w:p w:rsidR="00000000" w:rsidDel="00000000" w:rsidP="00000000" w:rsidRDefault="00000000" w:rsidRPr="00000000" w14:paraId="000000C0">
      <w:pPr>
        <w:rPr/>
      </w:pPr>
      <w:r w:rsidDel="00000000" w:rsidR="00000000" w:rsidRPr="00000000">
        <w:rPr>
          <w:b w:val="1"/>
          <w:bCs w:val="1"/>
          <w:rtl w:val="0"/>
        </w:rPr>
        <w:t xml:space="preserve">Participants:</w:t>
      </w:r>
      <w:r w:rsidDel="00000000" w:rsidR="00000000" w:rsidRPr="00000000">
        <w:rPr>
          <w:rtl w:val="0"/>
        </w:rPr>
        <w:t xml:space="preserve"> We included all patients with at least 365 days of history on the database.</w:t>
      </w:r>
    </w:p>
    <w:p w:rsidR="00000000" w:rsidDel="00000000" w:rsidP="00000000" w:rsidRDefault="00000000" w:rsidRPr="00000000" w14:paraId="000000C1">
      <w:pPr>
        <w:rPr/>
      </w:pPr>
      <w:r w:rsidDel="00000000" w:rsidR="00000000" w:rsidRPr="00000000">
        <w:rPr>
          <w:b w:val="1"/>
          <w:bCs w:val="1"/>
          <w:rtl w:val="0"/>
        </w:rPr>
        <w:t xml:space="preserve">Exposures:</w:t>
      </w:r>
      <w:r w:rsidDel="00000000" w:rsidR="00000000" w:rsidRPr="00000000">
        <w:rPr>
          <w:rtl w:val="0"/>
        </w:rPr>
        <w:t xml:space="preserve"> We investigated all medicines with a suggested shortage in at least one European country for more than 365 days (n=18). Furthermore, we assessed their alternatives as well (n=39).</w:t>
      </w:r>
    </w:p>
    <w:p w:rsidR="00000000" w:rsidDel="00000000" w:rsidP="00000000" w:rsidRDefault="00000000" w:rsidRPr="00000000" w14:paraId="000000C2">
      <w:pPr>
        <w:rPr/>
      </w:pPr>
      <w:r w:rsidDel="00000000" w:rsidR="00000000" w:rsidRPr="00000000">
        <w:rPr>
          <w:b w:val="1"/>
          <w:bCs w:val="1"/>
          <w:rtl w:val="0"/>
        </w:rPr>
        <w:t xml:space="preserve">Main outcomes and measures:</w:t>
      </w:r>
      <w:r w:rsidDel="00000000" w:rsidR="00000000" w:rsidRPr="00000000">
        <w:rPr>
          <w:rtl w:val="0"/>
        </w:rPr>
        <w:t xml:space="preserve"> We estimated annual incidence rates and period prevalence of all medicines with suggested shortages and their alternatives. A drop in incidence or prevalence of more than 33% after the shortage announced by the European Medicines Agency was considered confirmation of a shortage.</w:t>
      </w:r>
    </w:p>
    <w:p w:rsidR="00000000" w:rsidDel="00000000" w:rsidP="00000000" w:rsidRDefault="00000000" w:rsidRPr="00000000" w14:paraId="000000C3">
      <w:pPr>
        <w:rPr/>
      </w:pPr>
      <w:r w:rsidDel="00000000" w:rsidR="00000000" w:rsidRPr="00000000">
        <w:rPr>
          <w:b w:val="1"/>
          <w:bCs w:val="1"/>
          <w:rtl w:val="0"/>
        </w:rPr>
        <w:t xml:space="preserve">Results:</w:t>
      </w:r>
      <w:r w:rsidDel="00000000" w:rsidR="00000000" w:rsidRPr="00000000">
        <w:rPr>
          <w:rtl w:val="0"/>
        </w:rPr>
        <w:t xml:space="preserve"> Among 41 databases from Europe and the United States, we observed shortages according to incidence for 12 drugs and shortages according to prevalence for 4 drugs. The drugs varenicline, cetrorelix, and amoxicillin plus clavulanate were in shortage in most countries.</w:t>
      </w:r>
    </w:p>
    <w:p w:rsidR="00000000" w:rsidDel="00000000" w:rsidP="00000000" w:rsidRDefault="00000000" w:rsidRPr="00000000" w14:paraId="000000C4">
      <w:pPr>
        <w:rPr/>
      </w:pPr>
      <w:r w:rsidDel="00000000" w:rsidR="00000000" w:rsidRPr="00000000">
        <w:rPr>
          <w:b w:val="1"/>
          <w:bCs w:val="1"/>
          <w:rtl w:val="0"/>
        </w:rPr>
        <w:t xml:space="preserve">Conclusion and relevance:</w:t>
      </w:r>
      <w:r w:rsidDel="00000000" w:rsidR="00000000" w:rsidRPr="00000000">
        <w:rPr>
          <w:rtl w:val="0"/>
        </w:rPr>
        <w:t xml:space="preserve"> We compiled and analysed data of annual incidence and prevalence of 57 medicines among 41 databases in Europe and the United States. We detected shortages of several drugs and suggested monitoring and stewardship for drug availability.</w:t>
      </w:r>
    </w:p>
    <w:p w:rsidR="00000000" w:rsidDel="00000000" w:rsidP="00000000" w:rsidRDefault="00000000" w:rsidRPr="00000000" w14:paraId="000000C5">
      <w:pPr>
        <w:pStyle w:val="Heading2"/>
        <w:rPr>
          <w:vertAlign w:val="baseline"/>
        </w:rPr>
      </w:pPr>
      <w:bookmarkStart w:colFirst="0" w:colLast="0" w:name="_heading=h.nx7vpj3q03vr" w:id="35"/>
      <w:bookmarkEnd w:id="35"/>
      <w:r w:rsidDel="00000000" w:rsidR="00000000" w:rsidRPr="00000000">
        <w:rPr>
          <w:vertAlign w:val="baseline"/>
          <w:rtl w:val="0"/>
        </w:rPr>
        <w:t xml:space="preserve">Can Breastfeeding Prevent Long-Term Overweight and Obesity in Children?</w:t>
      </w:r>
      <w:r w:rsidDel="00000000" w:rsidR="00000000" w:rsidRPr="00000000">
        <w:rPr>
          <w:rtl w:val="0"/>
        </w:rPr>
        <w:t xml:space="preserve"> </w:t>
      </w:r>
      <w:r w:rsidDel="00000000" w:rsidR="00000000" w:rsidRPr="00000000">
        <w:rPr>
          <w:vertAlign w:val="baseline"/>
          <w:rtl w:val="0"/>
        </w:rPr>
        <w:t xml:space="preserve">A Population-Based Cohort Study</w:t>
      </w:r>
    </w:p>
    <w:p w:rsidR="00000000" w:rsidDel="00000000" w:rsidP="00000000" w:rsidRDefault="00000000" w:rsidRPr="00000000" w14:paraId="000000C6">
      <w:pPr>
        <w:rPr/>
      </w:pPr>
      <w:hyperlink r:id="rId15">
        <w:r w:rsidDel="00000000" w:rsidR="00000000" w:rsidRPr="00000000">
          <w:rPr>
            <w:color w:val="1155cc"/>
            <w:u w:val="single"/>
            <w:rtl w:val="0"/>
          </w:rPr>
          <w:t xml:space="preserve">mdpi.com/2072-6643/16/16/2728</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aims of this study were to assess the impact of exclusive breastfeeding up to 6 months of age on reducing the incidence of overweight and obesity in children up to 10 years of age and to estimate the annual incidence of obesity and overweight in the study population. Our retrospective cohort analysis using electronic health records included children from zero to ten years old, born between 1 January 2006 and 31 December 2022, followed up at the Unidade Local de Saúde de Matosinhos (ULSM). Information on their comorbidity history was collected, and positive or negative control results were defined. In the first year of life, around 29% of the children on exclusive breastfeeding were obese and 20% were overweight. This trend was reversed by the age of 9. Asthma and allergic rhinitis were used as positive control outcomes and allergic dermatitis as a negative control outcome. There seems to be no relationship between exclusive and non-exclusive breastfeeding and the development of overweight or obesity at the age of 10. The results showed that breastfeeding is associated with a lower risk of asthma in the future.</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vertAlign w:val="baseline"/>
        </w:rPr>
      </w:pPr>
      <w:bookmarkStart w:colFirst="0" w:colLast="0" w:name="_heading=h.9is5i9d9xsl7" w:id="36"/>
      <w:bookmarkEnd w:id="36"/>
      <w:r w:rsidDel="00000000" w:rsidR="00000000" w:rsidRPr="00000000">
        <w:rPr>
          <w:vertAlign w:val="baseline"/>
          <w:rtl w:val="0"/>
        </w:rPr>
        <w:t xml:space="preserve">Health Outcomes in Women Victims of Intimate Partner Violence:</w:t>
      </w:r>
      <w:r w:rsidDel="00000000" w:rsidR="00000000" w:rsidRPr="00000000">
        <w:rPr>
          <w:rtl w:val="0"/>
        </w:rPr>
        <w:t xml:space="preserve"> </w:t>
      </w:r>
      <w:r w:rsidDel="00000000" w:rsidR="00000000" w:rsidRPr="00000000">
        <w:rPr>
          <w:vertAlign w:val="baseline"/>
          <w:rtl w:val="0"/>
        </w:rPr>
        <w:t xml:space="preserve">A 20-Year Real-World Study</w:t>
      </w:r>
    </w:p>
    <w:p w:rsidR="00000000" w:rsidDel="00000000" w:rsidP="00000000" w:rsidRDefault="00000000" w:rsidRPr="00000000" w14:paraId="000000C9">
      <w:pPr>
        <w:rPr/>
      </w:pPr>
      <w:hyperlink r:id="rId16">
        <w:r w:rsidDel="00000000" w:rsidR="00000000" w:rsidRPr="00000000">
          <w:rPr>
            <w:color w:val="1155cc"/>
            <w:u w:val="single"/>
            <w:rtl w:val="0"/>
          </w:rPr>
          <w:t xml:space="preserve">mdpi.com/1660-4601/19/24/17035</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Intimate partner violence is characterized by violent actions against a person perpetrated by his or her former or current partner, regardless of cohabitation. It most frequently affects women, and one of its most relevant outcomes is the health problems associated with the experience of repeated violence. Thus, the main objective of this study is to analyse the prevalence of health problems among women for whom there was a medical suspicion of being victims of intimate partner violence. The specific objectives are to analyse the prevalence of (a) health risk behaviours; (b) traumatic injuries and intoxications; (c) mental health conditions; and (d) somatic diseases. We conducted a real-world, retrospective, observational, cross-sectional and multicentric study based on secondary data analyses of electronic health records and health care register data in patients of the Local Healthcare Unit of Matosinhos (between 2001 and 2021). The identified data were extracted from electronic health records corresponding to the Health Insurance Portability and Accountability Act Safe Harbor Standard. Information was obtained considering the International Classification of Diseases, the International Classification of Primary Care, and the Anatomical Therapeutic Chemical Classification System, as well as clinical notes (according to previously defined keywords). Considering all information sources, 1676 cases were obtained. This number means that just 2% of the women observed at this health care unit were suspected of being victims of intimate partner violence, which is far from the known statistics. However, we found much higher rates of all health risk behaviours, trauma and intoxication cases, mental health conditions, and somatic disorders we looked for, when compared to the general population. Early detection of these cases is mandatory to prevent or minimize their related health outcomes.</w:t>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0" w:right="0" w:firstLine="0"/>
        <w:jc w:val="left"/>
        <w:rPr>
          <w:rFonts w:ascii="Barlow Condensed Medium" w:cs="Barlow Condensed Medium" w:eastAsia="Barlow Condensed Medium" w:hAnsi="Barlow Condensed Medium"/>
          <w:b w:val="0"/>
          <w:bCs w:val="0"/>
          <w:i w:val="0"/>
          <w:iCs w:val="0"/>
          <w:smallCaps w:val="0"/>
          <w:strike w:val="0"/>
          <w:color w:val="009fda"/>
          <w:sz w:val="32"/>
          <w:szCs w:val="32"/>
          <w:highlight w:val="white"/>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vertAlign w:val="baseline"/>
        </w:rPr>
      </w:pPr>
      <w:bookmarkStart w:colFirst="0" w:colLast="0" w:name="_heading=h.bq6z17rh8ca5" w:id="37"/>
      <w:bookmarkEnd w:id="37"/>
      <w:r w:rsidDel="00000000" w:rsidR="00000000" w:rsidRPr="00000000">
        <w:rPr>
          <w:vertAlign w:val="baseline"/>
          <w:rtl w:val="0"/>
        </w:rPr>
        <w:t xml:space="preserve">Missed opportunities in the diagnosis of heart failure: a real-world assessment</w:t>
      </w:r>
    </w:p>
    <w:p w:rsidR="00000000" w:rsidDel="00000000" w:rsidP="00000000" w:rsidRDefault="00000000" w:rsidRPr="00000000" w14:paraId="000000CD">
      <w:pPr>
        <w:rPr/>
      </w:pPr>
      <w:hyperlink r:id="rId17">
        <w:r w:rsidDel="00000000" w:rsidR="00000000" w:rsidRPr="00000000">
          <w:rPr>
            <w:color w:val="1155cc"/>
            <w:u w:val="single"/>
            <w:rtl w:val="0"/>
          </w:rPr>
          <w:t xml:space="preserve">onlinelibrary.wiley.com/doi/full/10.1002/ehf2.14531</w:t>
        </w:r>
      </w:hyperlink>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Aims: </w:t>
      </w:r>
      <w:r w:rsidDel="00000000" w:rsidR="00000000" w:rsidRPr="00000000">
        <w:rPr>
          <w:rtl w:val="0"/>
        </w:rPr>
        <w:t xml:space="preserve">Heart failure (HF) is a leading cause of hospitalization worldwide. An early HF diagnosis is key to reducing hospitalizations. We used electronic health records (EHRs) to characterize HF pathways at the primary care physician (PCP) level prior to a first HF hospitalization (hHF). This study aimed to identify missed opportunities for HF diagnosis and management at the PCP level before a first hHF.</w:t>
      </w:r>
    </w:p>
    <w:p w:rsidR="00000000" w:rsidDel="00000000" w:rsidP="00000000" w:rsidRDefault="00000000" w:rsidRPr="00000000" w14:paraId="000000CF">
      <w:pPr>
        <w:rPr/>
      </w:pPr>
      <w:r w:rsidDel="00000000" w:rsidR="00000000" w:rsidRPr="00000000">
        <w:rPr>
          <w:b w:val="1"/>
          <w:bCs w:val="1"/>
          <w:rtl w:val="0"/>
        </w:rPr>
        <w:t xml:space="preserve">Methods and results: </w:t>
      </w:r>
      <w:r w:rsidDel="00000000" w:rsidR="00000000" w:rsidRPr="00000000">
        <w:rPr>
          <w:rtl w:val="0"/>
        </w:rPr>
        <w:t xml:space="preserve">This cohort study used EHRs of a large health care organization in Portugal. Patients with incident hHF between 2017 and 2020 were identified. Missed opportunities were defined by the absence of any of the following work-up in the 6 months after signs or symptoms had been recorded: lab results and electrocardiogram, natriuretic peptides, echocardiogram, referral to HF specialist, or HF medication initiation. A total of 2436 patients with a first hHF were identified. The median (interquartile range) age at the time of hospitalization was 81 (14) years, and 1361 (56%) were women. Most patients were treated with cardiovascular drugs prior or at index event. A total of 720 (30%) patients had records of HF signs or symptoms, 94% (n = 674) within 6 months prior to hHF. Among patients with recorded HF signs or symptoms, 410 (57%) had clinical management considered adequate before signs and symptoms were recorded. Of the 310 remaining patients, 155 (50%) had a follow-up that was considered inadequate.</w:t>
      </w:r>
    </w:p>
    <w:p w:rsidR="00000000" w:rsidDel="00000000" w:rsidP="00000000" w:rsidRDefault="00000000" w:rsidRPr="00000000" w14:paraId="000000D0">
      <w:pPr>
        <w:rPr/>
      </w:pPr>
      <w:r w:rsidDel="00000000" w:rsidR="00000000" w:rsidRPr="00000000">
        <w:rPr>
          <w:b w:val="1"/>
          <w:bCs w:val="1"/>
          <w:rtl w:val="0"/>
        </w:rPr>
        <w:t xml:space="preserve">Conclusions: </w:t>
      </w:r>
      <w:r w:rsidDel="00000000" w:rsidR="00000000" w:rsidRPr="00000000">
        <w:rPr>
          <w:rtl w:val="0"/>
        </w:rPr>
        <w:t xml:space="preserve">Relatively few patients with a first hHF had primary care records of signs or symptoms prior to admission. Of these, nearly half had inadequate management considering diagnosis and treatment. These data suggest the need to improve PCP HF awareness.</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rPr>
          <w:vertAlign w:val="baseline"/>
        </w:rPr>
      </w:pPr>
      <w:bookmarkStart w:colFirst="0" w:colLast="0" w:name="_heading=h.opphgmiixrju" w:id="38"/>
      <w:bookmarkEnd w:id="38"/>
      <w:r w:rsidDel="00000000" w:rsidR="00000000" w:rsidRPr="00000000">
        <w:rPr>
          <w:vertAlign w:val="baseline"/>
          <w:rtl w:val="0"/>
        </w:rPr>
        <w:t xml:space="preserve">Patients’ health care resources utilization and costs estimation across</w:t>
      </w:r>
      <w:r w:rsidDel="00000000" w:rsidR="00000000" w:rsidRPr="00000000">
        <w:rPr>
          <w:rtl w:val="0"/>
        </w:rPr>
        <w:t xml:space="preserve"> </w:t>
      </w:r>
      <w:r w:rsidDel="00000000" w:rsidR="00000000" w:rsidRPr="00000000">
        <w:rPr>
          <w:vertAlign w:val="baseline"/>
          <w:rtl w:val="0"/>
        </w:rPr>
        <w:t xml:space="preserve">cardiovascular risk categories: insights from the LATINO study</w:t>
      </w:r>
    </w:p>
    <w:p w:rsidR="00000000" w:rsidDel="00000000" w:rsidP="00000000" w:rsidRDefault="00000000" w:rsidRPr="00000000" w14:paraId="000000D3">
      <w:pPr>
        <w:rPr/>
      </w:pPr>
      <w:hyperlink r:id="rId18">
        <w:r w:rsidDel="00000000" w:rsidR="00000000" w:rsidRPr="00000000">
          <w:rPr>
            <w:color w:val="1155cc"/>
            <w:u w:val="single"/>
            <w:rtl w:val="0"/>
          </w:rPr>
          <w:t xml:space="preserve">healtheconomicsreview.biomedcentral.com/articles/10.1186/s13561-024-00550-2</w:t>
        </w:r>
      </w:hyperlink>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Background</w:t>
      </w:r>
      <w:r w:rsidDel="00000000" w:rsidR="00000000" w:rsidRPr="00000000">
        <w:rPr>
          <w:rtl w:val="0"/>
        </w:rPr>
        <w:t xml:space="preserve">: Atherosclerotic Cardiovascular Disease (ASCVD) is a global public health concern. This study aimed to estimate the healthcare resource utilization (HRU) and costs stratified by cardiovascular disease (CVD) risk categories using real-world evidence, in a regional population in Portugal.</w:t>
      </w:r>
    </w:p>
    <w:p w:rsidR="00000000" w:rsidDel="00000000" w:rsidP="00000000" w:rsidRDefault="00000000" w:rsidRPr="00000000" w14:paraId="000000D5">
      <w:pPr>
        <w:rPr/>
      </w:pPr>
      <w:r w:rsidDel="00000000" w:rsidR="00000000" w:rsidRPr="00000000">
        <w:rPr>
          <w:b w:val="1"/>
          <w:bCs w:val="1"/>
          <w:rtl w:val="0"/>
        </w:rPr>
        <w:t xml:space="preserve">Methods</w:t>
      </w:r>
      <w:sdt>
        <w:sdtPr>
          <w:id w:val="1900341621"/>
          <w:tag w:val="goog_rdk_2"/>
        </w:sdtPr>
        <w:sdtContent>
          <w:r w:rsidDel="00000000" w:rsidR="00000000" w:rsidRPr="00000000">
            <w:rPr>
              <w:rFonts w:ascii="Nova Mono" w:cs="Nova Mono" w:eastAsia="Nova Mono" w:hAnsi="Nova Mono"/>
              <w:rtl w:val="0"/>
            </w:rPr>
            <w:t xml:space="preserve">: This is a retrospective observational study, using data from Electronic Health Records between 2017 and 2021. Patients aged ≥ 40 years, and with at least one general practitioner (GP) appointment in the 3 years before 31st of December 2019, were included. CVD risk categories were determined based on 2021 ESC prevention guidelines. HRU encompassed hospital data (hospitalizations, outpatient and emergency room visits) and GP appointments. Total direct costs per patient were calculated based on the reference cost of the Portuguese legislation for payment methodology on Diagnosis-Related Groups (DRGs).</w:t>
          </w:r>
        </w:sdtContent>
      </w:sdt>
    </w:p>
    <w:p w:rsidR="00000000" w:rsidDel="00000000" w:rsidP="00000000" w:rsidRDefault="00000000" w:rsidRPr="00000000" w14:paraId="000000D6">
      <w:pPr>
        <w:rPr/>
      </w:pPr>
      <w:r w:rsidDel="00000000" w:rsidR="00000000" w:rsidRPr="00000000">
        <w:rPr>
          <w:b w:val="1"/>
          <w:bCs w:val="1"/>
          <w:rtl w:val="0"/>
        </w:rPr>
        <w:t xml:space="preserve">Results</w:t>
      </w:r>
      <w:sdt>
        <w:sdtPr>
          <w:id w:val="1408968230"/>
          <w:tag w:val="goog_rdk_3"/>
        </w:sdtPr>
        <w:sdtContent>
          <w:r w:rsidDel="00000000" w:rsidR="00000000" w:rsidRPr="00000000">
            <w:rPr>
              <w:rFonts w:ascii="PT Mono" w:cs="PT Mono" w:eastAsia="PT Mono" w:hAnsi="PT Mono"/>
              <w:rtl w:val="0"/>
            </w:rPr>
            <w:t xml:space="preserve">: Analysis of 3 122 695 episodes, revealed consistent HRU and costs across the five years. Very high-risk patients, showed higher HRU, particularly in hospital admissions. Costs tended to rise with higher CVD risk level. Very high-risk patients with ASCVD had higher costs for hospital admissions, while low-to-moderate risk patients had higher costs for GP visits. Despite a smaller proportion, very high-risk patients with prior ASCVD represent the highest costs per patient across healthcare settings (from 115€ in emergency visits to 2 673€ in hospitalizations), followed by very high-risk patients without prior ASCVD (ASCVD-risk equivalents).</w:t>
          </w:r>
        </w:sdtContent>
      </w:sdt>
    </w:p>
    <w:p w:rsidR="00000000" w:rsidDel="00000000" w:rsidP="00000000" w:rsidRDefault="00000000" w:rsidRPr="00000000" w14:paraId="000000D7">
      <w:pPr>
        <w:rPr/>
      </w:pPr>
      <w:r w:rsidDel="00000000" w:rsidR="00000000" w:rsidRPr="00000000">
        <w:rPr>
          <w:b w:val="1"/>
          <w:bCs w:val="1"/>
          <w:rtl w:val="0"/>
        </w:rPr>
        <w:t xml:space="preserve">Conclusion</w:t>
      </w:r>
      <w:r w:rsidDel="00000000" w:rsidR="00000000" w:rsidRPr="00000000">
        <w:rPr>
          <w:rtl w:val="0"/>
        </w:rPr>
        <w:t xml:space="preserve">: This study revealed a substantial HRU and costs by patients with very high CVD risk, particularly those with prior ASCVD. Moreover, ASCVD-risk equivalents emerge as notable consumers, emphasizing the importance of risk assessment and preventive measures in cost-effective management of these patients.</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rPr>
          <w:vertAlign w:val="baseline"/>
        </w:rPr>
      </w:pPr>
      <w:bookmarkStart w:colFirst="0" w:colLast="0" w:name="_heading=h.4nze6va0g8ep" w:id="39"/>
      <w:bookmarkEnd w:id="39"/>
      <w:r w:rsidDel="00000000" w:rsidR="00000000" w:rsidRPr="00000000">
        <w:rPr>
          <w:vertAlign w:val="baseline"/>
          <w:rtl w:val="0"/>
        </w:rPr>
        <w:t xml:space="preserve">Sex differences in LDL-C control in a primary care population:</w:t>
      </w:r>
      <w:r w:rsidDel="00000000" w:rsidR="00000000" w:rsidRPr="00000000">
        <w:rPr>
          <w:rtl w:val="0"/>
        </w:rPr>
        <w:t xml:space="preserve"> </w:t>
      </w:r>
      <w:r w:rsidDel="00000000" w:rsidR="00000000" w:rsidRPr="00000000">
        <w:rPr>
          <w:vertAlign w:val="baseline"/>
          <w:rtl w:val="0"/>
        </w:rPr>
        <w:t xml:space="preserve">The PORTRAIT-DYS study</w:t>
      </w:r>
    </w:p>
    <w:p w:rsidR="00000000" w:rsidDel="00000000" w:rsidP="00000000" w:rsidRDefault="00000000" w:rsidRPr="00000000" w14:paraId="000000DA">
      <w:pPr>
        <w:rPr/>
      </w:pPr>
      <w:hyperlink r:id="rId19">
        <w:r w:rsidDel="00000000" w:rsidR="00000000" w:rsidRPr="00000000">
          <w:rPr>
            <w:color w:val="1155cc"/>
            <w:u w:val="single"/>
            <w:rtl w:val="0"/>
          </w:rPr>
          <w:t xml:space="preserve">sciencedirect.com/science/article/pii/S0021915023002113</w:t>
        </w:r>
      </w:hyperlink>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Background and aims: </w:t>
      </w:r>
      <w:r w:rsidDel="00000000" w:rsidR="00000000" w:rsidRPr="00000000">
        <w:rPr>
          <w:rtl w:val="0"/>
        </w:rPr>
        <w:t xml:space="preserve">Cardiovascular (CV) diseases show clear differences in clinical manifestation and treatment outcomes between men and women. To reduce sex disparities in achieving lipid-lowering therapy (LLT) goals, a sex-focused assessment is essential and more studies are needed to bring new evidence to clinicians. This study aims to assess the role of sex in attaining low-density lipoprotein cholesterol (LDL-C) goals, after correction for age, CV risk category, LLT intensity, and presence of mental health disorder and social deprivation.</w:t>
      </w:r>
    </w:p>
    <w:p w:rsidR="00000000" w:rsidDel="00000000" w:rsidP="00000000" w:rsidRDefault="00000000" w:rsidRPr="00000000" w14:paraId="000000DC">
      <w:pPr>
        <w:rPr/>
      </w:pPr>
      <w:r w:rsidDel="00000000" w:rsidR="00000000" w:rsidRPr="00000000">
        <w:rPr>
          <w:b w:val="1"/>
          <w:bCs w:val="1"/>
          <w:rtl w:val="0"/>
        </w:rPr>
        <w:t xml:space="preserve">Methods: </w:t>
      </w:r>
      <w:r w:rsidDel="00000000" w:rsidR="00000000" w:rsidRPr="00000000">
        <w:rPr>
          <w:rtl w:val="0"/>
        </w:rPr>
        <w:t xml:space="preserve">A retrospective cohort analysis of patients aged 40–85, followed in 1 hospital and 14 primary care centers in Portugal, using electronic health records from 1/1/2012 to 31/12/2020, was performed. The analysis considered an episode-based design, where exposure consists of any time when LLT was started or intensity changed. The likelihood of reaching the LDL-C goal according to contemporary ESC/EAS guidelines was modeled using multivariate Cox regression. LDL-C goal achievement at 180 days was defined as the outcome. The analysis was repeated at 30-day follow-up intervals up to 360 days, and also stratified by CV risk category.</w:t>
      </w:r>
    </w:p>
    <w:p w:rsidR="00000000" w:rsidDel="00000000" w:rsidP="00000000" w:rsidRDefault="00000000" w:rsidRPr="00000000" w14:paraId="000000DD">
      <w:pPr>
        <w:rPr/>
      </w:pPr>
      <w:r w:rsidDel="00000000" w:rsidR="00000000" w:rsidRPr="00000000">
        <w:rPr>
          <w:b w:val="1"/>
          <w:bCs w:val="1"/>
          <w:rtl w:val="0"/>
        </w:rPr>
        <w:t xml:space="preserve">Results: </w:t>
      </w:r>
      <w:r w:rsidDel="00000000" w:rsidR="00000000" w:rsidRPr="00000000">
        <w:rPr>
          <w:rtl w:val="0"/>
        </w:rPr>
        <w:t xml:space="preserve">We identified 40,032 exposure episodes (LLT initiation or intensity change) in 30,323 distinct patients. Male sex, older age, lower CV risk and increasing LLT intensity were associated with improved LDL-C control. Women were 22% less likely to reach the LDL-C goal than men (HR = 0.78, 95% CI:0.73, 0.82) independently of covariates.</w:t>
      </w:r>
    </w:p>
    <w:p w:rsidR="00000000" w:rsidDel="00000000" w:rsidP="00000000" w:rsidRDefault="00000000" w:rsidRPr="00000000" w14:paraId="000000DE">
      <w:pPr>
        <w:rPr/>
      </w:pPr>
      <w:r w:rsidDel="00000000" w:rsidR="00000000" w:rsidRPr="00000000">
        <w:rPr>
          <w:b w:val="1"/>
          <w:bCs w:val="1"/>
          <w:rtl w:val="0"/>
        </w:rPr>
        <w:t xml:space="preserve">Conclusions: </w:t>
      </w:r>
      <w:r w:rsidDel="00000000" w:rsidR="00000000" w:rsidRPr="00000000">
        <w:rPr>
          <w:rtl w:val="0"/>
        </w:rPr>
        <w:t xml:space="preserve">Women have a lower likelihood of attaining LDL-C goals than men after adjustment for LLT intensity, age, CV risk category, presence of mental health disorder and social deprivation. This finding underscores the need for further investigation and tailoring of LLT management strategies in women.</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rPr>
          <w:vertAlign w:val="baseline"/>
        </w:rPr>
      </w:pPr>
      <w:bookmarkStart w:colFirst="0" w:colLast="0" w:name="_heading=h.c8zgypw7yh6q" w:id="40"/>
      <w:bookmarkEnd w:id="40"/>
      <w:r w:rsidDel="00000000" w:rsidR="00000000" w:rsidRPr="00000000">
        <w:rPr>
          <w:vertAlign w:val="baseline"/>
          <w:rtl w:val="0"/>
        </w:rPr>
        <w:t xml:space="preserve">Prevalence, outcomes and costs of a contemporary, multinational population with heart failure</w:t>
      </w:r>
    </w:p>
    <w:p w:rsidR="00000000" w:rsidDel="00000000" w:rsidP="00000000" w:rsidRDefault="00000000" w:rsidRPr="00000000" w14:paraId="000000E0">
      <w:pPr>
        <w:rPr/>
      </w:pPr>
      <w:hyperlink r:id="rId20">
        <w:r w:rsidDel="00000000" w:rsidR="00000000" w:rsidRPr="00000000">
          <w:rPr>
            <w:color w:val="1155cc"/>
            <w:u w:val="single"/>
            <w:rtl w:val="0"/>
          </w:rPr>
          <w:t xml:space="preserve">heart.bmj.com/content/109/7/548</w:t>
        </w:r>
      </w:hyperlink>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Objective:</w:t>
      </w:r>
      <w:r w:rsidDel="00000000" w:rsidR="00000000" w:rsidRPr="00000000">
        <w:rPr>
          <w:rtl w:val="0"/>
        </w:rPr>
        <w:t xml:space="preserve"> Digital healthcare systems could provide insights into the global prevalence of heart failure (HF). We designed the CardioRenal and Metabolic disease (CaReMe) HF study to estimate the prevalence, key clinical adverse outcomes and costs of HF across 11 countries.</w:t>
      </w:r>
    </w:p>
    <w:p w:rsidR="00000000" w:rsidDel="00000000" w:rsidP="00000000" w:rsidRDefault="00000000" w:rsidRPr="00000000" w14:paraId="000000E2">
      <w:pPr>
        <w:rPr/>
      </w:pPr>
      <w:r w:rsidDel="00000000" w:rsidR="00000000" w:rsidRPr="00000000">
        <w:rPr>
          <w:b w:val="1"/>
          <w:bCs w:val="1"/>
          <w:rtl w:val="0"/>
        </w:rPr>
        <w:t xml:space="preserve">Methods:</w:t>
      </w:r>
      <w:r w:rsidDel="00000000" w:rsidR="00000000" w:rsidRPr="00000000">
        <w:rPr>
          <w:rtl w:val="0"/>
        </w:rPr>
        <w:t xml:space="preserve"> Individual level data from a contemporary cohort of 6 29 624 patients with diagnosed HF was obtained from digital healthcare systems in participating countries using a prespecified, common study plan, and summarised using a random effects meta-analysis. A broad definition of HF (any registered HF diagnosis) and a strict definition (history of hospitalisation for HF) were used. Event rates were reported per 100 patient years. Cumulative hospital care costs per patient were calculated for a period of up to 5 years.</w:t>
      </w:r>
    </w:p>
    <w:p w:rsidR="00000000" w:rsidDel="00000000" w:rsidP="00000000" w:rsidRDefault="00000000" w:rsidRPr="00000000" w14:paraId="000000E3">
      <w:pPr>
        <w:rPr/>
      </w:pPr>
      <w:r w:rsidDel="00000000" w:rsidR="00000000" w:rsidRPr="00000000">
        <w:rPr>
          <w:b w:val="1"/>
          <w:bCs w:val="1"/>
          <w:rtl w:val="0"/>
        </w:rPr>
        <w:t xml:space="preserve">Results: </w:t>
      </w:r>
      <w:r w:rsidDel="00000000" w:rsidR="00000000" w:rsidRPr="00000000">
        <w:rPr>
          <w:rtl w:val="0"/>
        </w:rPr>
        <w:t xml:space="preserve">The prevalence of HF was 2.01% (95% CI 1.65 to 2.36) and 1.05% (0.85 to 1.25) according to the broad and strict definitions, respectively. In patients with HF (broad definition), mean age was 75.2 years (95% CI 74.0 to 76.4), 48.8% (40.9–56.8%) had ischaemic heart disease and 34.5% (29.4–39.6%) had diabetes. In 51 442 patients with a recorded ejection fraction (EF), 39.1% (30.3–47.8%) had a reduced, 18.8% (13.5–24.0%) had a mildly reduced and 42.1% (31.5–52.8%) had a preserved left ventricular EF. In 1 69 518 patients with recorded estimated glomerular filtration rate, 49% had chronic kidney disease (CKD) stages III–V. Event rates were highest for cardiorenal disease (HF or CKD) and all cause mortality (19.3 (95% CI 11.3 to 27.1) and 13.1 (11.1 to 15.1), respectively), and lower for myocardial infarction, stroke and peripheral artery disease. Hospital care costs were highest for cardiorenal diseases.</w:t>
      </w:r>
    </w:p>
    <w:p w:rsidR="00000000" w:rsidDel="00000000" w:rsidP="00000000" w:rsidRDefault="00000000" w:rsidRPr="00000000" w14:paraId="000000E4">
      <w:pPr>
        <w:rPr/>
      </w:pPr>
      <w:r w:rsidDel="00000000" w:rsidR="00000000" w:rsidRPr="00000000">
        <w:rPr>
          <w:b w:val="1"/>
          <w:bCs w:val="1"/>
          <w:rtl w:val="0"/>
        </w:rPr>
        <w:t xml:space="preserve">Conclusions:</w:t>
      </w:r>
      <w:r w:rsidDel="00000000" w:rsidR="00000000" w:rsidRPr="00000000">
        <w:rPr>
          <w:rtl w:val="0"/>
        </w:rPr>
        <w:t xml:space="preserve"> We estimate that 1–2% of the contemporary adult population has HF. These individuals are at significant risk of adverse outcomes and associated costs, predominantly driven by hospitalisations for HF or CKD. There is considerable public health potential in understanding the contemporary burden of HF and the importance of optimising its management.</w:t>
      </w:r>
    </w:p>
    <w:p w:rsidR="00000000" w:rsidDel="00000000" w:rsidP="00000000" w:rsidRDefault="00000000" w:rsidRPr="00000000" w14:paraId="000000E5">
      <w:pPr>
        <w:pStyle w:val="Heading2"/>
        <w:keepNext w:val="1"/>
        <w:keepLines w:val="1"/>
        <w:spacing w:before="0" w:line="276" w:lineRule="auto"/>
        <w:jc w:val="left"/>
        <w:rPr/>
      </w:pPr>
      <w:bookmarkStart w:colFirst="0" w:colLast="0" w:name="_heading=h.n5ihgivt04w1" w:id="41"/>
      <w:bookmarkEnd w:id="41"/>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rPr>
          <w:vertAlign w:val="baseline"/>
        </w:rPr>
      </w:pPr>
      <w:bookmarkStart w:colFirst="0" w:colLast="0" w:name="_heading=h.3um0hw226l1p" w:id="42"/>
      <w:bookmarkEnd w:id="42"/>
      <w:r w:rsidDel="00000000" w:rsidR="00000000" w:rsidRPr="00000000">
        <w:rPr>
          <w:vertAlign w:val="baseline"/>
          <w:rtl w:val="0"/>
        </w:rPr>
        <w:t xml:space="preserve">Prevalence, outcomes, and cost of chronic kidney disease in a contemporary</w:t>
      </w:r>
      <w:r w:rsidDel="00000000" w:rsidR="00000000" w:rsidRPr="00000000">
        <w:rPr>
          <w:rtl w:val="0"/>
        </w:rPr>
        <w:t xml:space="preserve"> </w:t>
      </w:r>
      <w:r w:rsidDel="00000000" w:rsidR="00000000" w:rsidRPr="00000000">
        <w:rPr>
          <w:vertAlign w:val="baseline"/>
          <w:rtl w:val="0"/>
        </w:rPr>
        <w:t xml:space="preserve">population of 2·4 million patients from 11 countries: The CaReMe CKD study</w:t>
      </w:r>
    </w:p>
    <w:p w:rsidR="00000000" w:rsidDel="00000000" w:rsidP="00000000" w:rsidRDefault="00000000" w:rsidRPr="00000000" w14:paraId="000000E7">
      <w:pPr>
        <w:rPr/>
      </w:pPr>
      <w:hyperlink r:id="rId21">
        <w:r w:rsidDel="00000000" w:rsidR="00000000" w:rsidRPr="00000000">
          <w:rPr>
            <w:color w:val="1155cc"/>
            <w:u w:val="single"/>
            <w:rtl w:val="0"/>
          </w:rPr>
          <w:t xml:space="preserve">thelancet.com/journals/lanepe/article/PIIS2666-7762(22)00132-6</w:t>
        </w:r>
      </w:hyperlink>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Background:</w:t>
      </w:r>
      <w:r w:rsidDel="00000000" w:rsidR="00000000" w:rsidRPr="00000000">
        <w:rPr>
          <w:rtl w:val="0"/>
        </w:rPr>
        <w:t xml:space="preserve"> Digital healthcare systems data could provide insights into the global prevalence of chronic kidney disease (CKD). We designed the CaReMe CKD study to estimate the prevalence, key clinical adverse outcomes and costs of CKD across 11 countries.</w:t>
      </w:r>
    </w:p>
    <w:p w:rsidR="00000000" w:rsidDel="00000000" w:rsidP="00000000" w:rsidRDefault="00000000" w:rsidRPr="00000000" w14:paraId="000000E9">
      <w:pPr>
        <w:rPr/>
      </w:pPr>
      <w:r w:rsidDel="00000000" w:rsidR="00000000" w:rsidRPr="00000000">
        <w:rPr>
          <w:b w:val="1"/>
          <w:bCs w:val="1"/>
          <w:rtl w:val="0"/>
        </w:rPr>
        <w:t xml:space="preserve">Methods:</w:t>
      </w:r>
      <w:r w:rsidDel="00000000" w:rsidR="00000000" w:rsidRPr="00000000">
        <w:rPr>
          <w:rtl w:val="0"/>
        </w:rPr>
        <w:t xml:space="preserve"> Individual-level data of a cohort of 2.4 million contemporaneous CKD patients was obtained from digital healthcare systems in participating countries using a pre-specified common protocol; summarized using random effects meta-analysis. CKD and its stages were defined in accordance with current Kidney Disease: Improving Global Outcomes (KDIGO) criteria. CKD was defined by laboratory values or by a diagnosis code.</w:t>
      </w:r>
    </w:p>
    <w:p w:rsidR="00000000" w:rsidDel="00000000" w:rsidP="00000000" w:rsidRDefault="00000000" w:rsidRPr="00000000" w14:paraId="000000EA">
      <w:pPr>
        <w:rPr/>
      </w:pPr>
      <w:r w:rsidDel="00000000" w:rsidR="00000000" w:rsidRPr="00000000">
        <w:rPr>
          <w:b w:val="1"/>
          <w:bCs w:val="1"/>
          <w:rtl w:val="0"/>
        </w:rPr>
        <w:t xml:space="preserve">Findings: </w:t>
      </w:r>
      <w:r w:rsidDel="00000000" w:rsidR="00000000" w:rsidRPr="00000000">
        <w:rPr>
          <w:rtl w:val="0"/>
        </w:rPr>
        <w:t xml:space="preserve">The pooled prevalence of possible CKD was 10.0% (95% confidence interval 8.5‒11.4; mean pooled age 75, 53% women, 38% diabetes, 60% using renin-angiotensin-aldosterone system inhibitors). Two out of three CKD patients identified by laboratory criteria did not have a corresponding CKD-specific diagnostic code. Among CKD patients identified by laboratory values, the majority (42%) were in KDIGO stage 3A; and this fraction was fairly consistent across countries. The share with CKD based on urine albumin-creatinine ratio (UACR) alone (KDIGO stages one and two) was 29%, with a substantial heterogeneity between countries. Adverse events were common; 6.5% were hospitalized for CKD or heart failure, and 6.2% died, annually. Costs for renal events and heart failure were consistently higher than costs for atherosclerotic events in CKD patients across all countries.</w:t>
      </w:r>
    </w:p>
    <w:p w:rsidR="00000000" w:rsidDel="00000000" w:rsidP="00000000" w:rsidRDefault="00000000" w:rsidRPr="00000000" w14:paraId="000000EB">
      <w:pPr>
        <w:rPr/>
      </w:pPr>
      <w:r w:rsidDel="00000000" w:rsidR="00000000" w:rsidRPr="00000000">
        <w:rPr>
          <w:b w:val="1"/>
          <w:bCs w:val="1"/>
          <w:rtl w:val="0"/>
        </w:rPr>
        <w:t xml:space="preserve">Interpretation: </w:t>
      </w:r>
      <w:r w:rsidDel="00000000" w:rsidR="00000000" w:rsidRPr="00000000">
        <w:rPr>
          <w:rtl w:val="0"/>
        </w:rPr>
        <w:t xml:space="preserve">We estimate that CKD is present in one out of ten adults. These individuals experience significant adverse outcomes with associated costs. The prevalence of CKD is underestimated when using diagnostic codes alone. There is considerable public health potential in diagnosing CKD and providing treatments to those currently undiagnosed.</w:t>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00" w:line="276" w:lineRule="auto"/>
        <w:ind w:left="0" w:right="0" w:firstLine="0"/>
        <w:jc w:val="center"/>
        <w:rPr>
          <w:rFonts w:ascii="Barlow Condensed Medium" w:cs="Barlow Condensed Medium" w:eastAsia="Barlow Condensed Medium" w:hAnsi="Barlow Condensed Medium"/>
          <w:b w:val="0"/>
          <w:bCs w:val="0"/>
          <w:i w:val="0"/>
          <w:iCs w:val="0"/>
          <w:smallCaps w:val="0"/>
          <w:strike w:val="0"/>
          <w:color w:val="005172"/>
          <w:sz w:val="40"/>
          <w:szCs w:val="40"/>
          <w:highlight w:val="white"/>
          <w:u w:val="none"/>
          <w:vertAlign w:val="baseline"/>
        </w:rPr>
      </w:pPr>
      <w:bookmarkStart w:colFirst="0" w:colLast="0" w:name="_heading=h.d3j6bgvh11ap" w:id="43"/>
      <w:bookmarkEnd w:id="43"/>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1"/>
        <w:keepLines w:val="1"/>
        <w:spacing w:before="0" w:line="276" w:lineRule="auto"/>
        <w:jc w:val="center"/>
        <w:rPr>
          <w:vertAlign w:val="baseline"/>
        </w:rPr>
      </w:pPr>
      <w:bookmarkStart w:colFirst="0" w:colLast="0" w:name="_heading=h.xh58m3ngtz97" w:id="44"/>
      <w:bookmarkEnd w:id="44"/>
      <w:r w:rsidDel="00000000" w:rsidR="00000000" w:rsidRPr="00000000">
        <w:rPr>
          <w:vertAlign w:val="baseline"/>
          <w:rtl w:val="0"/>
        </w:rPr>
        <w:t xml:space="preserve">Anexo II - Glossário</w:t>
      </w:r>
    </w:p>
    <w:p w:rsidR="00000000" w:rsidDel="00000000" w:rsidP="00000000" w:rsidRDefault="00000000" w:rsidRPr="00000000" w14:paraId="000000EE">
      <w:pPr>
        <w:pStyle w:val="Heading4"/>
        <w:rPr>
          <w:i w:val="1"/>
          <w:iCs w:val="1"/>
        </w:rPr>
      </w:pPr>
      <w:bookmarkStart w:colFirst="0" w:colLast="0" w:name="_heading=h.57s24jzg8aov" w:id="45"/>
      <w:bookmarkEnd w:id="45"/>
      <w:r w:rsidDel="00000000" w:rsidR="00000000" w:rsidRPr="00000000">
        <w:rPr>
          <w:i w:val="1"/>
          <w:iCs w:val="1"/>
          <w:rtl w:val="0"/>
        </w:rPr>
        <w:t xml:space="preserve">Algorithm goes to data</w:t>
      </w:r>
      <w:r w:rsidDel="00000000" w:rsidR="00000000" w:rsidRPr="00000000">
        <w:rPr>
          <w:rtl w:val="0"/>
        </w:rPr>
      </w:r>
    </w:p>
    <w:p w:rsidR="00000000" w:rsidDel="00000000" w:rsidP="00000000" w:rsidRDefault="00000000" w:rsidRPr="00000000" w14:paraId="000000EF">
      <w:pPr>
        <w:rPr>
          <w:shd w:fill="auto" w:val="clear"/>
        </w:rPr>
      </w:pPr>
      <w:r w:rsidDel="00000000" w:rsidR="00000000" w:rsidRPr="00000000">
        <w:rPr>
          <w:rtl w:val="0"/>
        </w:rPr>
        <w:t xml:space="preserve">Metodologia utilizada em ciência de dados que defende a execução dos algoritmos diretamente na localização onde os dados estão armazenados, em vez de transferir os dados para sistemas terceiros com o objetivo de viabilizar o seu processamento. Este método remove a necessidade de confiar o tratamento de dados a terceiros, removendo a eventual exposição de dados sensíveis durante a transferência e posterior processamento, mitigando riscos de acesso indevido, violações de privacidade e rastreabilidade do processamento de dados. Esta abordagem é amplamente utilizada em contextos que exigem elevada privacidade e segurança, como saúde, finanças e defesa, garantindo conformidade com o RGPD.</w:t>
      </w:r>
      <w:r w:rsidDel="00000000" w:rsidR="00000000" w:rsidRPr="00000000">
        <w:rPr>
          <w:rtl w:val="0"/>
        </w:rPr>
      </w:r>
    </w:p>
    <w:p w:rsidR="00000000" w:rsidDel="00000000" w:rsidP="00000000" w:rsidRDefault="00000000" w:rsidRPr="00000000" w14:paraId="000000F0">
      <w:pPr>
        <w:pStyle w:val="Heading4"/>
        <w:rPr>
          <w:vertAlign w:val="baseline"/>
        </w:rPr>
      </w:pPr>
      <w:bookmarkStart w:colFirst="0" w:colLast="0" w:name="_heading=h.7cguw72a4ml" w:id="46"/>
      <w:bookmarkEnd w:id="46"/>
      <w:r w:rsidDel="00000000" w:rsidR="00000000" w:rsidRPr="00000000">
        <w:rPr>
          <w:vertAlign w:val="baseline"/>
          <w:rtl w:val="0"/>
        </w:rPr>
        <w:t xml:space="preserve">ATLAS</w:t>
      </w:r>
    </w:p>
    <w:p w:rsidR="00000000" w:rsidDel="00000000" w:rsidP="00000000" w:rsidRDefault="00000000" w:rsidRPr="00000000" w14:paraId="000000F1">
      <w:pPr>
        <w:rPr/>
      </w:pP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i w:val="1"/>
          <w:iCs w:val="1"/>
          <w:rtl w:val="0"/>
        </w:rPr>
        <w:t xml:space="preserve">open-source</w:t>
      </w:r>
      <w:r w:rsidDel="00000000" w:rsidR="00000000" w:rsidRPr="00000000">
        <w:rPr>
          <w:rtl w:val="0"/>
        </w:rPr>
        <w:t xml:space="preserve"> mantido pela comunidade OHDSI (</w:t>
      </w:r>
      <w:r w:rsidDel="00000000" w:rsidR="00000000" w:rsidRPr="00000000">
        <w:rPr>
          <w:i w:val="1"/>
          <w:iCs w:val="1"/>
          <w:rtl w:val="0"/>
        </w:rPr>
        <w:t xml:space="preserve">Observational Data Science and Informatics</w:t>
      </w:r>
      <w:r w:rsidDel="00000000" w:rsidR="00000000" w:rsidRPr="00000000">
        <w:rPr>
          <w:rtl w:val="0"/>
        </w:rPr>
        <w:t xml:space="preserve">) que permite a análise de dados de saúde observacionais em larga escala de acordo com o standard internacional </w:t>
      </w:r>
      <w:r w:rsidDel="00000000" w:rsidR="00000000" w:rsidRPr="00000000">
        <w:rPr>
          <w:i w:val="1"/>
          <w:iCs w:val="1"/>
          <w:rtl w:val="0"/>
        </w:rPr>
        <w:t xml:space="preserve">Observational Medical Outcomes Partnership - Common Data Model</w:t>
      </w:r>
      <w:r w:rsidDel="00000000" w:rsidR="00000000" w:rsidRPr="00000000">
        <w:rPr>
          <w:rtl w:val="0"/>
        </w:rPr>
        <w:t xml:space="preserve"> (OMOP-CDM).</w:t>
      </w:r>
    </w:p>
    <w:p w:rsidR="00000000" w:rsidDel="00000000" w:rsidP="00000000" w:rsidRDefault="00000000" w:rsidRPr="00000000" w14:paraId="000000F2">
      <w:pPr>
        <w:pStyle w:val="Heading4"/>
        <w:rPr/>
      </w:pPr>
      <w:bookmarkStart w:colFirst="0" w:colLast="0" w:name="_heading=h.lzsj9bjn6uq2" w:id="47"/>
      <w:bookmarkEnd w:id="47"/>
      <w:r w:rsidDel="00000000" w:rsidR="00000000" w:rsidRPr="00000000">
        <w:rPr>
          <w:rtl w:val="0"/>
        </w:rPr>
        <w:t xml:space="preserve">Catálogos de metadados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0"/>
          <w:bCs w:val="0"/>
        </w:rPr>
      </w:pPr>
      <w:r w:rsidDel="00000000" w:rsidR="00000000" w:rsidRPr="00000000">
        <w:rPr>
          <w:shd w:fill="auto" w:val="clear"/>
          <w:rtl w:val="0"/>
        </w:rPr>
        <w:t xml:space="preserve">Catálogos</w:t>
      </w:r>
      <w:r w:rsidDel="00000000" w:rsidR="00000000" w:rsidRPr="00000000">
        <w:rPr>
          <w:b w:val="0"/>
          <w:bCs w:val="0"/>
          <w:shd w:fill="auto" w:val="clear"/>
          <w:rtl w:val="0"/>
        </w:rPr>
        <w:t xml:space="preserve"> que descrevem os </w:t>
      </w:r>
      <w:r w:rsidDel="00000000" w:rsidR="00000000" w:rsidRPr="00000000">
        <w:rPr>
          <w:shd w:fill="auto" w:val="clear"/>
          <w:rtl w:val="0"/>
        </w:rPr>
        <w:t xml:space="preserve">elementos</w:t>
      </w:r>
      <w:r w:rsidDel="00000000" w:rsidR="00000000" w:rsidRPr="00000000">
        <w:rPr>
          <w:b w:val="0"/>
          <w:bCs w:val="0"/>
          <w:shd w:fill="auto" w:val="clear"/>
          <w:rtl w:val="0"/>
        </w:rPr>
        <w:t xml:space="preserve"> relevantes d</w:t>
      </w:r>
      <w:r w:rsidDel="00000000" w:rsidR="00000000" w:rsidRPr="00000000">
        <w:rPr>
          <w:shd w:fill="auto" w:val="clear"/>
          <w:rtl w:val="0"/>
        </w:rPr>
        <w:t xml:space="preserve">a estrutura dos</w:t>
      </w:r>
      <w:r w:rsidDel="00000000" w:rsidR="00000000" w:rsidRPr="00000000">
        <w:rPr>
          <w:b w:val="0"/>
          <w:bCs w:val="0"/>
          <w:shd w:fill="auto" w:val="clear"/>
          <w:rtl w:val="0"/>
        </w:rPr>
        <w:t xml:space="preserve"> sistemas de informa</w:t>
      </w:r>
      <w:r w:rsidDel="00000000" w:rsidR="00000000" w:rsidRPr="00000000">
        <w:rPr>
          <w:shd w:fill="auto" w:val="clear"/>
          <w:rtl w:val="0"/>
        </w:rPr>
        <w:t xml:space="preserve">ção em uso pela Instituição e das terminologias utilizadas</w:t>
      </w:r>
      <w:r w:rsidDel="00000000" w:rsidR="00000000" w:rsidRPr="00000000">
        <w:rPr>
          <w:b w:val="0"/>
          <w:bCs w:val="0"/>
          <w:shd w:fill="auto" w:val="clear"/>
          <w:rtl w:val="0"/>
        </w:rPr>
        <w:t xml:space="preserve"> </w:t>
      </w:r>
      <w:r w:rsidDel="00000000" w:rsidR="00000000" w:rsidRPr="00000000">
        <w:rPr>
          <w:shd w:fill="auto" w:val="clear"/>
          <w:rtl w:val="0"/>
        </w:rPr>
        <w:t xml:space="preserve">nas bases de dados</w:t>
      </w:r>
      <w:r w:rsidDel="00000000" w:rsidR="00000000" w:rsidRPr="00000000">
        <w:rPr>
          <w:b w:val="0"/>
          <w:bCs w:val="0"/>
          <w:shd w:fill="auto" w:val="clear"/>
          <w:rtl w:val="0"/>
        </w:rPr>
        <w:t xml:space="preserve"> </w:t>
      </w:r>
      <w:r w:rsidDel="00000000" w:rsidR="00000000" w:rsidRPr="00000000">
        <w:rPr>
          <w:shd w:fill="auto" w:val="clear"/>
          <w:rtl w:val="0"/>
        </w:rPr>
        <w:t xml:space="preserve">desses sistemas</w:t>
      </w:r>
      <w:r w:rsidDel="00000000" w:rsidR="00000000" w:rsidRPr="00000000">
        <w:rPr>
          <w:b w:val="0"/>
          <w:bCs w:val="0"/>
          <w:shd w:fill="auto" w:val="clear"/>
          <w:rtl w:val="0"/>
        </w:rPr>
        <w:t xml:space="preserve">.</w:t>
      </w:r>
      <w:r w:rsidDel="00000000" w:rsidR="00000000" w:rsidRPr="00000000">
        <w:rPr>
          <w:b w:val="0"/>
          <w:bCs w:val="0"/>
          <w:rtl w:val="0"/>
        </w:rPr>
        <w:t xml:space="preserve"> S</w:t>
      </w:r>
      <w:r w:rsidDel="00000000" w:rsidR="00000000" w:rsidRPr="00000000">
        <w:rPr>
          <w:rtl w:val="0"/>
        </w:rPr>
        <w:t xml:space="preserve">ão também vulgarmente denominados como dados mestre. </w:t>
      </w:r>
      <w:r w:rsidDel="00000000" w:rsidR="00000000" w:rsidRPr="00000000">
        <w:rPr>
          <w:b w:val="0"/>
          <w:bCs w:val="0"/>
          <w:rtl w:val="0"/>
        </w:rPr>
        <w:t xml:space="preserve">Estes metadados não</w:t>
      </w:r>
      <w:r w:rsidDel="00000000" w:rsidR="00000000" w:rsidRPr="00000000">
        <w:rPr>
          <w:rtl w:val="0"/>
        </w:rPr>
        <w:t xml:space="preserve"> são</w:t>
      </w:r>
      <w:r w:rsidDel="00000000" w:rsidR="00000000" w:rsidRPr="00000000">
        <w:rPr>
          <w:b w:val="0"/>
          <w:bCs w:val="0"/>
          <w:rtl w:val="0"/>
        </w:rPr>
        <w:t xml:space="preserve"> dados pessoais, pelo que n</w:t>
      </w:r>
      <w:r w:rsidDel="00000000" w:rsidR="00000000" w:rsidRPr="00000000">
        <w:rPr>
          <w:rtl w:val="0"/>
        </w:rPr>
        <w:t xml:space="preserve">ão se lhes aplica o RGPD. Os metadados são condição necessária e suficiente</w:t>
      </w:r>
      <w:r w:rsidDel="00000000" w:rsidR="00000000" w:rsidRPr="00000000">
        <w:rPr>
          <w:b w:val="0"/>
          <w:bCs w:val="0"/>
          <w:rtl w:val="0"/>
        </w:rPr>
        <w:t xml:space="preserve"> para o desenvolvimento de processos de</w:t>
      </w:r>
      <w:r w:rsidDel="00000000" w:rsidR="00000000" w:rsidRPr="00000000">
        <w:rPr>
          <w:color w:val="00796b"/>
          <w:sz w:val="20"/>
          <w:szCs w:val="20"/>
          <w:shd w:fill="auto" w:val="clear"/>
          <w:rtl w:val="0"/>
        </w:rPr>
        <w:t xml:space="preserve"> </w:t>
      </w:r>
      <w:r w:rsidDel="00000000" w:rsidR="00000000" w:rsidRPr="00000000">
        <w:rPr>
          <w:i w:val="1"/>
          <w:iCs w:val="1"/>
          <w:rtl w:val="0"/>
        </w:rPr>
        <w:t xml:space="preserve">Extract, transform, and load</w:t>
      </w:r>
      <w:r w:rsidDel="00000000" w:rsidR="00000000" w:rsidRPr="00000000">
        <w:rPr>
          <w:sz w:val="20"/>
          <w:szCs w:val="20"/>
          <w:shd w:fill="auto" w:val="clear"/>
          <w:rtl w:val="0"/>
        </w:rPr>
        <w:t xml:space="preserve"> (ETL) </w:t>
      </w:r>
      <w:r w:rsidDel="00000000" w:rsidR="00000000" w:rsidRPr="00000000">
        <w:rPr>
          <w:rtl w:val="0"/>
        </w:rPr>
        <w:t xml:space="preserve">e de</w:t>
      </w:r>
      <w:r w:rsidDel="00000000" w:rsidR="00000000" w:rsidRPr="00000000">
        <w:rPr>
          <w:b w:val="0"/>
          <w:bCs w:val="0"/>
          <w:rtl w:val="0"/>
        </w:rPr>
        <w:t xml:space="preserve"> </w:t>
      </w:r>
      <w:r w:rsidDel="00000000" w:rsidR="00000000" w:rsidRPr="00000000">
        <w:rPr>
          <w:b w:val="0"/>
          <w:bCs w:val="0"/>
          <w:i w:val="1"/>
          <w:iCs w:val="1"/>
          <w:rtl w:val="0"/>
        </w:rPr>
        <w:t xml:space="preserve">Study Packages</w:t>
      </w:r>
      <w:r w:rsidDel="00000000" w:rsidR="00000000" w:rsidRPr="00000000">
        <w:rPr>
          <w:b w:val="0"/>
          <w:bCs w:val="0"/>
          <w:rtl w:val="0"/>
        </w:rPr>
        <w:t xml:space="preserve">.</w:t>
      </w:r>
    </w:p>
    <w:p w:rsidR="00000000" w:rsidDel="00000000" w:rsidP="00000000" w:rsidRDefault="00000000" w:rsidRPr="00000000" w14:paraId="000000F4">
      <w:pPr>
        <w:pStyle w:val="Heading4"/>
        <w:keepNext w:val="1"/>
        <w:keepLines w:val="1"/>
        <w:spacing w:after="0" w:lineRule="auto"/>
        <w:rPr>
          <w:i w:val="1"/>
          <w:iCs w:val="1"/>
          <w:vertAlign w:val="baseline"/>
        </w:rPr>
      </w:pPr>
      <w:bookmarkStart w:colFirst="0" w:colLast="0" w:name="_heading=h.839bz45vhb2s" w:id="48"/>
      <w:bookmarkEnd w:id="48"/>
      <w:r w:rsidDel="00000000" w:rsidR="00000000" w:rsidRPr="00000000">
        <w:rPr>
          <w:i w:val="1"/>
          <w:iCs w:val="1"/>
          <w:vertAlign w:val="baseline"/>
          <w:rtl w:val="0"/>
        </w:rPr>
        <w:t xml:space="preserve">Dashboards</w:t>
      </w:r>
    </w:p>
    <w:p w:rsidR="00000000" w:rsidDel="00000000" w:rsidP="00000000" w:rsidRDefault="00000000" w:rsidRPr="00000000" w14:paraId="000000F5">
      <w:pPr>
        <w:rPr/>
      </w:pPr>
      <w:r w:rsidDel="00000000" w:rsidR="00000000" w:rsidRPr="00000000">
        <w:rPr>
          <w:rtl w:val="0"/>
        </w:rPr>
        <w:t xml:space="preserve">Interfaces visuais e interativas que permitem visualizar e analisar grandes conjuntos de dados de forma intuitiva. A configuração destes </w:t>
      </w:r>
      <w:r w:rsidDel="00000000" w:rsidR="00000000" w:rsidRPr="00000000">
        <w:rPr>
          <w:i w:val="1"/>
          <w:iCs w:val="1"/>
          <w:rtl w:val="0"/>
        </w:rPr>
        <w:t xml:space="preserve">dashboards</w:t>
      </w:r>
      <w:r w:rsidDel="00000000" w:rsidR="00000000" w:rsidRPr="00000000">
        <w:rPr>
          <w:rtl w:val="0"/>
        </w:rPr>
        <w:t xml:space="preserve"> é especificada na fase de planeamento da iniciativa I&amp;D, mais especificamente no plano de análise estatística, antes da produção dos resultados.</w:t>
      </w:r>
    </w:p>
    <w:p w:rsidR="00000000" w:rsidDel="00000000" w:rsidP="00000000" w:rsidRDefault="00000000" w:rsidRPr="00000000" w14:paraId="000000F6">
      <w:pPr>
        <w:pStyle w:val="Heading4"/>
        <w:keepNext w:val="1"/>
        <w:keepLines w:val="1"/>
        <w:spacing w:after="0" w:lineRule="auto"/>
        <w:rPr>
          <w:i w:val="1"/>
          <w:iCs w:val="1"/>
          <w:vertAlign w:val="baseline"/>
        </w:rPr>
      </w:pPr>
      <w:bookmarkStart w:colFirst="0" w:colLast="0" w:name="_heading=h.7myjqwhuvoqr" w:id="49"/>
      <w:bookmarkEnd w:id="49"/>
      <w:r w:rsidDel="00000000" w:rsidR="00000000" w:rsidRPr="00000000">
        <w:rPr>
          <w:i w:val="1"/>
          <w:iCs w:val="1"/>
          <w:vertAlign w:val="baseline"/>
          <w:rtl w:val="0"/>
        </w:rPr>
        <w:t xml:space="preserve">European Health Data Evidence Network Foundation</w:t>
      </w:r>
    </w:p>
    <w:p w:rsidR="00000000" w:rsidDel="00000000" w:rsidP="00000000" w:rsidRDefault="00000000" w:rsidRPr="00000000" w14:paraId="000000F7">
      <w:pPr>
        <w:rPr>
          <w:i w:val="1"/>
          <w:iCs w:val="1"/>
        </w:rPr>
      </w:pPr>
      <w:r w:rsidDel="00000000" w:rsidR="00000000" w:rsidRPr="00000000">
        <w:rPr>
          <w:rtl w:val="0"/>
        </w:rPr>
        <w:t xml:space="preserve">Rede europeia que visa facilitar a reutilização de dados clínicos em larga escala para gerar conhecimento científico. Mais informação em </w:t>
      </w:r>
      <w:hyperlink r:id="rId22">
        <w:r w:rsidDel="00000000" w:rsidR="00000000" w:rsidRPr="00000000">
          <w:rPr>
            <w:color w:val="1155cc"/>
            <w:u w:val="single"/>
            <w:rtl w:val="0"/>
          </w:rPr>
          <w:t xml:space="preserve">www.ehden.eu</w:t>
        </w:r>
      </w:hyperlink>
      <w:r w:rsidDel="00000000" w:rsidR="00000000" w:rsidRPr="00000000">
        <w:rPr>
          <w:rtl w:val="0"/>
        </w:rPr>
      </w:r>
    </w:p>
    <w:p w:rsidR="00000000" w:rsidDel="00000000" w:rsidP="00000000" w:rsidRDefault="00000000" w:rsidRPr="00000000" w14:paraId="000000F8">
      <w:pPr>
        <w:pStyle w:val="Heading4"/>
        <w:keepNext w:val="1"/>
        <w:keepLines w:val="1"/>
        <w:spacing w:after="0" w:lineRule="auto"/>
        <w:rPr>
          <w:i w:val="1"/>
          <w:iCs w:val="1"/>
          <w:vertAlign w:val="baseline"/>
        </w:rPr>
      </w:pPr>
      <w:bookmarkStart w:colFirst="0" w:colLast="0" w:name="_heading=h.yjks4bhp4352" w:id="50"/>
      <w:bookmarkEnd w:id="50"/>
      <w:r w:rsidDel="00000000" w:rsidR="00000000" w:rsidRPr="00000000">
        <w:rPr>
          <w:i w:val="1"/>
          <w:iCs w:val="1"/>
          <w:vertAlign w:val="baseline"/>
          <w:rtl w:val="0"/>
        </w:rPr>
        <w:t xml:space="preserve">European Health Data Space</w:t>
      </w:r>
    </w:p>
    <w:p w:rsidR="00000000" w:rsidDel="00000000" w:rsidP="00000000" w:rsidRDefault="00000000" w:rsidRPr="00000000" w14:paraId="000000F9">
      <w:pPr>
        <w:rPr>
          <w:highlight w:val="white"/>
        </w:rPr>
      </w:pPr>
      <w:r w:rsidDel="00000000" w:rsidR="00000000" w:rsidRPr="00000000">
        <w:rPr>
          <w:rtl w:val="0"/>
        </w:rPr>
        <w:t xml:space="preserve">Ecossistema específico da saúde composto por regras, normas e práticas comuns, infraestruturas e uma estrutura de governança que visa fornecer um sistema consistente, confiável e eficiente para reutilização de dados de saúde para investigação, inovação, formulação de políticas e atividades regulatórias. É um pilar fundamental da União Europeia da Saúde, baseando-se no Regulamento Geral de Proteção de Dados (RGPD) e na Diretiva NIS 2 (Nível de cibersegurança). Mais informação em </w:t>
      </w:r>
      <w:hyperlink r:id="rId23">
        <w:r w:rsidDel="00000000" w:rsidR="00000000" w:rsidRPr="00000000">
          <w:rPr>
            <w:color w:val="1155cc"/>
            <w:u w:val="single"/>
            <w:rtl w:val="0"/>
          </w:rPr>
          <w:t xml:space="preserve">www.european-health-data-space.com</w:t>
        </w:r>
      </w:hyperlink>
      <w:r w:rsidDel="00000000" w:rsidR="00000000" w:rsidRPr="00000000">
        <w:rPr>
          <w:rtl w:val="0"/>
        </w:rPr>
      </w:r>
    </w:p>
    <w:p w:rsidR="00000000" w:rsidDel="00000000" w:rsidP="00000000" w:rsidRDefault="00000000" w:rsidRPr="00000000" w14:paraId="000000FA">
      <w:pPr>
        <w:pStyle w:val="Heading4"/>
        <w:rPr>
          <w:shd w:fill="auto" w:val="clear"/>
        </w:rPr>
      </w:pPr>
      <w:bookmarkStart w:colFirst="0" w:colLast="0" w:name="_heading=h.cafrmkm31h20" w:id="51"/>
      <w:bookmarkEnd w:id="51"/>
      <w:r w:rsidDel="00000000" w:rsidR="00000000" w:rsidRPr="00000000">
        <w:rPr>
          <w:shd w:fill="auto" w:val="clear"/>
          <w:rtl w:val="0"/>
        </w:rPr>
        <w:t xml:space="preserve">Resultados Agregados e Anonimizados de Forma Irreversível</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0"/>
          <w:bCs w:val="0"/>
          <w:shd w:fill="auto" w:val="clear"/>
        </w:rPr>
      </w:pPr>
      <w:r w:rsidDel="00000000" w:rsidR="00000000" w:rsidRPr="00000000">
        <w:rPr>
          <w:b w:val="0"/>
          <w:bCs w:val="0"/>
          <w:shd w:fill="auto" w:val="clear"/>
          <w:rtl w:val="0"/>
        </w:rPr>
        <w:t xml:space="preserve">Informações combinadas a </w:t>
      </w:r>
      <w:r w:rsidDel="00000000" w:rsidR="00000000" w:rsidRPr="00000000">
        <w:rPr>
          <w:shd w:fill="auto" w:val="clear"/>
          <w:rtl w:val="0"/>
        </w:rPr>
        <w:t xml:space="preserve">anonimizadas resultantes de computação sobre conjuntos de </w:t>
      </w:r>
      <w:r w:rsidDel="00000000" w:rsidR="00000000" w:rsidRPr="00000000">
        <w:rPr>
          <w:b w:val="0"/>
          <w:bCs w:val="0"/>
          <w:shd w:fill="auto" w:val="clear"/>
          <w:rtl w:val="0"/>
        </w:rPr>
        <w:t xml:space="preserve">indivíduos, </w:t>
      </w:r>
      <w:r w:rsidDel="00000000" w:rsidR="00000000" w:rsidRPr="00000000">
        <w:rPr>
          <w:shd w:fill="auto" w:val="clear"/>
          <w:rtl w:val="0"/>
        </w:rPr>
        <w:t xml:space="preserve">garantindo a irreversibilidade da identificação dos titulares de dados</w:t>
      </w:r>
      <w:r w:rsidDel="00000000" w:rsidR="00000000" w:rsidRPr="00000000">
        <w:rPr>
          <w:b w:val="0"/>
          <w:bCs w:val="0"/>
          <w:shd w:fill="auto" w:val="clear"/>
          <w:rtl w:val="0"/>
        </w:rPr>
        <w:t xml:space="preserve">. Tais resultados n</w:t>
      </w:r>
      <w:r w:rsidDel="00000000" w:rsidR="00000000" w:rsidRPr="00000000">
        <w:rPr>
          <w:shd w:fill="auto" w:val="clear"/>
          <w:rtl w:val="0"/>
        </w:rPr>
        <w:t xml:space="preserve">ão são por isso sujeitos ao RGPD. Esses resultados podem ser apresentados</w:t>
      </w:r>
      <w:r w:rsidDel="00000000" w:rsidR="00000000" w:rsidRPr="00000000">
        <w:rPr>
          <w:b w:val="0"/>
          <w:bCs w:val="0"/>
          <w:shd w:fill="auto" w:val="clear"/>
          <w:rtl w:val="0"/>
        </w:rPr>
        <w:t xml:space="preserve"> em d</w:t>
      </w:r>
      <w:r w:rsidDel="00000000" w:rsidR="00000000" w:rsidRPr="00000000">
        <w:rPr>
          <w:b w:val="0"/>
          <w:bCs w:val="0"/>
          <w:i w:val="1"/>
          <w:iCs w:val="1"/>
          <w:shd w:fill="auto" w:val="clear"/>
          <w:rtl w:val="0"/>
        </w:rPr>
        <w:t xml:space="preserve">ashboards</w:t>
      </w:r>
      <w:r w:rsidDel="00000000" w:rsidR="00000000" w:rsidRPr="00000000">
        <w:rPr>
          <w:b w:val="0"/>
          <w:bCs w:val="0"/>
          <w:shd w:fill="auto" w:val="clear"/>
          <w:rtl w:val="0"/>
        </w:rPr>
        <w:t xml:space="preserve"> ou sob a forma de </w:t>
      </w:r>
      <w:r w:rsidDel="00000000" w:rsidR="00000000" w:rsidRPr="00000000">
        <w:rPr>
          <w:b w:val="0"/>
          <w:bCs w:val="0"/>
          <w:i w:val="1"/>
          <w:iCs w:val="1"/>
          <w:shd w:fill="auto" w:val="clear"/>
          <w:rtl w:val="0"/>
        </w:rPr>
        <w:t xml:space="preserve">Tier 1 Tables</w:t>
      </w:r>
      <w:r w:rsidDel="00000000" w:rsidR="00000000" w:rsidRPr="00000000">
        <w:rPr>
          <w:b w:val="0"/>
          <w:bCs w:val="0"/>
          <w:shd w:fill="auto" w:val="clear"/>
          <w:rtl w:val="0"/>
        </w:rPr>
        <w:t xml:space="preserve">.</w:t>
      </w:r>
    </w:p>
    <w:p w:rsidR="00000000" w:rsidDel="00000000" w:rsidP="00000000" w:rsidRDefault="00000000" w:rsidRPr="00000000" w14:paraId="000000FC">
      <w:pPr>
        <w:pStyle w:val="Heading4"/>
        <w:keepNext w:val="1"/>
        <w:keepLines w:val="1"/>
        <w:spacing w:after="0" w:lineRule="auto"/>
        <w:rPr>
          <w:i w:val="1"/>
          <w:iCs w:val="1"/>
          <w:vertAlign w:val="baseline"/>
        </w:rPr>
      </w:pPr>
      <w:bookmarkStart w:colFirst="0" w:colLast="0" w:name="_heading=h.xldcohh2wc34" w:id="52"/>
      <w:bookmarkEnd w:id="52"/>
      <w:r w:rsidDel="00000000" w:rsidR="00000000" w:rsidRPr="00000000">
        <w:rPr>
          <w:i w:val="1"/>
          <w:iCs w:val="1"/>
          <w:vertAlign w:val="baseline"/>
          <w:rtl w:val="0"/>
        </w:rPr>
        <w:t xml:space="preserve">Study Package</w:t>
      </w:r>
    </w:p>
    <w:p w:rsidR="00000000" w:rsidDel="00000000" w:rsidP="00000000" w:rsidRDefault="00000000" w:rsidRPr="00000000" w14:paraId="000000FD">
      <w:pPr>
        <w:rPr/>
      </w:pPr>
      <w:r w:rsidDel="00000000" w:rsidR="00000000" w:rsidRPr="00000000">
        <w:rPr>
          <w:rtl w:val="0"/>
        </w:rPr>
        <w:t xml:space="preserve">Elementos de </w:t>
      </w:r>
      <w:r w:rsidDel="00000000" w:rsidR="00000000" w:rsidRPr="00000000">
        <w:rPr>
          <w:i w:val="1"/>
          <w:iCs w:val="1"/>
          <w:rtl w:val="0"/>
        </w:rPr>
        <w:t xml:space="preserve">software</w:t>
      </w:r>
      <w:r w:rsidDel="00000000" w:rsidR="00000000" w:rsidRPr="00000000">
        <w:rPr>
          <w:rtl w:val="0"/>
        </w:rPr>
        <w:t xml:space="preserve"> desenvolvidos especificamente para processar registos eletrónicos de saúde em formatos cuja especificação seja conhecida, implementando eventuais rotinas de limpeza, agregação, sumário, análise estatística, ciência de dados, ou inteligência artificial ou outras, que resultem na produção dos artefactos de processamento definidos no plano de análise estatística. A execução do </w:t>
      </w:r>
      <w:r w:rsidDel="00000000" w:rsidR="00000000" w:rsidRPr="00000000">
        <w:rPr>
          <w:i w:val="1"/>
          <w:iCs w:val="1"/>
          <w:rtl w:val="0"/>
        </w:rPr>
        <w:t xml:space="preserve">Study Package</w:t>
      </w:r>
      <w:r w:rsidDel="00000000" w:rsidR="00000000" w:rsidRPr="00000000">
        <w:rPr>
          <w:rtl w:val="0"/>
        </w:rPr>
        <w:t xml:space="preserve"> é realizada diretamente na infraestrutura local da Instituição, em ambiente dedicado e seguro.</w:t>
      </w:r>
    </w:p>
    <w:p w:rsidR="00000000" w:rsidDel="00000000" w:rsidP="00000000" w:rsidRDefault="00000000" w:rsidRPr="00000000" w14:paraId="000000FE">
      <w:pPr>
        <w:pStyle w:val="Heading4"/>
        <w:keepNext w:val="1"/>
        <w:keepLines w:val="1"/>
        <w:spacing w:after="0" w:lineRule="auto"/>
        <w:rPr>
          <w:i w:val="1"/>
          <w:iCs w:val="1"/>
          <w:vertAlign w:val="baseline"/>
        </w:rPr>
      </w:pPr>
      <w:bookmarkStart w:colFirst="0" w:colLast="0" w:name="_heading=h.7dfjsdk85z2n" w:id="53"/>
      <w:bookmarkEnd w:id="53"/>
      <w:r w:rsidDel="00000000" w:rsidR="00000000" w:rsidRPr="00000000">
        <w:rPr>
          <w:i w:val="1"/>
          <w:iCs w:val="1"/>
          <w:vertAlign w:val="baseline"/>
          <w:rtl w:val="0"/>
        </w:rPr>
        <w:t xml:space="preserve">Tier 1 Tables</w:t>
      </w:r>
    </w:p>
    <w:p w:rsidR="00000000" w:rsidDel="00000000" w:rsidP="00000000" w:rsidRDefault="00000000" w:rsidRPr="00000000" w14:paraId="000000FF">
      <w:pPr>
        <w:rPr/>
      </w:pPr>
      <w:r w:rsidDel="00000000" w:rsidR="00000000" w:rsidRPr="00000000">
        <w:rPr>
          <w:rtl w:val="0"/>
        </w:rPr>
        <w:t xml:space="preserve">Tabelas usadas para apresentar os dados e análises do estudo. Os modelos destas tabelas (</w:t>
      </w:r>
      <w:r w:rsidDel="00000000" w:rsidR="00000000" w:rsidRPr="00000000">
        <w:rPr>
          <w:i w:val="1"/>
          <w:iCs w:val="1"/>
          <w:rtl w:val="0"/>
        </w:rPr>
        <w:t xml:space="preserve">Tier 1 Table Shells</w:t>
      </w:r>
      <w:r w:rsidDel="00000000" w:rsidR="00000000" w:rsidRPr="00000000">
        <w:rPr>
          <w:rtl w:val="0"/>
        </w:rPr>
        <w:t xml:space="preserve">) definem exatamente o </w:t>
      </w:r>
      <w:r w:rsidDel="00000000" w:rsidR="00000000" w:rsidRPr="00000000">
        <w:rPr>
          <w:i w:val="1"/>
          <w:iCs w:val="1"/>
          <w:rtl w:val="0"/>
        </w:rPr>
        <w:t xml:space="preserve">layout</w:t>
      </w:r>
      <w:r w:rsidDel="00000000" w:rsidR="00000000" w:rsidRPr="00000000">
        <w:rPr>
          <w:rtl w:val="0"/>
        </w:rPr>
        <w:t xml:space="preserve">, conteúdo e formato do </w:t>
      </w:r>
      <w:r w:rsidDel="00000000" w:rsidR="00000000" w:rsidRPr="00000000">
        <w:rPr>
          <w:i w:val="1"/>
          <w:iCs w:val="1"/>
          <w:rtl w:val="0"/>
        </w:rPr>
        <w:t xml:space="preserve">output</w:t>
      </w:r>
      <w:r w:rsidDel="00000000" w:rsidR="00000000" w:rsidRPr="00000000">
        <w:rPr>
          <w:rtl w:val="0"/>
        </w:rPr>
        <w:t xml:space="preserve">, e são especificadas na fase de planeamento da iniciativa I&amp;D, fazendo parte do plano de análise estatística, sendo por isso criadas antes da produção de resultados. Os Encarregados de Proteção de Dados da Instituição são incentivados a rever a estrutura das </w:t>
      </w:r>
      <w:r w:rsidDel="00000000" w:rsidR="00000000" w:rsidRPr="00000000">
        <w:rPr>
          <w:i w:val="1"/>
          <w:iCs w:val="1"/>
          <w:rtl w:val="0"/>
        </w:rPr>
        <w:t xml:space="preserve">Tier 1 Table Shells</w:t>
      </w:r>
      <w:r w:rsidDel="00000000" w:rsidR="00000000" w:rsidRPr="00000000">
        <w:rPr>
          <w:rtl w:val="0"/>
        </w:rPr>
        <w:t xml:space="preserve">, nomeadamente as categorias de variáveis e seus elementos individuais de reporte, bem como a dimensão mínima do valor agregado a reportar em cada célula, com vista a aferir adequadamente o risco de identificação reversa de pessoas singulares. O número de observações mínimo para que se reporte o valor em determinada célula de uma </w:t>
      </w:r>
      <w:r w:rsidDel="00000000" w:rsidR="00000000" w:rsidRPr="00000000">
        <w:rPr>
          <w:i w:val="1"/>
          <w:iCs w:val="1"/>
          <w:rtl w:val="0"/>
        </w:rPr>
        <w:t xml:space="preserve">Tier 1 Table Shell</w:t>
      </w:r>
      <w:r w:rsidDel="00000000" w:rsidR="00000000" w:rsidRPr="00000000">
        <w:rPr>
          <w:rtl w:val="0"/>
        </w:rPr>
        <w:t xml:space="preserve"> é 5 (cinco). Espera-se que o Encarregado de Proteção de Dados da Instituição reveja este parâmetro durante a avaliação de impacto de forma a minimizar qualquer risco de identificação reversa que considere poder ser secundário à estrutura da </w:t>
      </w:r>
      <w:r w:rsidDel="00000000" w:rsidR="00000000" w:rsidRPr="00000000">
        <w:rPr>
          <w:i w:val="1"/>
          <w:iCs w:val="1"/>
          <w:rtl w:val="0"/>
        </w:rPr>
        <w:t xml:space="preserve">Tier 1 Table Shell</w:t>
      </w:r>
      <w:r w:rsidDel="00000000" w:rsidR="00000000" w:rsidRPr="00000000">
        <w:rPr>
          <w:rtl w:val="0"/>
        </w:rPr>
        <w:t xml:space="preserve">.</w:t>
      </w:r>
    </w:p>
    <w:sectPr>
      <w:headerReference r:id="rId24" w:type="default"/>
      <w:headerReference r:id="rId25" w:type="first"/>
      <w:footerReference r:id="rId26" w:type="default"/>
      <w:footerReference r:id="rId27" w:type="first"/>
      <w:pgSz w:h="16838" w:w="11906" w:orient="portrait"/>
      <w:pgMar w:bottom="1440" w:top="180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Condense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PT Mono">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tabs>
        <w:tab w:val="right" w:leader="none" w:pos="8993"/>
      </w:tabs>
      <w:spacing w:after="0" w:line="240" w:lineRule="auto"/>
      <w:jc w:val="left"/>
      <w:rPr>
        <w:sz w:val="18"/>
        <w:szCs w:val="18"/>
      </w:rPr>
    </w:pPr>
    <w:r w:rsidDel="00000000" w:rsidR="00000000" w:rsidRPr="00000000">
      <w:rPr>
        <w:b w:val="1"/>
        <w:bCs w:val="1"/>
        <w:sz w:val="18"/>
        <w:szCs w:val="18"/>
        <w:rtl w:val="0"/>
      </w:rPr>
      <w:t xml:space="preserve">MTG Research and Development Lab</w:t>
    </w:r>
    <w:r w:rsidDel="00000000" w:rsidR="00000000" w:rsidRPr="00000000">
      <w:rPr>
        <w:sz w:val="18"/>
        <w:szCs w:val="18"/>
        <w:rtl w:val="0"/>
      </w:rPr>
      <w:t xml:space="preserve"> | MTG-TPL-015 v3.0.0</w:t>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tabs>
        <w:tab w:val="left" w:leader="none" w:pos="7830"/>
        <w:tab w:val="left" w:leader="none" w:pos="6376"/>
        <w:tab w:val="left" w:leader="none" w:pos="5040"/>
        <w:tab w:val="left" w:leader="none" w:pos="2070"/>
      </w:tabs>
      <w:spacing w:after="0" w:line="240" w:lineRule="auto"/>
      <w:jc w:val="left"/>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highlight w:val="white"/>
        <w:lang w:val="pt-PT"/>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0" w:before="240" w:lineRule="auto"/>
    </w:pPr>
    <w:rPr>
      <w:rFonts w:ascii="Barlow Condensed Medium" w:cs="Barlow Condensed Medium" w:eastAsia="Barlow Condensed Medium" w:hAnsi="Barlow Condensed Medium"/>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qFormat w:val="1"/>
    <w:rsid w:val="00033876"/>
    <w:rPr>
      <w:lang w:eastAsia="pt-PT"/>
    </w:rPr>
  </w:style>
  <w:style w:type="paragraph" w:styleId="Ttulo1">
    <w:name w:val="heading 1"/>
    <w:basedOn w:val="Normal"/>
    <w:next w:val="Normal"/>
    <w:link w:val="Ttulo1Carter"/>
    <w:uiPriority w:val="9"/>
    <w:qFormat w:val="1"/>
    <w:rsid w:val="00033876"/>
    <w:pPr>
      <w:keepNext w:val="1"/>
      <w:keepLines w:val="1"/>
      <w:spacing w:before="400" w:line="276" w:lineRule="auto"/>
      <w:jc w:val="left"/>
      <w:outlineLvl w:val="0"/>
    </w:pPr>
    <w:rPr>
      <w:rFonts w:ascii="Barlow Condensed Medium" w:cs="Barlow Condensed Medium" w:eastAsia="Barlow Condensed Medium" w:hAnsi="Barlow Condensed Medium"/>
      <w:color w:val="005172"/>
      <w:sz w:val="40"/>
      <w:szCs w:val="40"/>
    </w:rPr>
  </w:style>
  <w:style w:type="paragraph" w:styleId="Ttulo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Tipodeletrapredefinidodopargraf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character" w:styleId="Ttulo1Carter" w:customStyle="1">
    <w:name w:val="Título 1 Caráter"/>
    <w:basedOn w:val="Tipodeletrapredefinidodopargrafo"/>
    <w:link w:val="Ttulo1"/>
    <w:uiPriority w:val="9"/>
    <w:rsid w:val="00033876"/>
    <w:rPr>
      <w:rFonts w:ascii="Barlow Condensed Medium" w:cs="Barlow Condensed Medium" w:eastAsia="Barlow Condensed Medium" w:hAnsi="Barlow Condensed Medium"/>
      <w:color w:val="005172"/>
      <w:sz w:val="40"/>
      <w:szCs w:val="40"/>
      <w:lang w:eastAsia="pt-PT"/>
    </w:rPr>
  </w:style>
  <w:style w:type="character" w:styleId="Refdecomentrio">
    <w:name w:val="annotation reference"/>
    <w:basedOn w:val="Tipodeletrapredefinidodopargrafo"/>
    <w:uiPriority w:val="99"/>
    <w:semiHidden w:val="1"/>
    <w:unhideWhenUsed w:val="1"/>
    <w:rsid w:val="00033876"/>
    <w:rPr>
      <w:sz w:val="16"/>
      <w:szCs w:val="16"/>
    </w:rPr>
  </w:style>
  <w:style w:type="paragraph" w:styleId="Textodecomentrio">
    <w:name w:val="annotation text"/>
    <w:basedOn w:val="Normal"/>
    <w:link w:val="TextodecomentrioCarter"/>
    <w:uiPriority w:val="99"/>
    <w:unhideWhenUsed w:val="1"/>
    <w:rsid w:val="00033876"/>
    <w:pPr>
      <w:spacing w:line="240" w:lineRule="auto"/>
    </w:pPr>
  </w:style>
  <w:style w:type="character" w:styleId="TextodecomentrioCarter" w:customStyle="1">
    <w:name w:val="Texto de comentário Caráter"/>
    <w:basedOn w:val="Tipodeletrapredefinidodopargrafo"/>
    <w:link w:val="Textodecomentrio"/>
    <w:uiPriority w:val="99"/>
    <w:rsid w:val="00033876"/>
    <w:rPr>
      <w:rFonts w:ascii="Lato" w:cs="Lato" w:eastAsia="Lato" w:hAnsi="Lato"/>
      <w:sz w:val="20"/>
      <w:szCs w:val="20"/>
      <w:lang w:eastAsia="pt-PT"/>
    </w:rPr>
  </w:style>
  <w:style w:type="paragraph" w:styleId="Textodebalo">
    <w:name w:val="Balloon Text"/>
    <w:basedOn w:val="Normal"/>
    <w:link w:val="TextodebaloCarter"/>
    <w:uiPriority w:val="99"/>
    <w:semiHidden w:val="1"/>
    <w:unhideWhenUsed w:val="1"/>
    <w:rsid w:val="00033876"/>
    <w:pPr>
      <w:spacing w:after="0" w:line="240" w:lineRule="auto"/>
    </w:pPr>
    <w:rPr>
      <w:rFonts w:ascii="Segoe UI" w:cs="Segoe UI" w:hAnsi="Segoe UI"/>
      <w:sz w:val="18"/>
      <w:szCs w:val="18"/>
    </w:rPr>
  </w:style>
  <w:style w:type="character" w:styleId="TextodebaloCarter" w:customStyle="1">
    <w:name w:val="Texto de balão Caráter"/>
    <w:basedOn w:val="Tipodeletrapredefinidodopargrafo"/>
    <w:link w:val="Textodebalo"/>
    <w:uiPriority w:val="99"/>
    <w:semiHidden w:val="1"/>
    <w:rsid w:val="00033876"/>
    <w:rPr>
      <w:rFonts w:ascii="Segoe UI" w:cs="Segoe UI" w:eastAsia="Lato" w:hAnsi="Segoe UI"/>
      <w:sz w:val="18"/>
      <w:szCs w:val="18"/>
      <w:lang w:eastAsia="pt-PT"/>
    </w:rPr>
  </w:style>
  <w:style w:type="paragraph" w:styleId="Cabealho">
    <w:name w:val="header"/>
    <w:basedOn w:val="Normal"/>
    <w:link w:val="CabealhoCarter"/>
    <w:uiPriority w:val="99"/>
    <w:unhideWhenUsed w:val="1"/>
    <w:rsid w:val="00F33D72"/>
    <w:pPr>
      <w:tabs>
        <w:tab w:val="center" w:pos="4252"/>
        <w:tab w:val="right" w:pos="8504"/>
      </w:tabs>
      <w:spacing w:after="0" w:line="240" w:lineRule="auto"/>
    </w:pPr>
  </w:style>
  <w:style w:type="character" w:styleId="CabealhoCarter" w:customStyle="1">
    <w:name w:val="Cabeçalho Caráter"/>
    <w:basedOn w:val="Tipodeletrapredefinidodopargrafo"/>
    <w:link w:val="Cabealho"/>
    <w:uiPriority w:val="99"/>
    <w:rsid w:val="00F33D72"/>
    <w:rPr>
      <w:rFonts w:ascii="Lato" w:cs="Lato" w:eastAsia="Lato" w:hAnsi="Lato"/>
      <w:sz w:val="20"/>
      <w:szCs w:val="20"/>
      <w:lang w:eastAsia="pt-PT"/>
    </w:rPr>
  </w:style>
  <w:style w:type="paragraph" w:styleId="Rodap">
    <w:name w:val="footer"/>
    <w:basedOn w:val="Normal"/>
    <w:link w:val="RodapCarter"/>
    <w:uiPriority w:val="99"/>
    <w:unhideWhenUsed w:val="1"/>
    <w:rsid w:val="00F33D72"/>
    <w:pPr>
      <w:tabs>
        <w:tab w:val="center" w:pos="4252"/>
        <w:tab w:val="right" w:pos="8504"/>
      </w:tabs>
      <w:spacing w:after="0" w:line="240" w:lineRule="auto"/>
    </w:pPr>
  </w:style>
  <w:style w:type="character" w:styleId="RodapCarter" w:customStyle="1">
    <w:name w:val="Rodapé Caráter"/>
    <w:basedOn w:val="Tipodeletrapredefinidodopargrafo"/>
    <w:link w:val="Rodap"/>
    <w:uiPriority w:val="99"/>
    <w:rsid w:val="00F33D72"/>
    <w:rPr>
      <w:rFonts w:ascii="Lato" w:cs="Lato" w:eastAsia="Lato" w:hAnsi="Lato"/>
      <w:sz w:val="20"/>
      <w:szCs w:val="20"/>
      <w:lang w:eastAsia="pt-PT"/>
    </w:rPr>
  </w:style>
  <w:style w:type="paragraph" w:styleId="PargrafodaLista">
    <w:name w:val="List Paragraph"/>
    <w:basedOn w:val="Normal"/>
    <w:uiPriority w:val="34"/>
    <w:qFormat w:val="1"/>
    <w:rsid w:val="00BC102E"/>
    <w:pPr>
      <w:ind w:left="720"/>
      <w:contextualSpacing w:val="1"/>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3"/>
    <w:tblPr>
      <w:tblStyleRowBandSize w:val="1"/>
      <w:tblStyleColBandSize w:val="1"/>
      <w:tblCellMar>
        <w:top w:w="100.0" w:type="dxa"/>
        <w:left w:w="100.0" w:type="dxa"/>
        <w:bottom w:w="100.0" w:type="dxa"/>
        <w:right w:w="100.0" w:type="dxa"/>
      </w:tblCellMar>
    </w:tblPr>
  </w:style>
  <w:style w:type="paragraph" w:styleId="Assuntodecomentrio">
    <w:name w:val="annotation subject"/>
    <w:basedOn w:val="Textodecomentrio"/>
    <w:next w:val="Textodecomentrio"/>
    <w:link w:val="AssuntodecomentrioCarter"/>
    <w:uiPriority w:val="99"/>
    <w:semiHidden w:val="1"/>
    <w:unhideWhenUsed w:val="1"/>
    <w:rsid w:val="00B766E8"/>
    <w:rPr>
      <w:b w:val="1"/>
      <w:bCs w:val="1"/>
    </w:rPr>
  </w:style>
  <w:style w:type="character" w:styleId="AssuntodecomentrioCarter" w:customStyle="1">
    <w:name w:val="Assunto de comentário Caráter"/>
    <w:basedOn w:val="TextodecomentrioCarter"/>
    <w:link w:val="Assuntodecomentrio"/>
    <w:uiPriority w:val="99"/>
    <w:semiHidden w:val="1"/>
    <w:rsid w:val="00B766E8"/>
    <w:rPr>
      <w:rFonts w:ascii="Lato" w:cs="Lato" w:eastAsia="Lato" w:hAnsi="Lato"/>
      <w:b w:val="1"/>
      <w:bCs w:val="1"/>
      <w:sz w:val="20"/>
      <w:szCs w:val="20"/>
      <w:lang w:eastAsia="pt-PT"/>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heart.bmj.com/content/109/7/548" TargetMode="External"/><Relationship Id="rId22" Type="http://schemas.openxmlformats.org/officeDocument/2006/relationships/hyperlink" Target="http://www.ehden.eu" TargetMode="External"/><Relationship Id="rId21" Type="http://schemas.openxmlformats.org/officeDocument/2006/relationships/hyperlink" Target="http://thelancet.com/journals/lanepe/article/PIIS2666-7762(22)00132-6" TargetMode="External"/><Relationship Id="rId24" Type="http://schemas.openxmlformats.org/officeDocument/2006/relationships/header" Target="header1.xml"/><Relationship Id="rId23" Type="http://schemas.openxmlformats.org/officeDocument/2006/relationships/hyperlink" Target="https://www.european-health-data-spac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ristina.jacome@mtg.pt" TargetMode="External"/><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iago.taveira@mtg.pt" TargetMode="External"/><Relationship Id="rId8" Type="http://schemas.openxmlformats.org/officeDocument/2006/relationships/hyperlink" Target="mailto:daniela.antunes@mtg.pt" TargetMode="External"/><Relationship Id="rId11" Type="http://schemas.openxmlformats.org/officeDocument/2006/relationships/hyperlink" Target="mailto:cristina.jacome@mtg.pt" TargetMode="External"/><Relationship Id="rId10" Type="http://schemas.openxmlformats.org/officeDocument/2006/relationships/hyperlink" Target="mailto:cristina.jacome@mtg.pt" TargetMode="External"/><Relationship Id="rId13" Type="http://schemas.openxmlformats.org/officeDocument/2006/relationships/hyperlink" Target="https://www.gnu.org/licenses/licenses.pt-br.html" TargetMode="External"/><Relationship Id="rId12" Type="http://schemas.openxmlformats.org/officeDocument/2006/relationships/hyperlink" Target="https://sifide.ani.pt/PDFViewer.aspx?FileId_In=137" TargetMode="External"/><Relationship Id="rId15" Type="http://schemas.openxmlformats.org/officeDocument/2006/relationships/hyperlink" Target="http://mdpi.com/2072-6643/16/16/2728" TargetMode="External"/><Relationship Id="rId14" Type="http://schemas.openxmlformats.org/officeDocument/2006/relationships/hyperlink" Target="http://medrxiv.org/content/10.1101/2024.08.28.24312695v1" TargetMode="External"/><Relationship Id="rId17" Type="http://schemas.openxmlformats.org/officeDocument/2006/relationships/hyperlink" Target="http://onlinelibrary.wiley.com/doi/full/10.1002/ehf2.14531" TargetMode="External"/><Relationship Id="rId16" Type="http://schemas.openxmlformats.org/officeDocument/2006/relationships/hyperlink" Target="http://mdpi.com/1660-4601/19/24/17035" TargetMode="External"/><Relationship Id="rId19" Type="http://schemas.openxmlformats.org/officeDocument/2006/relationships/hyperlink" Target="http://sciencedirect.com/science/article/pii/S0021915023002113" TargetMode="External"/><Relationship Id="rId18" Type="http://schemas.openxmlformats.org/officeDocument/2006/relationships/hyperlink" Target="http://healtheconomicsreview.biomedcentral.com/articles/10.1186/s13561-024-0055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PTMono-regular.ttf"/><Relationship Id="rId9" Type="http://schemas.openxmlformats.org/officeDocument/2006/relationships/font" Target="fonts/NovaMono-regular.ttf"/><Relationship Id="rId5" Type="http://schemas.openxmlformats.org/officeDocument/2006/relationships/font" Target="fonts/BarlowCondensedMedium-regular.ttf"/><Relationship Id="rId6" Type="http://schemas.openxmlformats.org/officeDocument/2006/relationships/font" Target="fonts/BarlowCondensedMedium-bold.ttf"/><Relationship Id="rId7" Type="http://schemas.openxmlformats.org/officeDocument/2006/relationships/font" Target="fonts/BarlowCondensedMedium-italic.ttf"/><Relationship Id="rId8" Type="http://schemas.openxmlformats.org/officeDocument/2006/relationships/font" Target="fonts/BarlowCondensedMedium-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Y9gSliZUyBEjKWJIVEclA8UPg==">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2024-05-24T14:26:00Z</dcterms:created>
  <dc:creator>Rita Oliveira</dc:creator>
</cp:coreProperties>
</file>