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83" w:line="259" w:lineRule="auto"/>
        <w:jc w:val="center"/>
        <w:rPr>
          <w:rFonts w:ascii="Barlow Condensed SemiBold" w:cs="Barlow Condensed SemiBold" w:eastAsia="Barlow Condensed SemiBold" w:hAnsi="Barlow Condensed SemiBold"/>
          <w:color w:val="1e4d78"/>
          <w:sz w:val="52"/>
          <w:szCs w:val="52"/>
        </w:rPr>
      </w:pPr>
      <w:r w:rsidDel="00000000" w:rsidR="00000000" w:rsidRPr="00000000">
        <w:rPr>
          <w:rFonts w:ascii="Barlow Condensed SemiBold" w:cs="Barlow Condensed SemiBold" w:eastAsia="Barlow Condensed SemiBold" w:hAnsi="Barlow Condensed SemiBold"/>
          <w:color w:val="1e4d78"/>
          <w:sz w:val="55"/>
          <w:szCs w:val="55"/>
          <w:rtl w:val="0"/>
        </w:rPr>
        <w:t xml:space="preserve">NON-DISCLOSURE AGREEMENT</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83" w:line="360" w:lineRule="auto"/>
        <w:jc w:val="both"/>
        <w:rPr>
          <w:rFonts w:ascii="Lato" w:cs="Lato" w:eastAsia="Lato" w:hAnsi="Lato"/>
          <w:color w:val="434343"/>
          <w:sz w:val="22"/>
          <w:szCs w:val="22"/>
        </w:rPr>
      </w:pPr>
      <w:r w:rsidDel="00000000" w:rsidR="00000000" w:rsidRPr="00000000">
        <w:rPr>
          <w:rFonts w:ascii="Lato" w:cs="Lato" w:eastAsia="Lato" w:hAnsi="Lato"/>
          <w:color w:val="434343"/>
          <w:sz w:val="22"/>
          <w:szCs w:val="22"/>
          <w:rtl w:val="0"/>
        </w:rPr>
        <w:t xml:space="preserve">This Non-Disclosure Agreement, dated as of </w:t>
      </w:r>
      <w:r w:rsidDel="00000000" w:rsidR="00000000" w:rsidRPr="00000000">
        <w:rPr>
          <w:rFonts w:ascii="Lato" w:cs="Lato" w:eastAsia="Lato" w:hAnsi="Lato"/>
          <w:color w:val="434343"/>
          <w:sz w:val="22"/>
          <w:szCs w:val="22"/>
          <w:shd w:fill="d9d9d9" w:val="clear"/>
          <w:rtl w:val="0"/>
        </w:rPr>
        <w:t xml:space="preserve">[DD month YYYY]</w:t>
      </w:r>
      <w:r w:rsidDel="00000000" w:rsidR="00000000" w:rsidRPr="00000000">
        <w:rPr>
          <w:rFonts w:ascii="Lato" w:cs="Lato" w:eastAsia="Lato" w:hAnsi="Lato"/>
          <w:color w:val="434343"/>
          <w:sz w:val="22"/>
          <w:szCs w:val="22"/>
          <w:rtl w:val="0"/>
        </w:rPr>
        <w:t xml:space="preserve"> (the “Effective Date”) governs the disclosure of information by MTG Research and Development Lab, incorporated in Porto, Portugal under the tax identification number PT513586849 with headquarter in Rua Professor Joaquim Bastos 102 2A, 4200-605 Porto, Portugal (the “Company” or the “Disclosing Party) to</w:t>
      </w:r>
      <w:r w:rsidDel="00000000" w:rsidR="00000000" w:rsidRPr="00000000">
        <w:rPr>
          <w:rFonts w:ascii="Lato" w:cs="Lato" w:eastAsia="Lato" w:hAnsi="Lato"/>
          <w:color w:val="434343"/>
          <w:sz w:val="22"/>
          <w:szCs w:val="22"/>
          <w:highlight w:val="white"/>
          <w:rtl w:val="0"/>
        </w:rPr>
        <w:t xml:space="preserve"> </w:t>
      </w:r>
      <w:r w:rsidDel="00000000" w:rsidR="00000000" w:rsidRPr="00000000">
        <w:rPr>
          <w:rFonts w:ascii="Lato" w:cs="Lato" w:eastAsia="Lato" w:hAnsi="Lato"/>
          <w:color w:val="434343"/>
          <w:sz w:val="22"/>
          <w:szCs w:val="22"/>
          <w:shd w:fill="d9d9d9" w:val="clear"/>
          <w:rtl w:val="0"/>
        </w:rPr>
        <w:t xml:space="preserve">[NAME] </w:t>
      </w:r>
      <w:r w:rsidDel="00000000" w:rsidR="00000000" w:rsidRPr="00000000">
        <w:rPr>
          <w:rFonts w:ascii="Lato" w:cs="Lato" w:eastAsia="Lato" w:hAnsi="Lato"/>
          <w:color w:val="434343"/>
          <w:sz w:val="22"/>
          <w:szCs w:val="22"/>
          <w:rtl w:val="0"/>
        </w:rPr>
        <w:t xml:space="preserve">holder of the tax identification number </w:t>
      </w:r>
      <w:r w:rsidDel="00000000" w:rsidR="00000000" w:rsidRPr="00000000">
        <w:rPr>
          <w:rFonts w:ascii="Lato" w:cs="Lato" w:eastAsia="Lato" w:hAnsi="Lato"/>
          <w:color w:val="434343"/>
          <w:sz w:val="22"/>
          <w:szCs w:val="22"/>
          <w:shd w:fill="d9d9d9" w:val="clear"/>
          <w:rtl w:val="0"/>
        </w:rPr>
        <w:t xml:space="preserve">[PTxxxxxxxxx]</w:t>
      </w:r>
      <w:r w:rsidDel="00000000" w:rsidR="00000000" w:rsidRPr="00000000">
        <w:rPr>
          <w:rFonts w:ascii="Lato" w:cs="Lato" w:eastAsia="Lato" w:hAnsi="Lato"/>
          <w:color w:val="434343"/>
          <w:sz w:val="22"/>
          <w:szCs w:val="22"/>
          <w:rtl w:val="0"/>
        </w:rPr>
        <w:t xml:space="preserve"> (the “Recipient” or the “Receiving Party”) for the purpose of exploring a potential commercial relationship (the “Purpose”).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83" w:line="360" w:lineRule="auto"/>
        <w:jc w:val="both"/>
        <w:rPr>
          <w:rFonts w:ascii="Lato" w:cs="Lato" w:eastAsia="Lato" w:hAnsi="Lato"/>
          <w:color w:val="434343"/>
          <w:sz w:val="22"/>
          <w:szCs w:val="22"/>
        </w:rPr>
      </w:pPr>
      <w:r w:rsidDel="00000000" w:rsidR="00000000" w:rsidRPr="00000000">
        <w:rPr>
          <w:rFonts w:ascii="Lato" w:cs="Lato" w:eastAsia="Lato" w:hAnsi="Lato"/>
          <w:color w:val="434343"/>
          <w:sz w:val="22"/>
          <w:szCs w:val="22"/>
          <w:rtl w:val="0"/>
        </w:rPr>
        <w:t xml:space="preserve">Hereinafter referred individually as “Party” or when together as “Parties”.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FIRST CLAUSE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single"/>
          <w:shd w:fill="auto" w:val="clear"/>
          <w:vertAlign w:val="baseline"/>
          <w:rtl w:val="0"/>
        </w:rPr>
        <w:t xml:space="preserve">(Definitions and Interpretation)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30" w:right="0" w:hanging="47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none"/>
          <w:shd w:fill="auto" w:val="clear"/>
          <w:vertAlign w:val="baseline"/>
          <w:rtl w:val="0"/>
        </w:rPr>
        <w:t xml:space="preserve">Confidential Information.  </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As used herein, Confidential Information shall mean any and all information and related rights provided by the Disclosing Party to the Receiving Party, whether received directly or indirectly, in writing, orally, electronically, in tangible form, or otherwise, whether or not classified as confidential, including but not limited to any scientific, technical, commercial, or business information developed, owned, obtained, created, or provided to the Receiving Party by the Disclosing Party, treated by the Disclosing Party as Confidential Information, including without limitation, inventions, patents, trademarks, logos, designs, processes, strategies, configurations or hardware or software information, formulations, techniques, methodology, formulas, procedures, tests, equipment, data, computer software, documentation, reports, know-how, sources of supply, patent positions, relationships with consultants and employees, business and development plans, information regarding the existence, scope or activities of any research, development, manufacturing, marketing or other projects of the Disclosing Party, and any Confidential Information about suppliers, partners, affiliates, customers, potential customers, or others of the Disclosing Party. Information may be identified as confidential by the Disclosing Party, but the absence of such identification will not prevent the information from being considered confidential unless it is of a type or nature that could not reasonably be treated as confidential.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30" w:right="0" w:hanging="47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none"/>
          <w:shd w:fill="auto" w:val="clear"/>
          <w:vertAlign w:val="baseline"/>
          <w:rtl w:val="0"/>
        </w:rPr>
        <w:t xml:space="preserve">Disclosing Party</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As used herein, </w:t>
      </w:r>
      <w:r w:rsidDel="00000000" w:rsidR="00000000" w:rsidRPr="00000000">
        <w:rPr>
          <w:rFonts w:ascii="Lato" w:cs="Lato" w:eastAsia="Lato" w:hAnsi="Lato"/>
          <w:color w:val="434343"/>
          <w:sz w:val="22"/>
          <w:szCs w:val="22"/>
          <w:rtl w:val="0"/>
        </w:rPr>
        <w:t xml:space="preserve">“</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Disclosing Party</w:t>
      </w:r>
      <w:r w:rsidDel="00000000" w:rsidR="00000000" w:rsidRPr="00000000">
        <w:rPr>
          <w:rFonts w:ascii="Lato" w:cs="Lato" w:eastAsia="Lato" w:hAnsi="Lato"/>
          <w:color w:val="434343"/>
          <w:sz w:val="22"/>
          <w:szCs w:val="22"/>
          <w:rtl w:val="0"/>
        </w:rPr>
        <w:t xml:space="preserve">”</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shall mean the Party that discloses/provides/transmits the Confidential Information to the other Party, including technological, commercial, business, and/or any other information obtained within the scope of the commercial relationship.</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30" w:right="0" w:hanging="470"/>
        <w:jc w:val="both"/>
        <w:rPr>
          <w:rFonts w:ascii="Lato" w:cs="Lato" w:eastAsia="Lato" w:hAnsi="Lato"/>
          <w:b w:val="0"/>
          <w:bCs w:val="0"/>
          <w:i w:val="0"/>
          <w:iCs w:val="0"/>
          <w:smallCaps w:val="0"/>
          <w:strike w:val="0"/>
          <w:color w:val="434343"/>
          <w:sz w:val="22"/>
          <w:szCs w:val="22"/>
          <w:u w:val="none"/>
          <w:shd w:fill="auto" w:val="clear"/>
          <w:vertAlign w:val="baseline"/>
        </w:rPr>
      </w:pPr>
      <w:bookmarkStart w:colFirst="0" w:colLast="0" w:name="_heading=h.gjdgxs" w:id="0"/>
      <w:bookmarkEnd w:id="0"/>
      <w:r w:rsidDel="00000000" w:rsidR="00000000" w:rsidRPr="00000000">
        <w:rPr>
          <w:rFonts w:ascii="Lato" w:cs="Lato" w:eastAsia="Lato" w:hAnsi="Lato"/>
          <w:b w:val="1"/>
          <w:bCs w:val="1"/>
          <w:i w:val="0"/>
          <w:iCs w:val="0"/>
          <w:smallCaps w:val="0"/>
          <w:strike w:val="0"/>
          <w:color w:val="434343"/>
          <w:sz w:val="22"/>
          <w:szCs w:val="22"/>
          <w:u w:val="none"/>
          <w:shd w:fill="auto" w:val="clear"/>
          <w:vertAlign w:val="baseline"/>
          <w:rtl w:val="0"/>
        </w:rPr>
        <w:t xml:space="preserve">Receiving Party.</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As used herein, </w:t>
      </w:r>
      <w:r w:rsidDel="00000000" w:rsidR="00000000" w:rsidRPr="00000000">
        <w:rPr>
          <w:rFonts w:ascii="Lato" w:cs="Lato" w:eastAsia="Lato" w:hAnsi="Lato"/>
          <w:color w:val="434343"/>
          <w:sz w:val="22"/>
          <w:szCs w:val="22"/>
          <w:rtl w:val="0"/>
        </w:rPr>
        <w:t xml:space="preserve">“</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Receiving Party</w:t>
      </w:r>
      <w:r w:rsidDel="00000000" w:rsidR="00000000" w:rsidRPr="00000000">
        <w:rPr>
          <w:rFonts w:ascii="Lato" w:cs="Lato" w:eastAsia="Lato" w:hAnsi="Lato"/>
          <w:color w:val="434343"/>
          <w:sz w:val="22"/>
          <w:szCs w:val="22"/>
          <w:rtl w:val="0"/>
        </w:rPr>
        <w:t xml:space="preserve">”</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shall mean the Party that receives Confidential Information from the other Party, namely the aforementioned information.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30" w:right="0" w:hanging="47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none"/>
          <w:shd w:fill="auto" w:val="clear"/>
          <w:vertAlign w:val="baseline"/>
          <w:rtl w:val="0"/>
        </w:rPr>
        <w:t xml:space="preserve">Authorized Person.</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As used herein, </w:t>
      </w:r>
      <w:r w:rsidDel="00000000" w:rsidR="00000000" w:rsidRPr="00000000">
        <w:rPr>
          <w:rFonts w:ascii="Lato" w:cs="Lato" w:eastAsia="Lato" w:hAnsi="Lato"/>
          <w:color w:val="434343"/>
          <w:sz w:val="22"/>
          <w:szCs w:val="22"/>
          <w:rtl w:val="0"/>
        </w:rPr>
        <w:t xml:space="preserve">“</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Authorized Person</w:t>
      </w:r>
      <w:r w:rsidDel="00000000" w:rsidR="00000000" w:rsidRPr="00000000">
        <w:rPr>
          <w:rFonts w:ascii="Lato" w:cs="Lato" w:eastAsia="Lato" w:hAnsi="Lato"/>
          <w:color w:val="434343"/>
          <w:sz w:val="22"/>
          <w:szCs w:val="22"/>
          <w:rtl w:val="0"/>
        </w:rPr>
        <w:t xml:space="preserve">”</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shall mean </w:t>
      </w:r>
      <w:r w:rsidDel="00000000" w:rsidR="00000000" w:rsidRPr="00000000">
        <w:rPr>
          <w:rFonts w:ascii="Lato" w:cs="Lato" w:eastAsia="Lato" w:hAnsi="Lato"/>
          <w:color w:val="434343"/>
          <w:sz w:val="22"/>
          <w:szCs w:val="22"/>
          <w:rtl w:val="0"/>
        </w:rPr>
        <w:t xml:space="preserve">p</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artners/shareholders, beneficial owners, directors, employees, workers, executives, consultants, and advisors, at any time during the period in which the provisions of this Agreement apply, of the Disclosing Party.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SECOND CLAUSE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(Obligations and Confidentiality)</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Receiving Party is obligated to: </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Not to disclose the Confidential Information, in whole or in part, to any person; </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Refrain from using the Confidential Information or any part thereof for any purpose other than pursuing of the intent of this agreement;</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Refrain from making any copies, summaries, or transcriptions of any Confidential Information, except those that are strictly necessary for business activities. All copies, summaries, and transcriptions shall be considered Confidential Information;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Notify the Disclosing Party as soon as possible if it becomes aware of any information leak or if Confidential Information is in the possession of any person who is not an Authorized Person;</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To keep the Confidential Information in a secure location and treat all Confidential Information received from the Disclosing Party as if it were their own Confidential Information;</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Not to remove or alter in any way any information attached to the Confidential Information received;</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Not to engage in reverse engineering, disassembly, or decompilation of any prototypes, software, or other tangible objects that embody the Confidential Information provided by the Disclosing Party; </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Not to remove any proprietary and confidentiality notices or warnings contained in the Confidential Information and to reproduce such notices and warnings on all copies of the Confidential Information made by the Receiving Party.</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Confidential Information must be treated as confidential by the Receiving Party, as well as by its employees and collaborators, who will only receive the information necessary for the performance of their duties and will not be able to disclose it, in whole or in part, unless they obtain prior written consent from the Disclosing Party.</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delivery of materials made by the Disclosing Party, unless otherwise agreed, should not be interpreted as a grant of ownership or rights over the delivered material beyond the use or application for the purpose for which it was delivered. In this sense, the Receiving Party is obliged to safeguard any samples provided by the Disclosing Party and to use them exclusively for the purpose for which they were delivered, treating them as confidential.</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removal of materials delivered by the Disclosing Party from the Receiving Party's premises requires the consent of the Disclosing Party.</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All materials, tangible or intangible goods, items – among others – that constitute Confidential Information under this Agreement, made available by the Disclosing Party to the Receiving Party within the scope of the established commercial relations, must, after the termination of this Agreement, be returned to the Disclosing Party or destroyed by the Receiving Party, in accordance with the instructions given by the Disclosing Party.</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In accordance with the previous number, the Receiving Party must confirm in writing to the Disclosing Party that all Confidential Information in its possession or under its control has been returned or destroyed at the request of the Disclosing Party.</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obligations established in this Agreement do not apply when it is demonstrated, through valid and reasonable documentary evidence, that such information:</w:t>
      </w:r>
    </w:p>
    <w:p w:rsidR="00000000" w:rsidDel="00000000" w:rsidP="00000000" w:rsidRDefault="00000000" w:rsidRPr="00000000" w14:paraId="000000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Was in the public domain at the time of disclosure by the Disclosing Party;</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Was already known by the Receiving Party prior to the disclosure by the Disclosing Party;</w:t>
      </w:r>
    </w:p>
    <w:p w:rsidR="00000000" w:rsidDel="00000000" w:rsidP="00000000" w:rsidRDefault="00000000" w:rsidRPr="00000000" w14:paraId="000000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Is disclosed to the Receiving Party by a third party who, to the Receiving Party's knowledge, did not obtain the Confidential Information, directly or indirectly, from the Disclosing Party or any Authorized Person;</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14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Was independently developed (i.e., by personnel who did not have access to the Confidential Information or under the exceptions mentioned herein) by the Receiving Party.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0"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THIRD CLAUSE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(Ownership of information) </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All Confidential Information, even after being disclosed to the Receiving Party, remains the property of the Disclosing Party.</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This Agreement does not constitute any form of transfer of ownership of any patents, copyrights, trademarks, logos, registered designs, unregistered designs, or other rights that may be contained in the Confidential Information disclosed to the Receiving Party. The Receiving Party agrees not to apply for, nor to request, any industrial and intellectual property rights that may conflict with the Confidential Information or any part thereof provided to it by the Disclosing Party, either on its own behalf or on behalf of third parties.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recipient shall not make, have made, use or sell for any purpose any product or services or other items using, incorporating or derived from any Confidential Information.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FOURTH CLAUSE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single"/>
          <w:shd w:fill="auto" w:val="clear"/>
          <w:vertAlign w:val="baseline"/>
          <w:rtl w:val="0"/>
        </w:rPr>
        <w:t xml:space="preserve">(Liability)</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Parties agree that the Confidential Information constitutes or may constitute a valuable commercial asset of the Disclosing Party and that no public access or internal use of such information is granted, except with the express authorization of the Disclosing Party.</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Receiving Party acknowledges that a breach of this Agreement may cause harm to the Disclosing Party, which may result in the obligation to compensate the Disclosing Party.</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If, due to the nature of the damages, monetary compensation is not an adequate and sufficient remedy for protecting the Disclosing Party's rights, the Disclosing Party may seek any injunctive relief or other legal remedies available to protect its rights.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FIFTH CLAUSE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(Duration)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283"/>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This Agreement shall terminate three (3) years after the Effective Date, or may be terminated by either </w:t>
      </w:r>
      <w:r w:rsidDel="00000000" w:rsidR="00000000" w:rsidRPr="00000000">
        <w:rPr>
          <w:rFonts w:ascii="Lato" w:cs="Lato" w:eastAsia="Lato" w:hAnsi="Lato"/>
          <w:color w:val="434343"/>
          <w:sz w:val="22"/>
          <w:szCs w:val="22"/>
          <w:rtl w:val="0"/>
        </w:rPr>
        <w:t xml:space="preserve">P</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arty at any time upon thirty (30) days written notice to the other </w:t>
      </w:r>
      <w:r w:rsidDel="00000000" w:rsidR="00000000" w:rsidRPr="00000000">
        <w:rPr>
          <w:rFonts w:ascii="Lato" w:cs="Lato" w:eastAsia="Lato" w:hAnsi="Lato"/>
          <w:color w:val="434343"/>
          <w:sz w:val="22"/>
          <w:szCs w:val="22"/>
          <w:rtl w:val="0"/>
        </w:rPr>
        <w:t xml:space="preserve">P</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arty.</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283"/>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Recipient’s obligations under this Agreement shall survive the termination of the Agreement between the </w:t>
      </w:r>
      <w:r w:rsidDel="00000000" w:rsidR="00000000" w:rsidRPr="00000000">
        <w:rPr>
          <w:rFonts w:ascii="Lato" w:cs="Lato" w:eastAsia="Lato" w:hAnsi="Lato"/>
          <w:color w:val="434343"/>
          <w:sz w:val="22"/>
          <w:szCs w:val="22"/>
          <w:rtl w:val="0"/>
        </w:rPr>
        <w:t xml:space="preserve">P</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arties and shall be binding upon the Recipient’s heirs, successors and assigns.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90"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9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SIXTH CLAUSE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9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(Provisions)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Parties confirm, on their own behalf and on behalf of their Authorized Persons: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 This Agreement represents the entire understanding and constitutes the whole Confidentiality Agreement, superseding any prior agreements between the Parties, and notwithstanding the foregoing, excludes any implied warranties, conditions, or other commitments under the law;</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b)  No failure or delay in fulfilling the obligations set forth in this Agreement constitutes a waiver of the same.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In the event that any provision of this Agreement is deemed null and void by law, it shall not invalidate the validity of the Agreement, with the remaining provisions of this Agreement remaining in force.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In accordance with the previous paragraph, the Parties agree to </w:t>
      </w:r>
      <w:r w:rsidDel="00000000" w:rsidR="00000000" w:rsidRPr="00000000">
        <w:rPr>
          <w:rFonts w:ascii="Lato" w:cs="Lato" w:eastAsia="Lato" w:hAnsi="Lato"/>
          <w:color w:val="434343"/>
          <w:sz w:val="22"/>
          <w:szCs w:val="22"/>
          <w:rtl w:val="0"/>
        </w:rPr>
        <w:t xml:space="preserve">make</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all reasonable efforts to agree on any amendments that may be </w:t>
      </w:r>
      <w:r w:rsidDel="00000000" w:rsidR="00000000" w:rsidRPr="00000000">
        <w:rPr>
          <w:rFonts w:ascii="Lato" w:cs="Lato" w:eastAsia="Lato" w:hAnsi="Lato"/>
          <w:color w:val="434343"/>
          <w:sz w:val="22"/>
          <w:szCs w:val="22"/>
          <w:rtl w:val="0"/>
        </w:rPr>
        <w:t xml:space="preserve">necessary to effectively achieve the objectives outlined in this</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 Agreement.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Any amendment to this Agreement must be in writing and signed by both Parties in order to be effective.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Neither Party may transfer its rights and obligations under this Agreement without the prior consent of the other Party.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color w:val="434343"/>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SEVENTH CLAUSE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(Communications)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All notices and communications related, required or permitted by this Agreement shall be in writing and shall be deemed sufficient upon delivery, when delivered personally or by overnight courier or sent by email or fax (upon customary confirmation of receipt), or forty-eight (48) hours after being deposited in the mail as certified or registered mail with postage prepaid, addressed to the Party to be notified at such party’s address or fax number as set forth on the signature page or as subsequently modified by written notice.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EIGHT CLAUSE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(Jurisdiction) </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19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The validity, interpretation, construction and performance of this Agreement shall be governed by the laws of Portugal, without giving effect to the principles of conflict of laws.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190" w:right="0" w:hanging="36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For the resolution of any dispute or disagreement arising from the interpretation and execution of this Agreement, the Parties choose the Judicial Court of the Porto District for the resolution of the dispute, with express waiver of any other.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90"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1"/>
          <w:bCs w:val="1"/>
          <w:i w:val="0"/>
          <w:iCs w:val="0"/>
          <w:smallCaps w:val="0"/>
          <w:strike w:val="0"/>
          <w:color w:val="434343"/>
          <w:sz w:val="22"/>
          <w:szCs w:val="22"/>
          <w:u w:val="single"/>
          <w:shd w:fill="auto" w:val="clear"/>
          <w:vertAlign w:val="baseline"/>
        </w:rPr>
      </w:pPr>
      <w:r w:rsidDel="00000000" w:rsidR="00000000" w:rsidRPr="00000000">
        <w:rPr>
          <w:rFonts w:ascii="Lato" w:cs="Lato" w:eastAsia="Lato" w:hAnsi="Lato"/>
          <w:b w:val="1"/>
          <w:bCs w:val="1"/>
          <w:color w:val="434343"/>
          <w:sz w:val="22"/>
          <w:szCs w:val="22"/>
          <w:u w:val="single"/>
          <w:rtl w:val="0"/>
        </w:rPr>
        <w:t xml:space="preserve">NINTH CLAUSE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(Advice of counsel)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Each </w:t>
      </w:r>
      <w:r w:rsidDel="00000000" w:rsidR="00000000" w:rsidRPr="00000000">
        <w:rPr>
          <w:rFonts w:ascii="Lato" w:cs="Lato" w:eastAsia="Lato" w:hAnsi="Lato"/>
          <w:color w:val="434343"/>
          <w:sz w:val="22"/>
          <w:szCs w:val="22"/>
          <w:rtl w:val="0"/>
        </w:rPr>
        <w:t xml:space="preserve">P</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arty acknowledges that, in signing this agreement, such </w:t>
      </w:r>
      <w:r w:rsidDel="00000000" w:rsidR="00000000" w:rsidRPr="00000000">
        <w:rPr>
          <w:rFonts w:ascii="Lato" w:cs="Lato" w:eastAsia="Lato" w:hAnsi="Lato"/>
          <w:color w:val="434343"/>
          <w:sz w:val="22"/>
          <w:szCs w:val="22"/>
          <w:rtl w:val="0"/>
        </w:rPr>
        <w:t xml:space="preserve">P</w:t>
      </w:r>
      <w:r w:rsidDel="00000000" w:rsidR="00000000" w:rsidRPr="00000000">
        <w:rPr>
          <w:rFonts w:ascii="Lato" w:cs="Lato" w:eastAsia="Lato" w:hAnsi="Lato"/>
          <w:b w:val="0"/>
          <w:bCs w:val="0"/>
          <w:i w:val="0"/>
          <w:iCs w:val="0"/>
          <w:smallCaps w:val="0"/>
          <w:strike w:val="0"/>
          <w:color w:val="434343"/>
          <w:sz w:val="22"/>
          <w:szCs w:val="22"/>
          <w:u w:val="none"/>
          <w:shd w:fill="auto" w:val="clear"/>
          <w:vertAlign w:val="baseline"/>
          <w:rtl w:val="0"/>
        </w:rPr>
        <w:t xml:space="preserve">arty has had the opportunity to seek the advice of independent legal counsel and has read and understood all of the terms and provisions of this agreement.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0" w:right="0" w:firstLine="0"/>
        <w:jc w:val="both"/>
        <w:rPr>
          <w:rFonts w:ascii="Lato" w:cs="Lato" w:eastAsia="Lato" w:hAnsi="Lato"/>
          <w:b w:val="1"/>
          <w:bCs w:val="1"/>
          <w:i w:val="0"/>
          <w:iCs w:val="0"/>
          <w:smallCaps w:val="0"/>
          <w:strike w:val="0"/>
          <w:color w:val="434343"/>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434343"/>
          <w:sz w:val="22"/>
          <w:szCs w:val="22"/>
          <w:u w:val="none"/>
          <w:shd w:fill="auto" w:val="clear"/>
          <w:vertAlign w:val="baseline"/>
          <w:rtl w:val="0"/>
        </w:rPr>
        <w:t xml:space="preserve">This </w:t>
      </w:r>
      <w:r w:rsidDel="00000000" w:rsidR="00000000" w:rsidRPr="00000000">
        <w:rPr>
          <w:rFonts w:ascii="Lato" w:cs="Lato" w:eastAsia="Lato" w:hAnsi="Lato"/>
          <w:b w:val="1"/>
          <w:bCs w:val="1"/>
          <w:i w:val="0"/>
          <w:iCs w:val="0"/>
          <w:smallCaps w:val="0"/>
          <w:strike w:val="0"/>
          <w:color w:val="434343"/>
          <w:sz w:val="22"/>
          <w:szCs w:val="22"/>
          <w:u w:val="single"/>
          <w:shd w:fill="auto" w:val="clear"/>
          <w:vertAlign w:val="baseline"/>
          <w:rtl w:val="0"/>
        </w:rPr>
        <w:t xml:space="preserve">NON-DISCLOSURE AGREEMENT</w:t>
      </w:r>
      <w:r w:rsidDel="00000000" w:rsidR="00000000" w:rsidRPr="00000000">
        <w:rPr>
          <w:rFonts w:ascii="Lato" w:cs="Lato" w:eastAsia="Lato" w:hAnsi="Lato"/>
          <w:b w:val="1"/>
          <w:bCs w:val="1"/>
          <w:i w:val="0"/>
          <w:iCs w:val="0"/>
          <w:smallCaps w:val="0"/>
          <w:strike w:val="0"/>
          <w:color w:val="434343"/>
          <w:sz w:val="22"/>
          <w:szCs w:val="22"/>
          <w:u w:val="none"/>
          <w:shd w:fill="auto" w:val="clear"/>
          <w:vertAlign w:val="baseline"/>
          <w:rtl w:val="0"/>
        </w:rPr>
        <w:t xml:space="preserve"> has been prepared in two copies of equal value, with one copy for each of the Parties, which, after being read, will be signed by the Parties who declare it to be in accordance with their wishes.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360" w:lineRule="auto"/>
        <w:ind w:left="830" w:right="0" w:firstLine="0"/>
        <w:jc w:val="center"/>
        <w:rPr>
          <w:rFonts w:ascii="Lato" w:cs="Lato" w:eastAsia="Lato" w:hAnsi="Lato"/>
          <w:b w:val="0"/>
          <w:bCs w:val="0"/>
          <w:i w:val="0"/>
          <w:iCs w:val="0"/>
          <w:smallCaps w:val="0"/>
          <w:strike w:val="0"/>
          <w:color w:val="43434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83" w:line="360" w:lineRule="auto"/>
        <w:jc w:val="both"/>
        <w:rPr>
          <w:rFonts w:ascii="Lato" w:cs="Lato" w:eastAsia="Lato" w:hAnsi="Lato"/>
          <w:color w:val="434343"/>
          <w:sz w:val="22"/>
          <w:szCs w:val="22"/>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Fonts w:ascii="Lato" w:cs="Lato" w:eastAsia="Lato" w:hAnsi="Lato"/>
          <w:color w:val="434343"/>
          <w:sz w:val="22"/>
          <w:szCs w:val="22"/>
          <w:rtl w:val="0"/>
        </w:rPr>
        <w:t xml:space="preserve">The Parties have agreed to enter into this Agreement with immediate effect following the effective date.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83" w:line="360" w:lineRule="auto"/>
        <w:jc w:val="both"/>
        <w:rPr>
          <w:rFonts w:ascii="Liberation Serif" w:cs="Liberation Serif" w:eastAsia="Liberation Serif" w:hAnsi="Liberation Serif"/>
          <w:color w:val="434343"/>
          <w:sz w:val="22"/>
          <w:szCs w:val="22"/>
        </w:rPr>
      </w:pPr>
      <w:r w:rsidDel="00000000" w:rsidR="00000000" w:rsidRPr="00000000">
        <w:rPr>
          <w:rFonts w:ascii="Lato" w:cs="Lato" w:eastAsia="Lato" w:hAnsi="Lato"/>
          <w:color w:val="434343"/>
          <w:sz w:val="22"/>
          <w:szCs w:val="22"/>
          <w:rtl w:val="0"/>
        </w:rPr>
        <w:t xml:space="preserve">MTG Research and Development Lab</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83" w:line="259" w:lineRule="auto"/>
        <w:rPr>
          <w:rFonts w:ascii="Liberation Serif" w:cs="Liberation Serif" w:eastAsia="Liberation Serif" w:hAnsi="Liberation Serif"/>
          <w:color w:val="434343"/>
          <w:sz w:val="22"/>
          <w:szCs w:val="2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83" w:line="259" w:lineRule="auto"/>
        <w:rPr>
          <w:rFonts w:ascii="Tahoma" w:cs="Tahoma" w:eastAsia="Tahoma" w:hAnsi="Tahoma"/>
          <w:color w:val="434343"/>
          <w:sz w:val="22"/>
          <w:szCs w:val="22"/>
        </w:rPr>
      </w:pPr>
      <w:r w:rsidDel="00000000" w:rsidR="00000000" w:rsidRPr="00000000">
        <w:rPr>
          <w:rFonts w:ascii="Tahoma" w:cs="Tahoma" w:eastAsia="Tahoma" w:hAnsi="Tahoma"/>
          <w:color w:val="434343"/>
          <w:sz w:val="22"/>
          <w:szCs w:val="22"/>
          <w:rtl w:val="0"/>
        </w:rPr>
        <w:t xml:space="preserve">_______________________________</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83" w:line="259" w:lineRule="auto"/>
        <w:rPr>
          <w:rFonts w:ascii="Tahoma" w:cs="Tahoma" w:eastAsia="Tahoma" w:hAnsi="Tahoma"/>
          <w:b w:val="1"/>
          <w:bCs w:val="1"/>
          <w:color w:val="434343"/>
          <w:sz w:val="22"/>
          <w:szCs w:val="22"/>
        </w:rPr>
      </w:pPr>
      <w:r w:rsidDel="00000000" w:rsidR="00000000" w:rsidRPr="00000000">
        <w:rPr>
          <w:rFonts w:ascii="Tahoma" w:cs="Tahoma" w:eastAsia="Tahoma" w:hAnsi="Tahoma"/>
          <w:color w:val="434343"/>
          <w:sz w:val="22"/>
          <w:szCs w:val="22"/>
          <w:rtl w:val="0"/>
        </w:rPr>
        <w:t xml:space="preserve">Raquel Moreira</w:t>
        <w:br w:type="textWrapping"/>
      </w:r>
      <w:r w:rsidDel="00000000" w:rsidR="00000000" w:rsidRPr="00000000">
        <w:rPr>
          <w:rFonts w:ascii="Tahoma" w:cs="Tahoma" w:eastAsia="Tahoma" w:hAnsi="Tahoma"/>
          <w:b w:val="1"/>
          <w:bCs w:val="1"/>
          <w:color w:val="434343"/>
          <w:sz w:val="22"/>
          <w:szCs w:val="22"/>
          <w:rtl w:val="0"/>
        </w:rPr>
        <w:t xml:space="preserve">Business Controller</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83" w:line="259" w:lineRule="auto"/>
        <w:rPr>
          <w:rFonts w:ascii="Tahoma" w:cs="Tahoma" w:eastAsia="Tahoma" w:hAnsi="Tahoma"/>
          <w:b w:val="1"/>
          <w:bCs w:val="1"/>
          <w:color w:val="434343"/>
          <w:sz w:val="22"/>
          <w:szCs w:val="22"/>
        </w:rPr>
      </w:pPr>
      <w:r w:rsidDel="00000000" w:rsidR="00000000" w:rsidRPr="00000000">
        <w:rPr>
          <w:rtl w:val="0"/>
        </w:rPr>
      </w:r>
    </w:p>
    <w:p w:rsidR="00000000" w:rsidDel="00000000" w:rsidP="00000000" w:rsidRDefault="00000000" w:rsidRPr="00000000" w14:paraId="00000055">
      <w:pPr>
        <w:spacing w:after="283" w:line="360" w:lineRule="auto"/>
        <w:rPr>
          <w:rFonts w:ascii="Lato" w:cs="Lato" w:eastAsia="Lato" w:hAnsi="Lato"/>
          <w:color w:val="434343"/>
          <w:sz w:val="22"/>
          <w:szCs w:val="22"/>
        </w:rPr>
      </w:pPr>
      <w:r w:rsidDel="00000000" w:rsidR="00000000" w:rsidRPr="00000000">
        <w:rPr>
          <w:rFonts w:ascii="Lato" w:cs="Lato" w:eastAsia="Lato" w:hAnsi="Lato"/>
          <w:color w:val="434343"/>
          <w:sz w:val="22"/>
          <w:szCs w:val="22"/>
          <w:rtl w:val="0"/>
        </w:rPr>
        <w:t xml:space="preserve">The Recipient</w:t>
        <w:br w:type="textWrapping"/>
      </w:r>
    </w:p>
    <w:p w:rsidR="00000000" w:rsidDel="00000000" w:rsidP="00000000" w:rsidRDefault="00000000" w:rsidRPr="00000000" w14:paraId="00000056">
      <w:pPr>
        <w:spacing w:after="283" w:line="259" w:lineRule="auto"/>
        <w:rPr>
          <w:rFonts w:ascii="Liberation Serif" w:cs="Liberation Serif" w:eastAsia="Liberation Serif" w:hAnsi="Liberation Serif"/>
          <w:color w:val="434343"/>
          <w:sz w:val="22"/>
          <w:szCs w:val="22"/>
        </w:rPr>
      </w:pPr>
      <w:r w:rsidDel="00000000" w:rsidR="00000000" w:rsidRPr="00000000">
        <w:rPr>
          <w:rtl w:val="0"/>
        </w:rPr>
      </w:r>
    </w:p>
    <w:p w:rsidR="00000000" w:rsidDel="00000000" w:rsidP="00000000" w:rsidRDefault="00000000" w:rsidRPr="00000000" w14:paraId="00000057">
      <w:pPr>
        <w:spacing w:after="283" w:line="259" w:lineRule="auto"/>
        <w:rPr>
          <w:rFonts w:ascii="Tahoma" w:cs="Tahoma" w:eastAsia="Tahoma" w:hAnsi="Tahoma"/>
          <w:color w:val="434343"/>
          <w:sz w:val="22"/>
          <w:szCs w:val="22"/>
        </w:rPr>
      </w:pPr>
      <w:r w:rsidDel="00000000" w:rsidR="00000000" w:rsidRPr="00000000">
        <w:rPr>
          <w:rFonts w:ascii="Tahoma" w:cs="Tahoma" w:eastAsia="Tahoma" w:hAnsi="Tahoma"/>
          <w:color w:val="434343"/>
          <w:sz w:val="22"/>
          <w:szCs w:val="22"/>
          <w:rtl w:val="0"/>
        </w:rPr>
        <w:t xml:space="preserve">_______________________________</w:t>
      </w:r>
    </w:p>
    <w:p w:rsidR="00000000" w:rsidDel="00000000" w:rsidP="00000000" w:rsidRDefault="00000000" w:rsidRPr="00000000" w14:paraId="00000058">
      <w:pPr>
        <w:spacing w:after="283" w:line="259" w:lineRule="auto"/>
        <w:rPr>
          <w:rFonts w:ascii="Tahoma" w:cs="Tahoma" w:eastAsia="Tahoma" w:hAnsi="Tahoma"/>
          <w:b w:val="1"/>
          <w:bCs w:val="1"/>
          <w:color w:val="434343"/>
          <w:sz w:val="22"/>
          <w:szCs w:val="22"/>
        </w:rPr>
      </w:pPr>
      <w:r w:rsidDel="00000000" w:rsidR="00000000" w:rsidRPr="00000000">
        <w:rPr>
          <w:rFonts w:ascii="Lato" w:cs="Lato" w:eastAsia="Lato" w:hAnsi="Lato"/>
          <w:color w:val="434343"/>
          <w:sz w:val="22"/>
          <w:szCs w:val="22"/>
          <w:shd w:fill="d9d9d9" w:val="clear"/>
          <w:rtl w:val="0"/>
        </w:rPr>
        <w:t xml:space="preserve">[NAME]</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arlow Condense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tabs>
        <w:tab w:val="right" w:leader="none" w:pos="8993"/>
      </w:tabs>
      <w:ind w:right="33"/>
      <w:rPr>
        <w:b w:val="1"/>
        <w:bCs w:val="1"/>
        <w:color w:val="808080"/>
        <w:sz w:val="20"/>
        <w:szCs w:val="20"/>
      </w:rPr>
    </w:pPr>
    <w:r w:rsidDel="00000000" w:rsidR="00000000" w:rsidRPr="00000000">
      <w:rPr>
        <w:rFonts w:ascii="Lato" w:cs="Lato" w:eastAsia="Lato" w:hAnsi="Lato"/>
        <w:b w:val="1"/>
        <w:bCs w:val="1"/>
        <w:color w:val="666666"/>
        <w:sz w:val="18"/>
        <w:szCs w:val="18"/>
        <w:rtl w:val="0"/>
      </w:rPr>
      <w:t xml:space="preserve">MTG Research and Development Lab</w:t>
    </w:r>
    <w:r w:rsidDel="00000000" w:rsidR="00000000" w:rsidRPr="00000000">
      <w:rPr>
        <w:rFonts w:ascii="Lato" w:cs="Lato" w:eastAsia="Lato" w:hAnsi="Lato"/>
        <w:color w:val="666666"/>
        <w:sz w:val="18"/>
        <w:szCs w:val="18"/>
        <w:rtl w:val="0"/>
      </w:rPr>
      <w:t xml:space="preserve"> | PT513586849</w:t>
      <w:br w:type="textWrapping"/>
      <w:t xml:space="preserve">legal@mtg.pt | Rua Prof Joaquim Bastos 102 2A, 4200-604, Porto PT</w:t>
      <w:tab/>
    </w:r>
    <w:r w:rsidDel="00000000" w:rsidR="00000000" w:rsidRPr="00000000">
      <w:rPr>
        <w:rFonts w:ascii="Lato" w:cs="Lato" w:eastAsia="Lato" w:hAnsi="Lato"/>
        <w:color w:val="666666"/>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tabs>
        <w:tab w:val="right" w:leader="none" w:pos="8993"/>
      </w:tabs>
      <w:ind w:right="33"/>
      <w:rPr>
        <w:b w:val="1"/>
        <w:bCs w:val="1"/>
        <w:color w:val="808080"/>
        <w:sz w:val="20"/>
        <w:szCs w:val="20"/>
      </w:rPr>
    </w:pPr>
    <w:r w:rsidDel="00000000" w:rsidR="00000000" w:rsidRPr="00000000">
      <w:rPr>
        <w:rFonts w:ascii="Lato" w:cs="Lato" w:eastAsia="Lato" w:hAnsi="Lato"/>
        <w:b w:val="1"/>
        <w:bCs w:val="1"/>
        <w:color w:val="666666"/>
        <w:sz w:val="18"/>
        <w:szCs w:val="18"/>
        <w:rtl w:val="0"/>
      </w:rPr>
      <w:t xml:space="preserve">MTG Research and Development Lab</w:t>
    </w:r>
    <w:r w:rsidDel="00000000" w:rsidR="00000000" w:rsidRPr="00000000">
      <w:rPr>
        <w:rFonts w:ascii="Lato" w:cs="Lato" w:eastAsia="Lato" w:hAnsi="Lato"/>
        <w:color w:val="666666"/>
        <w:sz w:val="18"/>
        <w:szCs w:val="18"/>
        <w:rtl w:val="0"/>
      </w:rPr>
      <w:t xml:space="preserve"> | PT513586849</w:t>
      <w:br w:type="textWrapping"/>
      <w:t xml:space="preserve">legal@mtg.pt | Rua Prof Joaquim Bastos 102 2A, 4200-604, Porto PT</w:t>
      <w:tab/>
      <w:t xml:space="preserve">7</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jc w:val="center"/>
      <w:rPr>
        <w:b w:val="1"/>
        <w:bCs w:val="1"/>
        <w:color w:val="000000"/>
        <w:sz w:val="20"/>
        <w:szCs w:val="20"/>
      </w:rPr>
    </w:pPr>
    <w:r w:rsidDel="00000000" w:rsidR="00000000" w:rsidRPr="00000000">
      <w:rPr>
        <w:b w:val="1"/>
        <w:bCs w:val="1"/>
        <w:sz w:val="20"/>
        <w:szCs w:val="20"/>
      </w:rPr>
      <w:drawing>
        <wp:inline distB="114300" distT="114300" distL="114300" distR="114300">
          <wp:extent cx="2252230" cy="728663"/>
          <wp:effectExtent b="0" l="0" r="0" t="0"/>
          <wp:docPr id="1318266827" name="image1.png"/>
          <a:graphic>
            <a:graphicData uri="http://schemas.openxmlformats.org/drawingml/2006/picture">
              <pic:pic>
                <pic:nvPicPr>
                  <pic:cNvPr id="0" name="image1.png"/>
                  <pic:cNvPicPr preferRelativeResize="0"/>
                </pic:nvPicPr>
                <pic:blipFill>
                  <a:blip r:embed="rId1"/>
                  <a:srcRect b="23611" l="12500" r="10135" t="25000"/>
                  <a:stretch>
                    <a:fillRect/>
                  </a:stretch>
                </pic:blipFill>
                <pic:spPr>
                  <a:xfrm>
                    <a:off x="0" y="0"/>
                    <a:ext cx="2252230" cy="72866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680"/>
        <w:tab w:val="right" w:leader="none" w:pos="9360"/>
      </w:tabs>
      <w:jc w:val="center"/>
      <w:rPr>
        <w:b w:val="1"/>
        <w:bCs w:val="1"/>
        <w:color w:val="000000"/>
        <w:sz w:val="20"/>
        <w:szCs w:val="20"/>
      </w:rPr>
    </w:pPr>
    <w:r w:rsidDel="00000000" w:rsidR="00000000" w:rsidRPr="00000000">
      <w:rPr>
        <w:b w:val="1"/>
        <w:bCs w:val="1"/>
        <w:sz w:val="20"/>
        <w:szCs w:val="20"/>
      </w:rPr>
      <w:drawing>
        <wp:inline distB="114300" distT="114300" distL="114300" distR="114300">
          <wp:extent cx="2252230" cy="728663"/>
          <wp:effectExtent b="0" l="0" r="0" t="0"/>
          <wp:docPr id="1318266828" name="image1.png"/>
          <a:graphic>
            <a:graphicData uri="http://schemas.openxmlformats.org/drawingml/2006/picture">
              <pic:pic>
                <pic:nvPicPr>
                  <pic:cNvPr id="0" name="image1.png"/>
                  <pic:cNvPicPr preferRelativeResize="0"/>
                </pic:nvPicPr>
                <pic:blipFill>
                  <a:blip r:embed="rId1"/>
                  <a:srcRect b="23611" l="12500" r="10135" t="25000"/>
                  <a:stretch>
                    <a:fillRect/>
                  </a:stretch>
                </pic:blipFill>
                <pic:spPr>
                  <a:xfrm>
                    <a:off x="0" y="0"/>
                    <a:ext cx="2252230" cy="7286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0" w:hanging="47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644" w:hanging="359.99999999999994"/>
      </w:pPr>
      <w:rPr>
        <w:rFonts w:ascii="Lato" w:cs="Lato" w:eastAsia="Lato" w:hAnsi="Lato"/>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
    <w:lvl w:ilvl="0">
      <w:start w:val="1"/>
      <w:numFmt w:val="decimal"/>
      <w:lvlText w:val="%1."/>
      <w:lvlJc w:val="left"/>
      <w:pPr>
        <w:ind w:left="1190" w:hanging="360"/>
      </w:pPr>
      <w:rPr/>
    </w:lvl>
    <w:lvl w:ilvl="1">
      <w:start w:val="1"/>
      <w:numFmt w:val="lowerLetter"/>
      <w:lvlText w:val="%2."/>
      <w:lvlJc w:val="left"/>
      <w:pPr>
        <w:ind w:left="1910" w:hanging="360"/>
      </w:pPr>
      <w:rPr/>
    </w:lvl>
    <w:lvl w:ilvl="2">
      <w:start w:val="1"/>
      <w:numFmt w:val="lowerRoman"/>
      <w:lvlText w:val="%3."/>
      <w:lvlJc w:val="right"/>
      <w:pPr>
        <w:ind w:left="2630" w:hanging="180"/>
      </w:pPr>
      <w:rPr/>
    </w:lvl>
    <w:lvl w:ilvl="3">
      <w:start w:val="1"/>
      <w:numFmt w:val="decimal"/>
      <w:lvlText w:val="%4."/>
      <w:lvlJc w:val="left"/>
      <w:pPr>
        <w:ind w:left="3350" w:hanging="360"/>
      </w:pPr>
      <w:rPr/>
    </w:lvl>
    <w:lvl w:ilvl="4">
      <w:start w:val="1"/>
      <w:numFmt w:val="lowerLetter"/>
      <w:lvlText w:val="%5."/>
      <w:lvlJc w:val="left"/>
      <w:pPr>
        <w:ind w:left="4070" w:hanging="360"/>
      </w:pPr>
      <w:rPr/>
    </w:lvl>
    <w:lvl w:ilvl="5">
      <w:start w:val="1"/>
      <w:numFmt w:val="lowerRoman"/>
      <w:lvlText w:val="%6."/>
      <w:lvlJc w:val="right"/>
      <w:pPr>
        <w:ind w:left="4790" w:hanging="180"/>
      </w:pPr>
      <w:rPr/>
    </w:lvl>
    <w:lvl w:ilvl="6">
      <w:start w:val="1"/>
      <w:numFmt w:val="decimal"/>
      <w:lvlText w:val="%7."/>
      <w:lvlJc w:val="left"/>
      <w:pPr>
        <w:ind w:left="5510" w:hanging="360"/>
      </w:pPr>
      <w:rPr/>
    </w:lvl>
    <w:lvl w:ilvl="7">
      <w:start w:val="1"/>
      <w:numFmt w:val="lowerLetter"/>
      <w:lvlText w:val="%8."/>
      <w:lvlJc w:val="left"/>
      <w:pPr>
        <w:ind w:left="6230" w:hanging="360"/>
      </w:pPr>
      <w:rPr/>
    </w:lvl>
    <w:lvl w:ilvl="8">
      <w:start w:val="1"/>
      <w:numFmt w:val="lowerRoman"/>
      <w:lvlText w:val="%9."/>
      <w:lvlJc w:val="right"/>
      <w:pPr>
        <w:ind w:left="6950" w:hanging="180"/>
      </w:pPr>
      <w:rPr/>
    </w:lvl>
  </w:abstractNum>
  <w:abstractNum w:abstractNumId="4">
    <w:lvl w:ilvl="0">
      <w:start w:val="1"/>
      <w:numFmt w:val="decimal"/>
      <w:lvlText w:val="%1."/>
      <w:lvlJc w:val="left"/>
      <w:pPr>
        <w:ind w:left="1190" w:hanging="360"/>
      </w:pPr>
      <w:rPr/>
    </w:lvl>
    <w:lvl w:ilvl="1">
      <w:start w:val="1"/>
      <w:numFmt w:val="lowerLetter"/>
      <w:lvlText w:val="%2."/>
      <w:lvlJc w:val="left"/>
      <w:pPr>
        <w:ind w:left="1910" w:hanging="360"/>
      </w:pPr>
      <w:rPr/>
    </w:lvl>
    <w:lvl w:ilvl="2">
      <w:start w:val="1"/>
      <w:numFmt w:val="lowerRoman"/>
      <w:lvlText w:val="%3."/>
      <w:lvlJc w:val="right"/>
      <w:pPr>
        <w:ind w:left="2630" w:hanging="180"/>
      </w:pPr>
      <w:rPr/>
    </w:lvl>
    <w:lvl w:ilvl="3">
      <w:start w:val="1"/>
      <w:numFmt w:val="decimal"/>
      <w:lvlText w:val="%4."/>
      <w:lvlJc w:val="left"/>
      <w:pPr>
        <w:ind w:left="3350" w:hanging="360"/>
      </w:pPr>
      <w:rPr/>
    </w:lvl>
    <w:lvl w:ilvl="4">
      <w:start w:val="1"/>
      <w:numFmt w:val="lowerLetter"/>
      <w:lvlText w:val="%5."/>
      <w:lvlJc w:val="left"/>
      <w:pPr>
        <w:ind w:left="4070" w:hanging="360"/>
      </w:pPr>
      <w:rPr/>
    </w:lvl>
    <w:lvl w:ilvl="5">
      <w:start w:val="1"/>
      <w:numFmt w:val="lowerRoman"/>
      <w:lvlText w:val="%6."/>
      <w:lvlJc w:val="right"/>
      <w:pPr>
        <w:ind w:left="4790" w:hanging="180"/>
      </w:pPr>
      <w:rPr/>
    </w:lvl>
    <w:lvl w:ilvl="6">
      <w:start w:val="1"/>
      <w:numFmt w:val="decimal"/>
      <w:lvlText w:val="%7."/>
      <w:lvlJc w:val="left"/>
      <w:pPr>
        <w:ind w:left="5510" w:hanging="360"/>
      </w:pPr>
      <w:rPr/>
    </w:lvl>
    <w:lvl w:ilvl="7">
      <w:start w:val="1"/>
      <w:numFmt w:val="lowerLetter"/>
      <w:lvlText w:val="%8."/>
      <w:lvlJc w:val="left"/>
      <w:pPr>
        <w:ind w:left="6230" w:hanging="360"/>
      </w:pPr>
      <w:rPr/>
    </w:lvl>
    <w:lvl w:ilvl="8">
      <w:start w:val="1"/>
      <w:numFmt w:val="lowerRoman"/>
      <w:lvlText w:val="%9."/>
      <w:lvlJc w:val="right"/>
      <w:pPr>
        <w:ind w:left="695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1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widowControl w:val="0"/>
      <w:spacing w:after="283" w:before="240" w:line="259"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240"/>
      <w:outlineLvl w:val="0"/>
    </w:pPr>
    <w:rPr>
      <w:rFonts w:ascii="Calibri" w:cs="Calibri" w:eastAsia="Calibri" w:hAnsi="Calibri"/>
      <w:color w:val="2e75b5"/>
      <w:sz w:val="32"/>
      <w:szCs w:val="32"/>
    </w:rPr>
  </w:style>
  <w:style w:type="paragraph" w:styleId="Ttulo2">
    <w:name w:val="heading 2"/>
    <w:basedOn w:val="Normal"/>
    <w:next w:val="Normal"/>
    <w:uiPriority w:val="9"/>
    <w:semiHidden w:val="1"/>
    <w:unhideWhenUsed w:val="1"/>
    <w:qFormat w:val="1"/>
    <w:pPr>
      <w:keepNext w:val="1"/>
      <w:widowControl w:val="0"/>
      <w:spacing w:after="283" w:before="240" w:line="259" w:lineRule="auto"/>
      <w:outlineLvl w:val="1"/>
    </w:pPr>
    <w:rPr>
      <w:rFonts w:ascii="Liberation Serif" w:cs="Liberation Serif" w:eastAsia="Liberation Serif" w:hAnsi="Liberation Serif"/>
      <w:b w:val="1"/>
      <w:sz w:val="36"/>
      <w:szCs w:val="36"/>
    </w:rPr>
  </w:style>
  <w:style w:type="paragraph" w:styleId="Ttulo3">
    <w:name w:val="heading 3"/>
    <w:basedOn w:val="Normal"/>
    <w:next w:val="Normal"/>
    <w:uiPriority w:val="9"/>
    <w:semiHidden w:val="1"/>
    <w:unhideWhenUsed w:val="1"/>
    <w:qFormat w:val="1"/>
    <w:pPr>
      <w:keepNext w:val="1"/>
      <w:keepLines w:val="1"/>
      <w:spacing w:before="40"/>
      <w:outlineLvl w:val="2"/>
    </w:pPr>
    <w:rPr>
      <w:rFonts w:ascii="Calibri" w:cs="Calibri" w:eastAsia="Calibri" w:hAnsi="Calibri"/>
      <w:color w:val="1e4d7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Tipodeletrapredefinidodopargraf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PargrafodaLista">
    <w:name w:val="List Paragraph"/>
    <w:basedOn w:val="Normal"/>
    <w:uiPriority w:val="34"/>
    <w:qFormat w:val="1"/>
    <w:rsid w:val="00216225"/>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header" Target="header6.xml"/><Relationship Id="rId17" Type="http://schemas.openxmlformats.org/officeDocument/2006/relationships/footer" Target="footer6.xml"/><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BarlowCondensedSemiBold-regular.ttf"/><Relationship Id="rId2" Type="http://schemas.openxmlformats.org/officeDocument/2006/relationships/font" Target="fonts/BarlowCondensedSemiBold-bold.ttf"/><Relationship Id="rId3" Type="http://schemas.openxmlformats.org/officeDocument/2006/relationships/font" Target="fonts/BarlowCondensedSemiBold-italic.ttf"/><Relationship Id="rId4" Type="http://schemas.openxmlformats.org/officeDocument/2006/relationships/font" Target="fonts/BarlowCondensedSemiBold-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m/BkJ5Z3zPe3UWf7bQtOw+FJOw==">CgMxLjAyCGguZ2pkZ3hzOAByITFGcElNdEpIRnNmN1pZbS1uSE9nRVo0MTE0UWF6Tk9WSA==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2024-10-24T18:52:00Z</dcterms:created>
  <dc:creator>Manuel César Machado</dc:creator>
</cp:coreProperties>
</file>