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Rule="auto"/>
        <w:rPr>
          <w:b w:val="0"/>
          <w:color w:val="999999"/>
          <w:sz w:val="22"/>
          <w:szCs w:val="22"/>
        </w:rPr>
      </w:pPr>
      <w:bookmarkStart w:colFirst="0" w:colLast="0" w:name="_heading=h.tgdnam2ilkul" w:id="0"/>
      <w:bookmarkEnd w:id="0"/>
      <w:r w:rsidDel="00000000" w:rsidR="00000000" w:rsidRPr="00000000">
        <w:rPr>
          <w:b w:val="0"/>
          <w:color w:val="999999"/>
          <w:sz w:val="22"/>
          <w:szCs w:val="22"/>
          <w:rtl w:val="0"/>
        </w:rPr>
        <w:t xml:space="preserve">Please use the current template according to the instructions on this page.</w:t>
      </w:r>
    </w:p>
    <w:p w:rsidR="00000000" w:rsidDel="00000000" w:rsidP="00000000" w:rsidRDefault="00000000" w:rsidRPr="00000000" w14:paraId="00000002">
      <w:pPr>
        <w:pStyle w:val="Heading4"/>
        <w:spacing w:after="0" w:before="0" w:lineRule="auto"/>
        <w:rPr>
          <w:color w:val="999999"/>
          <w:sz w:val="22"/>
          <w:szCs w:val="22"/>
        </w:rPr>
      </w:pPr>
      <w:bookmarkStart w:colFirst="0" w:colLast="0" w:name="_heading=h.geh4krmhaws9" w:id="1"/>
      <w:bookmarkEnd w:id="1"/>
      <w:r w:rsidDel="00000000" w:rsidR="00000000" w:rsidRPr="00000000">
        <w:rPr>
          <w:rtl w:val="0"/>
        </w:rPr>
      </w:r>
    </w:p>
    <w:p w:rsidR="00000000" w:rsidDel="00000000" w:rsidP="00000000" w:rsidRDefault="00000000" w:rsidRPr="00000000" w14:paraId="00000003">
      <w:pPr>
        <w:pStyle w:val="Heading4"/>
        <w:spacing w:after="0" w:before="0" w:lineRule="auto"/>
        <w:rPr>
          <w:color w:val="999999"/>
          <w:sz w:val="22"/>
          <w:szCs w:val="22"/>
        </w:rPr>
      </w:pPr>
      <w:bookmarkStart w:colFirst="0" w:colLast="0" w:name="_heading=h.b3ivccjeik7w" w:id="2"/>
      <w:bookmarkEnd w:id="2"/>
      <w:r w:rsidDel="00000000" w:rsidR="00000000" w:rsidRPr="00000000">
        <w:rPr>
          <w:color w:val="999999"/>
          <w:sz w:val="22"/>
          <w:szCs w:val="22"/>
          <w:rtl w:val="0"/>
        </w:rPr>
        <w:t xml:space="preserve">Template Name</w:t>
      </w:r>
    </w:p>
    <w:p w:rsidR="00000000" w:rsidDel="00000000" w:rsidP="00000000" w:rsidRDefault="00000000" w:rsidRPr="00000000" w14:paraId="00000004">
      <w:pPr>
        <w:rPr>
          <w:color w:val="999999"/>
          <w:sz w:val="22"/>
          <w:szCs w:val="22"/>
        </w:rPr>
      </w:pPr>
      <w:r w:rsidDel="00000000" w:rsidR="00000000" w:rsidRPr="00000000">
        <w:rPr>
          <w:color w:val="999999"/>
          <w:sz w:val="22"/>
          <w:szCs w:val="22"/>
          <w:rtl w:val="0"/>
        </w:rPr>
        <w:t xml:space="preserve">MTG-TPL-030 Memorando de Entendimento Outras Instituições</w:t>
      </w:r>
    </w:p>
    <w:p w:rsidR="00000000" w:rsidDel="00000000" w:rsidP="00000000" w:rsidRDefault="00000000" w:rsidRPr="00000000" w14:paraId="00000005">
      <w:pPr>
        <w:pStyle w:val="Heading4"/>
        <w:spacing w:after="0" w:before="0" w:lineRule="auto"/>
        <w:rPr>
          <w:color w:val="999999"/>
          <w:sz w:val="22"/>
          <w:szCs w:val="22"/>
        </w:rPr>
      </w:pPr>
      <w:bookmarkStart w:colFirst="0" w:colLast="0" w:name="_heading=h.qb4vncj783gn" w:id="3"/>
      <w:bookmarkEnd w:id="3"/>
      <w:r w:rsidDel="00000000" w:rsidR="00000000" w:rsidRPr="00000000">
        <w:rPr>
          <w:color w:val="999999"/>
          <w:sz w:val="22"/>
          <w:szCs w:val="22"/>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jc w:val="left"/>
              <w:rPr>
                <w:b w:val="1"/>
                <w:color w:val="999999"/>
                <w:sz w:val="22"/>
                <w:szCs w:val="22"/>
              </w:rPr>
            </w:pPr>
            <w:r w:rsidDel="00000000" w:rsidR="00000000" w:rsidRPr="00000000">
              <w:rPr>
                <w:b w:val="1"/>
                <w:color w:val="999999"/>
                <w:sz w:val="22"/>
                <w:szCs w:val="22"/>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jc w:val="left"/>
              <w:rPr>
                <w:b w:val="1"/>
                <w:color w:val="999999"/>
                <w:sz w:val="22"/>
                <w:szCs w:val="22"/>
              </w:rPr>
            </w:pPr>
            <w:r w:rsidDel="00000000" w:rsidR="00000000" w:rsidRPr="00000000">
              <w:rPr>
                <w:b w:val="1"/>
                <w:color w:val="999999"/>
                <w:sz w:val="22"/>
                <w:szCs w:val="22"/>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jc w:val="left"/>
              <w:rPr>
                <w:b w:val="1"/>
                <w:color w:val="999999"/>
                <w:sz w:val="22"/>
                <w:szCs w:val="22"/>
              </w:rPr>
            </w:pPr>
            <w:r w:rsidDel="00000000" w:rsidR="00000000" w:rsidRPr="00000000">
              <w:rPr>
                <w:b w:val="1"/>
                <w:color w:val="999999"/>
                <w:sz w:val="22"/>
                <w:szCs w:val="22"/>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jc w:val="left"/>
              <w:rPr>
                <w:b w:val="1"/>
                <w:color w:val="999999"/>
                <w:sz w:val="22"/>
                <w:szCs w:val="22"/>
              </w:rPr>
            </w:pPr>
            <w:r w:rsidDel="00000000" w:rsidR="00000000" w:rsidRPr="00000000">
              <w:rPr>
                <w:b w:val="1"/>
                <w:color w:val="999999"/>
                <w:sz w:val="22"/>
                <w:szCs w:val="22"/>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widowControl w:val="0"/>
              <w:spacing w:after="0" w:line="240" w:lineRule="auto"/>
              <w:jc w:val="left"/>
              <w:rPr>
                <w:b w:val="1"/>
                <w:color w:val="999999"/>
                <w:sz w:val="22"/>
                <w:szCs w:val="22"/>
              </w:rPr>
            </w:pPr>
            <w:r w:rsidDel="00000000" w:rsidR="00000000" w:rsidRPr="00000000">
              <w:rPr>
                <w:b w:val="1"/>
                <w:color w:val="999999"/>
                <w:sz w:val="22"/>
                <w:szCs w:val="22"/>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jc w:val="left"/>
              <w:rPr>
                <w:b w:val="1"/>
                <w:color w:val="999999"/>
                <w:sz w:val="22"/>
                <w:szCs w:val="22"/>
              </w:rPr>
            </w:pPr>
            <w:r w:rsidDel="00000000" w:rsidR="00000000" w:rsidRPr="00000000">
              <w:rPr>
                <w:b w:val="1"/>
                <w:color w:val="999999"/>
                <w:sz w:val="22"/>
                <w:szCs w:val="22"/>
                <w:rtl w:val="0"/>
              </w:rPr>
              <w:t xml:space="preserve">0.1.0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jc w:val="left"/>
              <w:rPr>
                <w:color w:val="999999"/>
                <w:sz w:val="22"/>
                <w:szCs w:val="22"/>
              </w:rPr>
            </w:pPr>
            <w:hyperlink r:id="rId7">
              <w:r w:rsidDel="00000000" w:rsidR="00000000" w:rsidRPr="00000000">
                <w:rPr>
                  <w:color w:val="0000ee"/>
                  <w:sz w:val="22"/>
                  <w:szCs w:val="22"/>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jc w:val="left"/>
              <w:rPr>
                <w:color w:val="999999"/>
                <w:sz w:val="22"/>
                <w:szCs w:val="22"/>
              </w:rPr>
            </w:pPr>
            <w:r w:rsidDel="00000000" w:rsidR="00000000" w:rsidRPr="00000000">
              <w:rPr>
                <w:color w:val="999999"/>
                <w:sz w:val="22"/>
                <w:szCs w:val="22"/>
                <w:rtl w:val="0"/>
              </w:rPr>
              <w:t xml:space="preserve">Feb 25,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jc w:val="left"/>
              <w:rPr>
                <w:color w:val="999999"/>
                <w:sz w:val="22"/>
                <w:szCs w:val="22"/>
              </w:rPr>
            </w:pPr>
            <w:r w:rsidDel="00000000" w:rsidR="00000000" w:rsidRPr="00000000">
              <w:rPr>
                <w:color w:val="999999"/>
                <w:sz w:val="22"/>
                <w:szCs w:val="22"/>
                <w:rtl w:val="0"/>
              </w:rPr>
              <w:t xml:space="preserve">Draft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F">
            <w:pPr>
              <w:spacing w:after="0" w:line="240" w:lineRule="auto"/>
              <w:jc w:val="left"/>
              <w:rPr>
                <w:color w:val="999999"/>
                <w:sz w:val="22"/>
                <w:szCs w:val="22"/>
              </w:rPr>
            </w:pPr>
            <w:r w:rsidDel="00000000" w:rsidR="00000000" w:rsidRPr="00000000">
              <w:rPr>
                <w:rtl w:val="0"/>
              </w:rPr>
            </w:r>
          </w:p>
        </w:tc>
      </w:tr>
    </w:tbl>
    <w:p w:rsidR="00000000" w:rsidDel="00000000" w:rsidP="00000000" w:rsidRDefault="00000000" w:rsidRPr="00000000" w14:paraId="00000010">
      <w:pPr>
        <w:pStyle w:val="Heading4"/>
        <w:spacing w:after="0" w:before="0" w:lineRule="auto"/>
        <w:rPr>
          <w:color w:val="999999"/>
          <w:sz w:val="22"/>
          <w:szCs w:val="22"/>
        </w:rPr>
      </w:pPr>
      <w:bookmarkStart w:colFirst="0" w:colLast="0" w:name="_heading=h.8it14dwc4lut" w:id="4"/>
      <w:bookmarkEnd w:id="4"/>
      <w:r w:rsidDel="00000000" w:rsidR="00000000" w:rsidRPr="00000000">
        <w:rPr>
          <w:rtl w:val="0"/>
        </w:rPr>
      </w:r>
    </w:p>
    <w:p w:rsidR="00000000" w:rsidDel="00000000" w:rsidP="00000000" w:rsidRDefault="00000000" w:rsidRPr="00000000" w14:paraId="00000011">
      <w:pPr>
        <w:pStyle w:val="Heading4"/>
        <w:spacing w:after="0" w:before="0" w:lineRule="auto"/>
        <w:rPr>
          <w:color w:val="999999"/>
          <w:sz w:val="22"/>
          <w:szCs w:val="22"/>
        </w:rPr>
      </w:pPr>
      <w:bookmarkStart w:colFirst="0" w:colLast="0" w:name="_heading=h.vophg0al841u" w:id="5"/>
      <w:bookmarkEnd w:id="5"/>
      <w:r w:rsidDel="00000000" w:rsidR="00000000" w:rsidRPr="00000000">
        <w:rPr>
          <w:color w:val="999999"/>
          <w:sz w:val="22"/>
          <w:szCs w:val="22"/>
          <w:rtl w:val="0"/>
        </w:rPr>
        <w:t xml:space="preserve">Instructions</w:t>
      </w:r>
    </w:p>
    <w:p w:rsidR="00000000" w:rsidDel="00000000" w:rsidP="00000000" w:rsidRDefault="00000000" w:rsidRPr="00000000" w14:paraId="00000012">
      <w:pPr>
        <w:rPr>
          <w:color w:val="999999"/>
          <w:sz w:val="22"/>
          <w:szCs w:val="22"/>
        </w:rPr>
      </w:pPr>
      <w:r w:rsidDel="00000000" w:rsidR="00000000" w:rsidRPr="00000000">
        <w:rPr>
          <w:color w:val="999999"/>
          <w:sz w:val="22"/>
          <w:szCs w:val="22"/>
          <w:rtl w:val="0"/>
        </w:rPr>
        <w:t xml:space="preserve"> {...}</w:t>
      </w:r>
      <w:r w:rsidDel="00000000" w:rsidR="00000000" w:rsidRPr="00000000">
        <w:rPr>
          <w:sz w:val="22"/>
          <w:szCs w:val="22"/>
          <w:rtl w:val="0"/>
        </w:rPr>
        <w:t xml:space="preserve"> </w:t>
      </w:r>
      <w:r w:rsidDel="00000000" w:rsidR="00000000" w:rsidRPr="00000000">
        <w:rPr>
          <w:color w:val="999999"/>
          <w:sz w:val="22"/>
          <w:szCs w:val="22"/>
          <w:rtl w:val="0"/>
        </w:rPr>
        <w:t xml:space="preserve">Indicates a field to fill in with relevant information. Any instructions regarding the field will be written within the field brackets.</w:t>
      </w:r>
    </w:p>
    <w:p w:rsidR="00000000" w:rsidDel="00000000" w:rsidP="00000000" w:rsidRDefault="00000000" w:rsidRPr="00000000" w14:paraId="00000013">
      <w:pPr>
        <w:rPr>
          <w:color w:val="999999"/>
          <w:sz w:val="22"/>
          <w:szCs w:val="22"/>
        </w:rPr>
      </w:pPr>
      <w:r w:rsidDel="00000000" w:rsidR="00000000" w:rsidRPr="00000000">
        <w:rPr>
          <w:color w:val="999999"/>
          <w:sz w:val="22"/>
          <w:szCs w:val="22"/>
          <w:highlight w:val="white"/>
          <w:rtl w:val="0"/>
        </w:rPr>
        <w:t xml:space="preserve">Verify all hyperlinks before finalizing the document.</w:t>
      </w:r>
      <w:r w:rsidDel="00000000" w:rsidR="00000000" w:rsidRPr="00000000">
        <w:rPr>
          <w:rtl w:val="0"/>
        </w:rPr>
      </w:r>
    </w:p>
    <w:p w:rsidR="00000000" w:rsidDel="00000000" w:rsidP="00000000" w:rsidRDefault="00000000" w:rsidRPr="00000000" w14:paraId="00000014">
      <w:pPr>
        <w:rPr>
          <w:color w:val="999999"/>
          <w:sz w:val="22"/>
          <w:szCs w:val="22"/>
        </w:rPr>
      </w:pPr>
      <w:r w:rsidDel="00000000" w:rsidR="00000000" w:rsidRPr="00000000">
        <w:rPr>
          <w:color w:val="999999"/>
          <w:sz w:val="22"/>
          <w:szCs w:val="22"/>
          <w:rtl w:val="0"/>
        </w:rPr>
        <w:t xml:space="preserve">Delete this page before finalizing the document.</w:t>
      </w:r>
    </w:p>
    <w:p w:rsidR="00000000" w:rsidDel="00000000" w:rsidP="00000000" w:rsidRDefault="00000000" w:rsidRPr="00000000" w14:paraId="00000015">
      <w:pPr>
        <w:pStyle w:val="Title"/>
        <w:jc w:val="left"/>
        <w:rPr>
          <w:b w:val="0"/>
          <w:sz w:val="22"/>
          <w:szCs w:val="22"/>
        </w:rPr>
      </w:pPr>
      <w:bookmarkStart w:colFirst="0" w:colLast="0" w:name="_heading=h.gjdgxs" w:id="6"/>
      <w:bookmarkEnd w:id="6"/>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before="0" w:lineRule="auto"/>
        <w:jc w:val="center"/>
        <w:rPr>
          <w:highlight w:val="white"/>
        </w:rPr>
      </w:pPr>
      <w:bookmarkStart w:colFirst="0" w:colLast="0" w:name="_heading=h.al75mhrf5zzd" w:id="7"/>
      <w:bookmarkEnd w:id="7"/>
      <w:r w:rsidDel="00000000" w:rsidR="00000000" w:rsidRPr="00000000">
        <w:rPr>
          <w:highlight w:val="white"/>
          <w:rtl w:val="0"/>
        </w:rPr>
        <w:t xml:space="preserve">Memorando de Entendimento</w:t>
      </w:r>
    </w:p>
    <w:p w:rsidR="00000000" w:rsidDel="00000000" w:rsidP="00000000" w:rsidRDefault="00000000" w:rsidRPr="00000000" w14:paraId="00000017">
      <w:pPr>
        <w:pStyle w:val="Heading4"/>
        <w:spacing w:after="0" w:before="0" w:lineRule="auto"/>
        <w:jc w:val="center"/>
        <w:rPr>
          <w:sz w:val="22"/>
          <w:szCs w:val="22"/>
          <w:highlight w:val="white"/>
        </w:rPr>
      </w:pPr>
      <w:bookmarkStart w:colFirst="0" w:colLast="0" w:name="_heading=h.9yyc6bix340c" w:id="8"/>
      <w:bookmarkEnd w:id="8"/>
      <w:r w:rsidDel="00000000" w:rsidR="00000000" w:rsidRPr="00000000">
        <w:rPr>
          <w:sz w:val="22"/>
          <w:szCs w:val="22"/>
          <w:highlight w:val="white"/>
          <w:rtl w:val="0"/>
        </w:rPr>
        <w:t xml:space="preserve">Preâmbulo</w:t>
      </w:r>
    </w:p>
    <w:p w:rsidR="00000000" w:rsidDel="00000000" w:rsidP="00000000" w:rsidRDefault="00000000" w:rsidRPr="00000000" w14:paraId="00000018">
      <w:pPr>
        <w:rPr>
          <w:sz w:val="22"/>
          <w:szCs w:val="22"/>
          <w:highlight w:val="white"/>
        </w:rPr>
      </w:pPr>
      <w:r w:rsidDel="00000000" w:rsidR="00000000" w:rsidRPr="00000000">
        <w:rPr>
          <w:rFonts w:ascii="Lato" w:cs="Lato" w:eastAsia="Lato" w:hAnsi="Lato"/>
          <w:sz w:val="22"/>
          <w:szCs w:val="22"/>
          <w:highlight w:val="white"/>
          <w:rtl w:val="0"/>
        </w:rPr>
        <w:t xml:space="preserve">A </w:t>
      </w:r>
      <w:r w:rsidDel="00000000" w:rsidR="00000000" w:rsidRPr="00000000">
        <w:rPr>
          <w:rFonts w:ascii="Lato" w:cs="Lato" w:eastAsia="Lato" w:hAnsi="Lato"/>
          <w:sz w:val="22"/>
          <w:szCs w:val="22"/>
          <w:highlight w:val="white"/>
          <w:rtl w:val="0"/>
        </w:rPr>
        <w:t xml:space="preserve">MTG Research and Development Lab</w:t>
      </w:r>
      <w:r w:rsidDel="00000000" w:rsidR="00000000" w:rsidRPr="00000000">
        <w:rPr>
          <w:sz w:val="22"/>
          <w:szCs w:val="22"/>
          <w:highlight w:val="white"/>
          <w:rtl w:val="0"/>
        </w:rPr>
        <w:t xml:space="preserve"> (doravante designada MTG), fundada em 2015, é uma empresa especializada em atividades de Investigação e Desenvolvimento (I&amp;D) com recurso a dados de saúde. A </w:t>
      </w:r>
      <w:r w:rsidDel="00000000" w:rsidR="00000000" w:rsidRPr="00000000">
        <w:rPr>
          <w:sz w:val="22"/>
          <w:szCs w:val="22"/>
          <w:highlight w:val="white"/>
          <w:rtl w:val="0"/>
        </w:rPr>
        <w:t xml:space="preserve">Agência Nacional de Inovação</w:t>
      </w:r>
      <w:r w:rsidDel="00000000" w:rsidR="00000000" w:rsidRPr="00000000">
        <w:rPr>
          <w:sz w:val="22"/>
          <w:szCs w:val="22"/>
          <w:highlight w:val="white"/>
          <w:rtl w:val="0"/>
        </w:rPr>
        <w:t xml:space="preserve"> reconhece desde 27 de fevereiro de 2020 a MTG como </w:t>
      </w:r>
      <w:hyperlink r:id="rId8">
        <w:r w:rsidDel="00000000" w:rsidR="00000000" w:rsidRPr="00000000">
          <w:rPr>
            <w:color w:val="1155cc"/>
            <w:sz w:val="22"/>
            <w:szCs w:val="22"/>
            <w:highlight w:val="white"/>
            <w:u w:val="single"/>
            <w:rtl w:val="0"/>
          </w:rPr>
          <w:t xml:space="preserve">Entidade Idónea</w:t>
        </w:r>
      </w:hyperlink>
      <w:r w:rsidDel="00000000" w:rsidR="00000000" w:rsidRPr="00000000">
        <w:rPr>
          <w:sz w:val="22"/>
          <w:szCs w:val="22"/>
          <w:highlight w:val="white"/>
          <w:rtl w:val="0"/>
        </w:rPr>
        <w:t xml:space="preserve"> para a prática de atividades de I&amp;D no domínio técnico-científico da saúde.</w:t>
      </w:r>
    </w:p>
    <w:p w:rsidR="00000000" w:rsidDel="00000000" w:rsidP="00000000" w:rsidRDefault="00000000" w:rsidRPr="00000000" w14:paraId="00000019">
      <w:pPr>
        <w:rPr>
          <w:sz w:val="22"/>
          <w:szCs w:val="22"/>
          <w:highlight w:val="white"/>
        </w:rPr>
      </w:pPr>
      <w:r w:rsidDel="00000000" w:rsidR="00000000" w:rsidRPr="00000000">
        <w:rPr>
          <w:sz w:val="22"/>
          <w:szCs w:val="22"/>
          <w:highlight w:val="white"/>
          <w:rtl w:val="0"/>
        </w:rPr>
        <w:t xml:space="preserve">A MTG participa ativamente em redes internacionais. A visão da MTG alinha-se com a visão dos ecossistemas EHDEN - </w:t>
      </w:r>
      <w:hyperlink w:anchor="_heading=h.7myjqwhuvoqr">
        <w:r w:rsidDel="00000000" w:rsidR="00000000" w:rsidRPr="00000000">
          <w:rPr>
            <w:i w:val="1"/>
            <w:color w:val="1155cc"/>
            <w:sz w:val="22"/>
            <w:szCs w:val="22"/>
            <w:highlight w:val="white"/>
            <w:u w:val="single"/>
            <w:rtl w:val="0"/>
          </w:rPr>
          <w:t xml:space="preserve">European Health Data Evidence Network</w:t>
        </w:r>
      </w:hyperlink>
      <w:r w:rsidDel="00000000" w:rsidR="00000000" w:rsidRPr="00000000">
        <w:rPr>
          <w:sz w:val="22"/>
          <w:szCs w:val="22"/>
          <w:highlight w:val="white"/>
          <w:rtl w:val="0"/>
        </w:rPr>
        <w:t xml:space="preserve"> e EHDS - </w:t>
      </w:r>
      <w:hyperlink w:anchor="_heading=h.yjks4bhp4352">
        <w:r w:rsidDel="00000000" w:rsidR="00000000" w:rsidRPr="00000000">
          <w:rPr>
            <w:i w:val="1"/>
            <w:color w:val="1155cc"/>
            <w:sz w:val="22"/>
            <w:szCs w:val="22"/>
            <w:highlight w:val="white"/>
            <w:u w:val="single"/>
            <w:rtl w:val="0"/>
          </w:rPr>
          <w:t xml:space="preserve">European Health Data Space</w:t>
        </w:r>
      </w:hyperlink>
      <w:r w:rsidDel="00000000" w:rsidR="00000000" w:rsidRPr="00000000">
        <w:rPr>
          <w:sz w:val="22"/>
          <w:szCs w:val="22"/>
          <w:highlight w:val="white"/>
          <w:rtl w:val="0"/>
        </w:rPr>
        <w:t xml:space="preserve">, ou seja, de uma Europa onde os dados de saúde são utilizados pelas comunidades clínicas e científicas para gerar eficazmente evidência de elevada qualidade, que permita melhorar os resultados em saúde para os cidadãos, contribuindo para a contínua promoção dos sistemas de saúde baseada na evidência e informada pela realidade local.</w:t>
      </w:r>
    </w:p>
    <w:p w:rsidR="00000000" w:rsidDel="00000000" w:rsidP="00000000" w:rsidRDefault="00000000" w:rsidRPr="00000000" w14:paraId="0000001A">
      <w:pPr>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A </w:t>
      </w:r>
      <w:r w:rsidDel="00000000" w:rsidR="00000000" w:rsidRPr="00000000">
        <w:rPr>
          <w:rFonts w:ascii="Lato" w:cs="Lato" w:eastAsia="Lato" w:hAnsi="Lato"/>
          <w:sz w:val="22"/>
          <w:szCs w:val="22"/>
          <w:shd w:fill="d9d9d9" w:val="clear"/>
          <w:rtl w:val="0"/>
        </w:rPr>
        <w:t xml:space="preserve">{Parte}</w:t>
      </w:r>
      <w:r w:rsidDel="00000000" w:rsidR="00000000" w:rsidRPr="00000000">
        <w:rPr>
          <w:rFonts w:ascii="Lato" w:cs="Lato" w:eastAsia="Lato" w:hAnsi="Lato"/>
          <w:sz w:val="22"/>
          <w:szCs w:val="22"/>
          <w:highlight w:val="white"/>
          <w:rtl w:val="0"/>
        </w:rPr>
        <w:t xml:space="preserve">, tem como atribuições, entre outras diretamente relacionadas promover o desenvolvimento da área </w:t>
      </w:r>
      <w:r w:rsidDel="00000000" w:rsidR="00000000" w:rsidRPr="00000000">
        <w:rPr>
          <w:sz w:val="22"/>
          <w:szCs w:val="22"/>
          <w:shd w:fill="d9d9d9" w:val="clear"/>
          <w:rtl w:val="0"/>
        </w:rPr>
        <w:t xml:space="preserve">{especificar}</w:t>
      </w:r>
      <w:r w:rsidDel="00000000" w:rsidR="00000000" w:rsidRPr="00000000">
        <w:rPr>
          <w:rFonts w:ascii="Lato" w:cs="Lato" w:eastAsia="Lato" w:hAnsi="Lato"/>
          <w:sz w:val="22"/>
          <w:szCs w:val="22"/>
          <w:highlight w:val="white"/>
          <w:rtl w:val="0"/>
        </w:rPr>
        <w:t xml:space="preserve">, promover o processo de investigação e formação contínua, pré- e pós-graduada, de profissionais do setor, prevendo a celebração de acordos com as entidades competentes, incluindo em atividades de I&amp;D, com recurso a </w:t>
      </w:r>
      <w:r w:rsidDel="00000000" w:rsidR="00000000" w:rsidRPr="00000000">
        <w:rPr>
          <w:sz w:val="22"/>
          <w:szCs w:val="22"/>
          <w:highlight w:val="white"/>
          <w:rtl w:val="0"/>
        </w:rPr>
        <w:t xml:space="preserve">dados</w:t>
      </w:r>
      <w:r w:rsidDel="00000000" w:rsidR="00000000" w:rsidRPr="00000000">
        <w:rPr>
          <w:rFonts w:ascii="Lato" w:cs="Lato" w:eastAsia="Lato" w:hAnsi="Lato"/>
          <w:sz w:val="22"/>
          <w:szCs w:val="22"/>
          <w:highlight w:val="white"/>
          <w:rtl w:val="0"/>
        </w:rPr>
        <w:t xml:space="preserve"> de saúde, e com participação ativa em sociedades e redes internacionais, celebrando acordos ou parcerias com entidades aptas para este objetivo.</w:t>
      </w:r>
    </w:p>
    <w:p w:rsidR="00000000" w:rsidDel="00000000" w:rsidP="00000000" w:rsidRDefault="00000000" w:rsidRPr="00000000" w14:paraId="0000001B">
      <w:pPr>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A </w:t>
      </w:r>
      <w:r w:rsidDel="00000000" w:rsidR="00000000" w:rsidRPr="00000000">
        <w:rPr>
          <w:rFonts w:ascii="Lato" w:cs="Lato" w:eastAsia="Lato" w:hAnsi="Lato"/>
          <w:sz w:val="22"/>
          <w:szCs w:val="22"/>
          <w:shd w:fill="d9d9d9" w:val="clear"/>
          <w:rtl w:val="0"/>
        </w:rPr>
        <w:t xml:space="preserve">{Parte}</w:t>
      </w:r>
      <w:r w:rsidDel="00000000" w:rsidR="00000000" w:rsidRPr="00000000">
        <w:rPr>
          <w:rFonts w:ascii="Lato" w:cs="Lato" w:eastAsia="Lato" w:hAnsi="Lato"/>
          <w:sz w:val="22"/>
          <w:szCs w:val="22"/>
          <w:highlight w:val="white"/>
          <w:rtl w:val="0"/>
        </w:rPr>
        <w:t xml:space="preserve"> está fortemente empenhada na geração de evidência de elevada qualidade, que permita melhorar os resultados em saúde para os cidadãos, contribuindo para a contínua promoção dos sistemas de saúde baseada na evidência e informada pela realidade local.</w:t>
      </w:r>
    </w:p>
    <w:p w:rsidR="00000000" w:rsidDel="00000000" w:rsidP="00000000" w:rsidRDefault="00000000" w:rsidRPr="00000000" w14:paraId="0000001C">
      <w:pPr>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É assim celebrado o presente Memorando de Entendimento:</w:t>
      </w:r>
    </w:p>
    <w:p w:rsidR="00000000" w:rsidDel="00000000" w:rsidP="00000000" w:rsidRDefault="00000000" w:rsidRPr="00000000" w14:paraId="0000001D">
      <w:pPr>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Entre</w:t>
      </w:r>
    </w:p>
    <w:p w:rsidR="00000000" w:rsidDel="00000000" w:rsidP="00000000" w:rsidRDefault="00000000" w:rsidRPr="00000000" w14:paraId="0000001E">
      <w:pPr>
        <w:rPr>
          <w:rFonts w:ascii="Lato" w:cs="Lato" w:eastAsia="Lato" w:hAnsi="Lato"/>
          <w:sz w:val="22"/>
          <w:szCs w:val="22"/>
          <w:highlight w:val="white"/>
        </w:rPr>
      </w:pPr>
      <w:r w:rsidDel="00000000" w:rsidR="00000000" w:rsidRPr="00000000">
        <w:rPr>
          <w:b w:val="1"/>
          <w:sz w:val="22"/>
          <w:szCs w:val="22"/>
          <w:highlight w:val="white"/>
          <w:rtl w:val="0"/>
        </w:rPr>
        <w:t xml:space="preserve">MTG Research and Development Lab</w:t>
      </w:r>
      <w:r w:rsidDel="00000000" w:rsidR="00000000" w:rsidRPr="00000000">
        <w:rPr>
          <w:sz w:val="22"/>
          <w:szCs w:val="22"/>
          <w:highlight w:val="white"/>
          <w:rtl w:val="0"/>
        </w:rPr>
        <w:t xml:space="preserve">, com sede em Rua Professor Joaquim Bastos, 102, 2A, 4200-604, Porto, pessoal coletiva nº 513 586 849, representada por </w:t>
      </w:r>
      <w:r w:rsidDel="00000000" w:rsidR="00000000" w:rsidRPr="00000000">
        <w:rPr>
          <w:b w:val="1"/>
          <w:sz w:val="22"/>
          <w:szCs w:val="22"/>
          <w:highlight w:val="white"/>
          <w:rtl w:val="0"/>
        </w:rPr>
        <w:t xml:space="preserve">Teresa Maria Salgado de Magalhães</w:t>
      </w:r>
      <w:r w:rsidDel="00000000" w:rsidR="00000000" w:rsidRPr="00000000">
        <w:rPr>
          <w:sz w:val="22"/>
          <w:szCs w:val="22"/>
          <w:highlight w:val="white"/>
          <w:rtl w:val="0"/>
        </w:rPr>
        <w:t xml:space="preserve">, na qualidade de Gerente, e </w:t>
      </w:r>
      <w:r w:rsidDel="00000000" w:rsidR="00000000" w:rsidRPr="00000000">
        <w:rPr>
          <w:b w:val="1"/>
          <w:sz w:val="22"/>
          <w:szCs w:val="22"/>
          <w:highlight w:val="white"/>
          <w:rtl w:val="0"/>
        </w:rPr>
        <w:t xml:space="preserve">Daniela Neves Antunes</w:t>
      </w:r>
      <w:r w:rsidDel="00000000" w:rsidR="00000000" w:rsidRPr="00000000">
        <w:rPr>
          <w:sz w:val="22"/>
          <w:szCs w:val="22"/>
          <w:highlight w:val="white"/>
          <w:rtl w:val="0"/>
        </w:rPr>
        <w:t xml:space="preserve">, na qualidade de </w:t>
      </w:r>
      <w:r w:rsidDel="00000000" w:rsidR="00000000" w:rsidRPr="00000000">
        <w:rPr>
          <w:b w:val="1"/>
          <w:sz w:val="22"/>
          <w:szCs w:val="22"/>
          <w:highlight w:val="white"/>
          <w:rtl w:val="0"/>
        </w:rPr>
        <w:t xml:space="preserve">Procuradora da Gerência</w:t>
      </w:r>
      <w:r w:rsidDel="00000000" w:rsidR="00000000" w:rsidRPr="00000000">
        <w:rPr>
          <w:sz w:val="22"/>
          <w:szCs w:val="22"/>
          <w:highlight w:val="white"/>
          <w:rtl w:val="0"/>
        </w:rPr>
        <w:t xml:space="preserve">, com poderes para o ato, de ora em diante designada por “</w:t>
      </w:r>
      <w:r w:rsidDel="00000000" w:rsidR="00000000" w:rsidRPr="00000000">
        <w:rPr>
          <w:b w:val="1"/>
          <w:sz w:val="22"/>
          <w:szCs w:val="22"/>
          <w:highlight w:val="white"/>
          <w:rtl w:val="0"/>
        </w:rPr>
        <w:t xml:space="preserve">Primeira Outorgante</w:t>
      </w:r>
      <w:r w:rsidDel="00000000" w:rsidR="00000000" w:rsidRPr="00000000">
        <w:rPr>
          <w:sz w:val="22"/>
          <w:szCs w:val="22"/>
          <w:highlight w:val="white"/>
          <w:rtl w:val="0"/>
        </w:rPr>
        <w:t xml:space="preserve">”</w:t>
      </w:r>
      <w:r w:rsidDel="00000000" w:rsidR="00000000" w:rsidRPr="00000000">
        <w:rPr>
          <w:rtl w:val="0"/>
        </w:rPr>
      </w:r>
    </w:p>
    <w:p w:rsidR="00000000" w:rsidDel="00000000" w:rsidP="00000000" w:rsidRDefault="00000000" w:rsidRPr="00000000" w14:paraId="0000001F">
      <w:pPr>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E</w:t>
      </w:r>
    </w:p>
    <w:p w:rsidR="00000000" w:rsidDel="00000000" w:rsidP="00000000" w:rsidRDefault="00000000" w:rsidRPr="00000000" w14:paraId="00000020">
      <w:pPr>
        <w:rPr>
          <w:rFonts w:ascii="Lato" w:cs="Lato" w:eastAsia="Lato" w:hAnsi="Lato"/>
          <w:sz w:val="22"/>
          <w:szCs w:val="22"/>
          <w:highlight w:val="white"/>
        </w:rPr>
      </w:pPr>
      <w:r w:rsidDel="00000000" w:rsidR="00000000" w:rsidRPr="00000000">
        <w:rPr>
          <w:b w:val="1"/>
          <w:sz w:val="22"/>
          <w:szCs w:val="22"/>
          <w:shd w:fill="d9d9d9" w:val="clear"/>
          <w:rtl w:val="0"/>
        </w:rPr>
        <w:t xml:space="preserve">{Nome da Parte por extenso}</w:t>
      </w:r>
      <w:r w:rsidDel="00000000" w:rsidR="00000000" w:rsidRPr="00000000">
        <w:rPr>
          <w:sz w:val="22"/>
          <w:szCs w:val="22"/>
          <w:highlight w:val="white"/>
          <w:rtl w:val="0"/>
        </w:rPr>
        <w:t xml:space="preserve"> com sede na </w:t>
      </w:r>
      <w:r w:rsidDel="00000000" w:rsidR="00000000" w:rsidRPr="00000000">
        <w:rPr>
          <w:sz w:val="22"/>
          <w:szCs w:val="22"/>
          <w:shd w:fill="d9d9d9" w:val="clear"/>
          <w:rtl w:val="0"/>
        </w:rPr>
        <w:t xml:space="preserve">{Morada},</w:t>
      </w:r>
      <w:r w:rsidDel="00000000" w:rsidR="00000000" w:rsidRPr="00000000">
        <w:rPr>
          <w:sz w:val="22"/>
          <w:szCs w:val="22"/>
          <w:highlight w:val="white"/>
          <w:rtl w:val="0"/>
        </w:rPr>
        <w:t xml:space="preserve"> pessoa coletiva n.º </w:t>
      </w:r>
      <w:r w:rsidDel="00000000" w:rsidR="00000000" w:rsidRPr="00000000">
        <w:rPr>
          <w:sz w:val="22"/>
          <w:szCs w:val="22"/>
          <w:shd w:fill="d9d9d9" w:val="clear"/>
          <w:rtl w:val="0"/>
        </w:rPr>
        <w:t xml:space="preserve">{NIF}</w:t>
      </w:r>
      <w:r w:rsidDel="00000000" w:rsidR="00000000" w:rsidRPr="00000000">
        <w:rPr>
          <w:sz w:val="22"/>
          <w:szCs w:val="22"/>
          <w:highlight w:val="white"/>
          <w:rtl w:val="0"/>
        </w:rPr>
        <w:t xml:space="preserve">, registada na Conservatória do Registo Comercial de </w:t>
      </w:r>
      <w:r w:rsidDel="00000000" w:rsidR="00000000" w:rsidRPr="00000000">
        <w:rPr>
          <w:sz w:val="22"/>
          <w:szCs w:val="22"/>
          <w:shd w:fill="d9d9d9" w:val="clear"/>
          <w:rtl w:val="0"/>
        </w:rPr>
        <w:t xml:space="preserve">{Local}</w:t>
      </w:r>
      <w:r w:rsidDel="00000000" w:rsidR="00000000" w:rsidRPr="00000000">
        <w:rPr>
          <w:sz w:val="22"/>
          <w:szCs w:val="22"/>
          <w:highlight w:val="white"/>
          <w:rtl w:val="0"/>
        </w:rPr>
        <w:t xml:space="preserve">, sob o mesmo número, aqui representada  pela </w:t>
      </w:r>
      <w:r w:rsidDel="00000000" w:rsidR="00000000" w:rsidRPr="00000000">
        <w:rPr>
          <w:sz w:val="22"/>
          <w:szCs w:val="22"/>
          <w:shd w:fill="f3f3f3" w:val="clear"/>
          <w:rtl w:val="0"/>
        </w:rPr>
        <w:t xml:space="preserve">{Cargo e Nome}</w:t>
      </w:r>
      <w:r w:rsidDel="00000000" w:rsidR="00000000" w:rsidRPr="00000000">
        <w:rPr>
          <w:sz w:val="22"/>
          <w:szCs w:val="22"/>
          <w:highlight w:val="white"/>
          <w:rtl w:val="0"/>
        </w:rPr>
        <w:t xml:space="preserve"> com poderes para o ato </w:t>
      </w:r>
      <w:r w:rsidDel="00000000" w:rsidR="00000000" w:rsidRPr="00000000">
        <w:rPr>
          <w:sz w:val="22"/>
          <w:szCs w:val="22"/>
          <w:shd w:fill="d9d9d9" w:val="clear"/>
          <w:rtl w:val="0"/>
        </w:rPr>
        <w:t xml:space="preserve">{nos termos do disposto no artigo 76.º do Estatuto do Serviço Nacional de Saúde, aprovado pelo Decreto-Lei n.º 52/2022, de 04 de agosto}</w:t>
      </w:r>
      <w:r w:rsidDel="00000000" w:rsidR="00000000" w:rsidRPr="00000000">
        <w:rPr>
          <w:sz w:val="22"/>
          <w:szCs w:val="22"/>
          <w:highlight w:val="white"/>
          <w:rtl w:val="0"/>
        </w:rPr>
        <w:t xml:space="preserve">, de ora em diante designada por “</w:t>
      </w:r>
      <w:r w:rsidDel="00000000" w:rsidR="00000000" w:rsidRPr="00000000">
        <w:rPr>
          <w:b w:val="1"/>
          <w:sz w:val="22"/>
          <w:szCs w:val="22"/>
          <w:highlight w:val="white"/>
          <w:rtl w:val="0"/>
        </w:rPr>
        <w:t xml:space="preserve">Segunda Outorgante</w:t>
      </w:r>
      <w:r w:rsidDel="00000000" w:rsidR="00000000" w:rsidRPr="00000000">
        <w:rPr>
          <w:sz w:val="22"/>
          <w:szCs w:val="22"/>
          <w:highlight w:val="white"/>
          <w:rtl w:val="0"/>
        </w:rPr>
        <w:t xml:space="preserve">”</w:t>
      </w:r>
      <w:r w:rsidDel="00000000" w:rsidR="00000000" w:rsidRPr="00000000">
        <w:rPr>
          <w:rtl w:val="0"/>
        </w:rPr>
      </w:r>
    </w:p>
    <w:p w:rsidR="00000000" w:rsidDel="00000000" w:rsidP="00000000" w:rsidRDefault="00000000" w:rsidRPr="00000000" w14:paraId="00000021">
      <w:pPr>
        <w:pStyle w:val="Heading4"/>
        <w:spacing w:after="0" w:lineRule="auto"/>
        <w:jc w:val="center"/>
        <w:rPr/>
      </w:pPr>
      <w:bookmarkStart w:colFirst="0" w:colLast="0" w:name="_heading=h.witmeujtxq4j" w:id="9"/>
      <w:bookmarkEnd w:id="9"/>
      <w:r w:rsidDel="00000000" w:rsidR="00000000" w:rsidRPr="00000000">
        <w:rPr>
          <w:rtl w:val="0"/>
        </w:rPr>
        <w:t xml:space="preserve">Cláusula Primeira</w:t>
      </w:r>
    </w:p>
    <w:p w:rsidR="00000000" w:rsidDel="00000000" w:rsidP="00000000" w:rsidRDefault="00000000" w:rsidRPr="00000000" w14:paraId="00000022">
      <w:pPr>
        <w:pStyle w:val="Heading4"/>
        <w:spacing w:before="0" w:lineRule="auto"/>
        <w:jc w:val="center"/>
        <w:rPr/>
      </w:pPr>
      <w:bookmarkStart w:colFirst="0" w:colLast="0" w:name="_heading=h.yh4k7fm67p3" w:id="10"/>
      <w:bookmarkEnd w:id="10"/>
      <w:r w:rsidDel="00000000" w:rsidR="00000000" w:rsidRPr="00000000">
        <w:rPr>
          <w:rtl w:val="0"/>
        </w:rPr>
        <w:t xml:space="preserve">(Objeto)</w:t>
      </w:r>
    </w:p>
    <w:p w:rsidR="00000000" w:rsidDel="00000000" w:rsidP="00000000" w:rsidRDefault="00000000" w:rsidRPr="00000000" w14:paraId="00000023">
      <w:pPr>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O presente Memorando de Entendimento tem por objeto a colaboração entre os Outorgantes, através do estabelecimento de um quadro geral que facilite a promoção conjunta de atividades de I&amp;D </w:t>
      </w:r>
      <w:r w:rsidDel="00000000" w:rsidR="00000000" w:rsidRPr="00000000">
        <w:rPr>
          <w:sz w:val="22"/>
          <w:szCs w:val="22"/>
          <w:highlight w:val="white"/>
          <w:rtl w:val="0"/>
        </w:rPr>
        <w:t xml:space="preserve">relacionadas com a geração de evidência com recurso a dados de saúde</w:t>
      </w:r>
      <w:r w:rsidDel="00000000" w:rsidR="00000000" w:rsidRPr="00000000">
        <w:rPr>
          <w:rFonts w:ascii="Lato" w:cs="Lato" w:eastAsia="Lato" w:hAnsi="Lato"/>
          <w:sz w:val="22"/>
          <w:szCs w:val="22"/>
          <w:highlight w:val="white"/>
          <w:rtl w:val="0"/>
        </w:rPr>
        <w:t xml:space="preserve">,</w:t>
      </w:r>
      <w:r w:rsidDel="00000000" w:rsidR="00000000" w:rsidRPr="00000000">
        <w:rPr>
          <w:sz w:val="22"/>
          <w:szCs w:val="22"/>
          <w:highlight w:val="white"/>
          <w:rtl w:val="0"/>
        </w:rPr>
        <w:t xml:space="preserve"> </w:t>
      </w:r>
      <w:r w:rsidDel="00000000" w:rsidR="00000000" w:rsidRPr="00000000">
        <w:rPr>
          <w:rFonts w:ascii="Lato" w:cs="Lato" w:eastAsia="Lato" w:hAnsi="Lato"/>
          <w:sz w:val="22"/>
          <w:szCs w:val="22"/>
          <w:highlight w:val="white"/>
          <w:rtl w:val="0"/>
        </w:rPr>
        <w:t xml:space="preserve">conforme os termos deste articulado. </w:t>
      </w:r>
      <w:r w:rsidDel="00000000" w:rsidR="00000000" w:rsidRPr="00000000">
        <w:rPr>
          <w:sz w:val="22"/>
          <w:szCs w:val="22"/>
          <w:shd w:fill="d9d9d9" w:val="clear"/>
          <w:rtl w:val="0"/>
        </w:rPr>
        <w:t xml:space="preserve">{Se houver um objeto específico para o qual o Memorando de Entendimento é estabelecido, poderá ser especificado neste ponto} </w:t>
      </w:r>
      <w:r w:rsidDel="00000000" w:rsidR="00000000" w:rsidRPr="00000000">
        <w:rPr>
          <w:sz w:val="22"/>
          <w:szCs w:val="22"/>
          <w:highlight w:val="white"/>
          <w:rtl w:val="0"/>
        </w:rPr>
        <w:t xml:space="preserve">Anexam-se exemplos de publicações científicas resultantes de tais atividades I&amp;D (Anexo I).</w:t>
      </w:r>
      <w:r w:rsidDel="00000000" w:rsidR="00000000" w:rsidRPr="00000000">
        <w:rPr>
          <w:rtl w:val="0"/>
        </w:rPr>
      </w:r>
    </w:p>
    <w:p w:rsidR="00000000" w:rsidDel="00000000" w:rsidP="00000000" w:rsidRDefault="00000000" w:rsidRPr="00000000" w14:paraId="00000024">
      <w:pPr>
        <w:pStyle w:val="Heading4"/>
        <w:spacing w:after="0" w:lineRule="auto"/>
        <w:jc w:val="center"/>
        <w:rPr/>
      </w:pPr>
      <w:bookmarkStart w:colFirst="0" w:colLast="0" w:name="_heading=h.o4lf7own92vp" w:id="11"/>
      <w:bookmarkEnd w:id="11"/>
      <w:r w:rsidDel="00000000" w:rsidR="00000000" w:rsidRPr="00000000">
        <w:rPr>
          <w:rtl w:val="0"/>
        </w:rPr>
        <w:t xml:space="preserve">Cláusula Segunda</w:t>
      </w:r>
    </w:p>
    <w:p w:rsidR="00000000" w:rsidDel="00000000" w:rsidP="00000000" w:rsidRDefault="00000000" w:rsidRPr="00000000" w14:paraId="0000002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center"/>
        <w:rPr/>
      </w:pPr>
      <w:bookmarkStart w:colFirst="0" w:colLast="0" w:name="_heading=h.xt9dclcr07mp" w:id="12"/>
      <w:bookmarkEnd w:id="12"/>
      <w:r w:rsidDel="00000000" w:rsidR="00000000" w:rsidRPr="00000000">
        <w:rPr>
          <w:rtl w:val="0"/>
        </w:rPr>
        <w:t xml:space="preserve">(Âmbito)</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sz w:val="22"/>
          <w:szCs w:val="22"/>
        </w:rPr>
      </w:pPr>
      <w:r w:rsidDel="00000000" w:rsidR="00000000" w:rsidRPr="00000000">
        <w:rPr>
          <w:sz w:val="22"/>
          <w:szCs w:val="22"/>
          <w:rtl w:val="0"/>
        </w:rPr>
        <w:t xml:space="preserve">O</w:t>
      </w:r>
      <w:r w:rsidDel="00000000" w:rsidR="00000000" w:rsidRPr="00000000">
        <w:rPr>
          <w:rFonts w:ascii="Lato" w:cs="Lato" w:eastAsia="Lato" w:hAnsi="Lato"/>
          <w:sz w:val="22"/>
          <w:szCs w:val="22"/>
          <w:highlight w:val="white"/>
          <w:rtl w:val="0"/>
        </w:rPr>
        <w:t xml:space="preserve"> âmbito do presente Memorando de Entendimento abrange a colaboração entre os Outorgantes para iniciativas de I&amp;D que requeiram processamento de</w:t>
      </w:r>
      <w:r w:rsidDel="00000000" w:rsidR="00000000" w:rsidRPr="00000000">
        <w:rPr>
          <w:sz w:val="22"/>
          <w:szCs w:val="22"/>
          <w:highlight w:val="white"/>
          <w:rtl w:val="0"/>
        </w:rPr>
        <w:t xml:space="preserve"> dados</w:t>
      </w:r>
      <w:r w:rsidDel="00000000" w:rsidR="00000000" w:rsidRPr="00000000">
        <w:rPr>
          <w:rFonts w:ascii="Lato" w:cs="Lato" w:eastAsia="Lato" w:hAnsi="Lato"/>
          <w:sz w:val="22"/>
          <w:szCs w:val="22"/>
          <w:highlight w:val="white"/>
          <w:rtl w:val="0"/>
        </w:rPr>
        <w:t xml:space="preserve"> de saúde à guarda da Segunda Outorgante.</w:t>
      </w:r>
      <w:r w:rsidDel="00000000" w:rsidR="00000000" w:rsidRPr="00000000">
        <w:rPr>
          <w:sz w:val="22"/>
          <w:szCs w:val="22"/>
          <w:rtl w:val="0"/>
        </w:rPr>
        <w:t xml:space="preserve"> </w:t>
      </w:r>
      <w:r w:rsidDel="00000000" w:rsidR="00000000" w:rsidRPr="00000000">
        <w:rPr>
          <w:sz w:val="22"/>
          <w:szCs w:val="22"/>
          <w:shd w:fill="d9d9d9" w:val="clear"/>
          <w:rtl w:val="0"/>
        </w:rPr>
        <w:t xml:space="preserve">{Se houver um âmbito específico para o qual o Memorando de Entendimento é estabelecido, poderá ser especificado neste ponto}.</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sz w:val="22"/>
          <w:szCs w:val="22"/>
        </w:rPr>
      </w:pPr>
      <w:r w:rsidDel="00000000" w:rsidR="00000000" w:rsidRPr="00000000">
        <w:rPr>
          <w:sz w:val="22"/>
          <w:szCs w:val="22"/>
          <w:highlight w:val="white"/>
          <w:rtl w:val="0"/>
        </w:rPr>
        <w:t xml:space="preserve">As atividades a promover conjuntamente entre os Outorgantes versam exclusivamente sobre tais dados, declarando ambas as partes expressamente que no âmbito do presente Memorando de Entendimento poderão ser processados dados pessoais por qualquer das uma Partes, respeitando os limites estabelecidos pelo Regulamento Geral de Proteção de dados (RGPD).</w:t>
      </w:r>
      <w:r w:rsidDel="00000000" w:rsidR="00000000" w:rsidRPr="00000000">
        <w:rPr>
          <w:rtl w:val="0"/>
        </w:rPr>
      </w:r>
    </w:p>
    <w:p w:rsidR="00000000" w:rsidDel="00000000" w:rsidP="00000000" w:rsidRDefault="00000000" w:rsidRPr="00000000" w14:paraId="0000002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sz w:val="24"/>
          <w:szCs w:val="24"/>
        </w:rPr>
      </w:pPr>
      <w:bookmarkStart w:colFirst="0" w:colLast="0" w:name="_heading=h.wdxk4244qhtg" w:id="13"/>
      <w:bookmarkEnd w:id="13"/>
      <w:r w:rsidDel="00000000" w:rsidR="00000000" w:rsidRPr="00000000">
        <w:rPr>
          <w:rFonts w:ascii="Lato" w:cs="Lato" w:eastAsia="Lato" w:hAnsi="Lato"/>
          <w:highlight w:val="white"/>
          <w:rtl w:val="0"/>
        </w:rPr>
        <w:t xml:space="preserve">C</w:t>
      </w:r>
      <w:r w:rsidDel="00000000" w:rsidR="00000000" w:rsidRPr="00000000">
        <w:rPr>
          <w:sz w:val="24"/>
          <w:szCs w:val="24"/>
          <w:rtl w:val="0"/>
        </w:rPr>
        <w:t xml:space="preserve">láusula Terceira</w:t>
      </w:r>
    </w:p>
    <w:p w:rsidR="00000000" w:rsidDel="00000000" w:rsidP="00000000" w:rsidRDefault="00000000" w:rsidRPr="00000000" w14:paraId="00000029">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bookmarkStart w:colFirst="0" w:colLast="0" w:name="_heading=h.ihhg5m25dkpj" w:id="14"/>
      <w:bookmarkEnd w:id="14"/>
      <w:r w:rsidDel="00000000" w:rsidR="00000000" w:rsidRPr="00000000">
        <w:rPr>
          <w:sz w:val="24"/>
          <w:szCs w:val="24"/>
          <w:rtl w:val="0"/>
        </w:rPr>
        <w:t xml:space="preserve">(Delimitação do Memorando de Entendimento)</w:t>
      </w:r>
    </w:p>
    <w:p w:rsidR="00000000" w:rsidDel="00000000" w:rsidP="00000000" w:rsidRDefault="00000000" w:rsidRPr="00000000" w14:paraId="0000002A">
      <w:pPr>
        <w:numPr>
          <w:ilvl w:val="0"/>
          <w:numId w:val="2"/>
        </w:numPr>
        <w:ind w:left="720" w:hanging="360"/>
        <w:rPr>
          <w:sz w:val="22"/>
          <w:szCs w:val="22"/>
        </w:rPr>
      </w:pPr>
      <w:r w:rsidDel="00000000" w:rsidR="00000000" w:rsidRPr="00000000">
        <w:rPr>
          <w:sz w:val="22"/>
          <w:szCs w:val="22"/>
          <w:rtl w:val="0"/>
        </w:rPr>
        <w:t xml:space="preserve">O presente Memorando de Entendimento não substitui a formalização contratual  entre os Outorgantes na prossecução de atividades que venham a ser propostas e que dependam de autorização ou acordo específico.</w:t>
      </w:r>
    </w:p>
    <w:p w:rsidR="00000000" w:rsidDel="00000000" w:rsidP="00000000" w:rsidRDefault="00000000" w:rsidRPr="00000000" w14:paraId="0000002B">
      <w:pPr>
        <w:numPr>
          <w:ilvl w:val="0"/>
          <w:numId w:val="2"/>
        </w:numPr>
        <w:ind w:left="720" w:hanging="360"/>
        <w:rPr>
          <w:sz w:val="22"/>
          <w:szCs w:val="22"/>
          <w:highlight w:val="white"/>
        </w:rPr>
      </w:pPr>
      <w:r w:rsidDel="00000000" w:rsidR="00000000" w:rsidRPr="00000000">
        <w:rPr>
          <w:sz w:val="22"/>
          <w:szCs w:val="22"/>
          <w:highlight w:val="white"/>
          <w:rtl w:val="0"/>
        </w:rPr>
        <w:t xml:space="preserve">O presente Memorando de Entendimento não limita a possibilidade dos Outorgantes em celebrar quaisquer acordos ou compromissos com entidades terceiras, nem assume qualquer restrição à normal liberdade contratual.</w:t>
      </w:r>
    </w:p>
    <w:p w:rsidR="00000000" w:rsidDel="00000000" w:rsidP="00000000" w:rsidRDefault="00000000" w:rsidRPr="00000000" w14:paraId="0000002C">
      <w:pPr>
        <w:numPr>
          <w:ilvl w:val="0"/>
          <w:numId w:val="2"/>
        </w:numPr>
        <w:ind w:left="720" w:hanging="360"/>
        <w:rPr>
          <w:sz w:val="22"/>
          <w:szCs w:val="22"/>
          <w:highlight w:val="white"/>
        </w:rPr>
      </w:pPr>
      <w:r w:rsidDel="00000000" w:rsidR="00000000" w:rsidRPr="00000000">
        <w:rPr>
          <w:sz w:val="22"/>
          <w:szCs w:val="22"/>
          <w:highlight w:val="white"/>
          <w:rtl w:val="0"/>
        </w:rPr>
        <w:t xml:space="preserve">A presente Outorga não vincula os Outorgantes para celebração exclusiva de futuros contratos ou para o estabelecimento de relações contratuais exclusivas entre ambos.</w:t>
      </w:r>
    </w:p>
    <w:p w:rsidR="00000000" w:rsidDel="00000000" w:rsidP="00000000" w:rsidRDefault="00000000" w:rsidRPr="00000000" w14:paraId="0000002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Lato" w:cs="Lato" w:eastAsia="Lato" w:hAnsi="Lato"/>
          <w:highlight w:val="white"/>
        </w:rPr>
      </w:pPr>
      <w:bookmarkStart w:colFirst="0" w:colLast="0" w:name="_heading=h.4opvv2o08rxq" w:id="15"/>
      <w:bookmarkEnd w:id="15"/>
      <w:r w:rsidDel="00000000" w:rsidR="00000000" w:rsidRPr="00000000">
        <w:rPr>
          <w:sz w:val="24"/>
          <w:szCs w:val="24"/>
          <w:rtl w:val="0"/>
        </w:rPr>
        <w:t xml:space="preserve">Cláusula</w:t>
      </w:r>
      <w:r w:rsidDel="00000000" w:rsidR="00000000" w:rsidRPr="00000000">
        <w:rPr>
          <w:rFonts w:ascii="Lato" w:cs="Lato" w:eastAsia="Lato" w:hAnsi="Lato"/>
          <w:highlight w:val="white"/>
          <w:rtl w:val="0"/>
        </w:rPr>
        <w:t xml:space="preserve"> Quarta</w:t>
      </w:r>
    </w:p>
    <w:p w:rsidR="00000000" w:rsidDel="00000000" w:rsidP="00000000" w:rsidRDefault="00000000" w:rsidRPr="00000000" w14:paraId="0000002E">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bookmarkStart w:colFirst="0" w:colLast="0" w:name="_heading=h.kh2pxc9bn27e" w:id="16"/>
      <w:bookmarkEnd w:id="16"/>
      <w:r w:rsidDel="00000000" w:rsidR="00000000" w:rsidRPr="00000000">
        <w:rPr>
          <w:sz w:val="24"/>
          <w:szCs w:val="24"/>
          <w:rtl w:val="0"/>
        </w:rPr>
        <w:t xml:space="preserve">(Compromissos da Primeira Outorgante)</w:t>
      </w:r>
    </w:p>
    <w:p w:rsidR="00000000" w:rsidDel="00000000" w:rsidP="00000000" w:rsidRDefault="00000000" w:rsidRPr="00000000" w14:paraId="0000002F">
      <w:pPr>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São compromissos da Primeira Outorgante:</w:t>
      </w:r>
    </w:p>
    <w:p w:rsidR="00000000" w:rsidDel="00000000" w:rsidP="00000000" w:rsidRDefault="00000000" w:rsidRPr="00000000" w14:paraId="00000030">
      <w:pPr>
        <w:numPr>
          <w:ilvl w:val="0"/>
          <w:numId w:val="1"/>
        </w:numPr>
        <w:ind w:left="360" w:hanging="360"/>
        <w:rPr>
          <w:rFonts w:ascii="Lato" w:cs="Lato" w:eastAsia="Lato" w:hAnsi="Lato"/>
          <w:sz w:val="22"/>
          <w:szCs w:val="22"/>
          <w:highlight w:val="white"/>
        </w:rPr>
      </w:pPr>
      <w:r w:rsidDel="00000000" w:rsidR="00000000" w:rsidRPr="00000000">
        <w:rPr>
          <w:sz w:val="22"/>
          <w:szCs w:val="22"/>
          <w:highlight w:val="white"/>
          <w:rtl w:val="0"/>
        </w:rPr>
        <w:t xml:space="preserve">Colaborar/Desenvolver/Capacitar</w:t>
      </w:r>
      <w:r w:rsidDel="00000000" w:rsidR="00000000" w:rsidRPr="00000000">
        <w:rPr>
          <w:sz w:val="22"/>
          <w:szCs w:val="22"/>
          <w:shd w:fill="d9d9d9" w:val="clear"/>
          <w:rtl w:val="0"/>
        </w:rPr>
        <w:t xml:space="preserve">{..., especificar o compromisso da MTG}</w:t>
      </w:r>
      <w:r w:rsidDel="00000000" w:rsidR="00000000" w:rsidRPr="00000000">
        <w:rPr>
          <w:sz w:val="22"/>
          <w:szCs w:val="22"/>
          <w:highlight w:val="white"/>
          <w:rtl w:val="0"/>
        </w:rPr>
        <w:t xml:space="preserve">.</w:t>
      </w:r>
      <w:r w:rsidDel="00000000" w:rsidR="00000000" w:rsidRPr="00000000">
        <w:rPr>
          <w:rtl w:val="0"/>
        </w:rPr>
      </w:r>
    </w:p>
    <w:p w:rsidR="00000000" w:rsidDel="00000000" w:rsidP="00000000" w:rsidRDefault="00000000" w:rsidRPr="00000000" w14:paraId="00000031">
      <w:pPr>
        <w:numPr>
          <w:ilvl w:val="0"/>
          <w:numId w:val="1"/>
        </w:numPr>
        <w:ind w:left="360" w:hanging="360"/>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Respeitar a política de proteção de dados em vigor na Segunda Outorgante, do Regulamento Geral de Proteção de dados (RGPD), aprovado pelo Regulamento (UE) n.º 679/2016, de 27 de Abril, pela Lei da Proteção de Dados, aprovada pela Lei n.º 58/2019, de 08 de Agosto e, bem assim, da demais legislação aplicável.</w:t>
      </w:r>
    </w:p>
    <w:p w:rsidR="00000000" w:rsidDel="00000000" w:rsidP="00000000" w:rsidRDefault="00000000" w:rsidRPr="00000000" w14:paraId="00000032">
      <w:pPr>
        <w:pStyle w:val="Heading4"/>
        <w:spacing w:after="0" w:lineRule="auto"/>
        <w:jc w:val="center"/>
        <w:rPr/>
      </w:pPr>
      <w:bookmarkStart w:colFirst="0" w:colLast="0" w:name="_heading=h.o9ily3k4hres" w:id="17"/>
      <w:bookmarkEnd w:id="17"/>
      <w:r w:rsidDel="00000000" w:rsidR="00000000" w:rsidRPr="00000000">
        <w:rPr>
          <w:rtl w:val="0"/>
        </w:rPr>
        <w:t xml:space="preserve">Cláusula Quinta</w:t>
      </w:r>
    </w:p>
    <w:p w:rsidR="00000000" w:rsidDel="00000000" w:rsidP="00000000" w:rsidRDefault="00000000" w:rsidRPr="00000000" w14:paraId="0000003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bookmarkStart w:colFirst="0" w:colLast="0" w:name="_heading=h.5jdj8yrfbp6d" w:id="18"/>
      <w:bookmarkEnd w:id="18"/>
      <w:r w:rsidDel="00000000" w:rsidR="00000000" w:rsidRPr="00000000">
        <w:rPr>
          <w:sz w:val="24"/>
          <w:szCs w:val="24"/>
          <w:rtl w:val="0"/>
        </w:rPr>
        <w:t xml:space="preserve">(Compromissos da Segunda Outorgante)</w:t>
      </w:r>
    </w:p>
    <w:p w:rsidR="00000000" w:rsidDel="00000000" w:rsidP="00000000" w:rsidRDefault="00000000" w:rsidRPr="00000000" w14:paraId="00000034">
      <w:pPr>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São compromissos da Segunda Outorgante:</w:t>
      </w:r>
    </w:p>
    <w:p w:rsidR="00000000" w:rsidDel="00000000" w:rsidP="00000000" w:rsidRDefault="00000000" w:rsidRPr="00000000" w14:paraId="00000035">
      <w:pPr>
        <w:numPr>
          <w:ilvl w:val="0"/>
          <w:numId w:val="5"/>
        </w:numPr>
        <w:ind w:left="360" w:hanging="360"/>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Comprometer-se a providenciar os meios e a obter as autorizações eventualmente necessárias</w:t>
      </w:r>
      <w:r w:rsidDel="00000000" w:rsidR="00000000" w:rsidRPr="00000000">
        <w:rPr>
          <w:sz w:val="22"/>
          <w:szCs w:val="22"/>
          <w:highlight w:val="white"/>
          <w:rtl w:val="0"/>
        </w:rPr>
        <w:t xml:space="preserve"> </w:t>
      </w:r>
      <w:r w:rsidDel="00000000" w:rsidR="00000000" w:rsidRPr="00000000">
        <w:rPr>
          <w:sz w:val="22"/>
          <w:szCs w:val="22"/>
          <w:shd w:fill="d9d9d9" w:val="clear"/>
          <w:rtl w:val="0"/>
        </w:rPr>
        <w:t xml:space="preserve">{..., especificar o compromisso da Segunda Outorgante}</w:t>
      </w:r>
      <w:r w:rsidDel="00000000" w:rsidR="00000000" w:rsidRPr="00000000">
        <w:rPr>
          <w:sz w:val="22"/>
          <w:szCs w:val="22"/>
          <w:highlight w:val="white"/>
          <w:rtl w:val="0"/>
        </w:rPr>
        <w:t xml:space="preserve">.</w:t>
      </w:r>
      <w:r w:rsidDel="00000000" w:rsidR="00000000" w:rsidRPr="00000000">
        <w:rPr>
          <w:rtl w:val="0"/>
        </w:rPr>
      </w:r>
    </w:p>
    <w:p w:rsidR="00000000" w:rsidDel="00000000" w:rsidP="00000000" w:rsidRDefault="00000000" w:rsidRPr="00000000" w14:paraId="00000036">
      <w:pPr>
        <w:rPr>
          <w:rFonts w:ascii="Lato" w:cs="Lato" w:eastAsia="Lato" w:hAnsi="Lato"/>
          <w:highlight w:val="white"/>
        </w:rPr>
      </w:pPr>
      <w:r w:rsidDel="00000000" w:rsidR="00000000" w:rsidRPr="00000000">
        <w:rPr>
          <w:rtl w:val="0"/>
        </w:rPr>
      </w:r>
    </w:p>
    <w:p w:rsidR="00000000" w:rsidDel="00000000" w:rsidP="00000000" w:rsidRDefault="00000000" w:rsidRPr="00000000" w14:paraId="00000037">
      <w:pPr>
        <w:pStyle w:val="Heading4"/>
        <w:spacing w:after="0" w:lineRule="auto"/>
        <w:jc w:val="center"/>
        <w:rPr/>
      </w:pPr>
      <w:bookmarkStart w:colFirst="0" w:colLast="0" w:name="_heading=h.om1ijt9de9vk" w:id="19"/>
      <w:bookmarkEnd w:id="19"/>
      <w:r w:rsidDel="00000000" w:rsidR="00000000" w:rsidRPr="00000000">
        <w:rPr>
          <w:rtl w:val="0"/>
        </w:rPr>
        <w:t xml:space="preserve">Cláusula Sexta</w:t>
      </w:r>
    </w:p>
    <w:p w:rsidR="00000000" w:rsidDel="00000000" w:rsidP="00000000" w:rsidRDefault="00000000" w:rsidRPr="00000000" w14:paraId="00000038">
      <w:pPr>
        <w:pStyle w:val="Heading4"/>
        <w:spacing w:before="0" w:lineRule="auto"/>
        <w:jc w:val="center"/>
        <w:rPr/>
      </w:pPr>
      <w:bookmarkStart w:colFirst="0" w:colLast="0" w:name="_heading=h.r1jnjhye3j7g" w:id="20"/>
      <w:bookmarkEnd w:id="20"/>
      <w:r w:rsidDel="00000000" w:rsidR="00000000" w:rsidRPr="00000000">
        <w:rPr>
          <w:rtl w:val="0"/>
        </w:rPr>
        <w:t xml:space="preserve">(Compromissos de Ambos)</w:t>
      </w:r>
    </w:p>
    <w:p w:rsidR="00000000" w:rsidDel="00000000" w:rsidP="00000000" w:rsidRDefault="00000000" w:rsidRPr="00000000" w14:paraId="00000039">
      <w:pPr>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Os Outorgantes concordam em convidar-se mutuamente para iniciativas de I&amp;D com recurso a </w:t>
      </w:r>
      <w:r w:rsidDel="00000000" w:rsidR="00000000" w:rsidRPr="00000000">
        <w:rPr>
          <w:sz w:val="22"/>
          <w:szCs w:val="22"/>
          <w:highlight w:val="white"/>
          <w:rtl w:val="0"/>
        </w:rPr>
        <w:t xml:space="preserve">dados</w:t>
      </w:r>
      <w:r w:rsidDel="00000000" w:rsidR="00000000" w:rsidRPr="00000000">
        <w:rPr>
          <w:rFonts w:ascii="Lato" w:cs="Lato" w:eastAsia="Lato" w:hAnsi="Lato"/>
          <w:sz w:val="22"/>
          <w:szCs w:val="22"/>
          <w:highlight w:val="white"/>
          <w:rtl w:val="0"/>
        </w:rPr>
        <w:t xml:space="preserve"> de saúd</w:t>
      </w:r>
      <w:r w:rsidDel="00000000" w:rsidR="00000000" w:rsidRPr="00000000">
        <w:rPr>
          <w:sz w:val="22"/>
          <w:szCs w:val="22"/>
          <w:highlight w:val="white"/>
          <w:rtl w:val="0"/>
        </w:rPr>
        <w:t xml:space="preserve">e e para o desenvolvim</w:t>
      </w:r>
      <w:r w:rsidDel="00000000" w:rsidR="00000000" w:rsidRPr="00000000">
        <w:rPr>
          <w:sz w:val="22"/>
          <w:szCs w:val="22"/>
          <w:rtl w:val="0"/>
        </w:rPr>
        <w:t xml:space="preserve">ento de modelos de negócio sustentáveis que promovam a realização de investigação financiada, seja por promotores privados, fundos competitivos, ou outros. Esta colaboração delimitar-se-á de acordo com as  áreas técnico-científicas nas quais seja reconhecida a idoneidade científica dos Outorgantes e sempre </w:t>
      </w:r>
      <w:r w:rsidDel="00000000" w:rsidR="00000000" w:rsidRPr="00000000">
        <w:rPr>
          <w:rFonts w:ascii="Lato" w:cs="Lato" w:eastAsia="Lato" w:hAnsi="Lato"/>
          <w:sz w:val="22"/>
          <w:szCs w:val="22"/>
          <w:highlight w:val="white"/>
          <w:rtl w:val="0"/>
        </w:rPr>
        <w:t xml:space="preserve">respeitando a independência científica de ambos</w:t>
      </w:r>
      <w:r w:rsidDel="00000000" w:rsidR="00000000" w:rsidRPr="00000000">
        <w:rPr>
          <w:sz w:val="22"/>
          <w:szCs w:val="22"/>
          <w:highlight w:val="white"/>
          <w:rtl w:val="0"/>
        </w:rPr>
        <w:t xml:space="preserve"> </w:t>
      </w:r>
      <w:r w:rsidDel="00000000" w:rsidR="00000000" w:rsidRPr="00000000">
        <w:rPr>
          <w:rFonts w:ascii="Lato" w:cs="Lato" w:eastAsia="Lato" w:hAnsi="Lato"/>
          <w:sz w:val="22"/>
          <w:szCs w:val="22"/>
          <w:highlight w:val="white"/>
          <w:rtl w:val="0"/>
        </w:rPr>
        <w:t xml:space="preserve">e a respetiva liberdade em recusar a participação em quaisquer iniciativas, por imperativos de natureza ética, jurídica ou deontológica.</w:t>
      </w:r>
    </w:p>
    <w:p w:rsidR="00000000" w:rsidDel="00000000" w:rsidP="00000000" w:rsidRDefault="00000000" w:rsidRPr="00000000" w14:paraId="0000003A">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sz w:val="24"/>
          <w:szCs w:val="24"/>
        </w:rPr>
      </w:pPr>
      <w:bookmarkStart w:colFirst="0" w:colLast="0" w:name="_heading=h.iq3g3rn22s2p" w:id="21"/>
      <w:bookmarkEnd w:id="21"/>
      <w:r w:rsidDel="00000000" w:rsidR="00000000" w:rsidRPr="00000000">
        <w:rPr>
          <w:sz w:val="24"/>
          <w:szCs w:val="24"/>
          <w:rtl w:val="0"/>
        </w:rPr>
        <w:t xml:space="preserve">Cláusula Sétima</w:t>
      </w:r>
    </w:p>
    <w:p w:rsidR="00000000" w:rsidDel="00000000" w:rsidP="00000000" w:rsidRDefault="00000000" w:rsidRPr="00000000" w14:paraId="0000003B">
      <w:pPr>
        <w:pStyle w:val="Heading4"/>
        <w:spacing w:before="0" w:lineRule="auto"/>
        <w:jc w:val="center"/>
        <w:rPr/>
      </w:pPr>
      <w:bookmarkStart w:colFirst="0" w:colLast="0" w:name="_heading=h.dv55tavcp55l" w:id="22"/>
      <w:bookmarkEnd w:id="22"/>
      <w:r w:rsidDel="00000000" w:rsidR="00000000" w:rsidRPr="00000000">
        <w:rPr>
          <w:rtl w:val="0"/>
        </w:rPr>
        <w:t xml:space="preserve">(Vigência, Renovação e Cessação)</w:t>
      </w:r>
    </w:p>
    <w:p w:rsidR="00000000" w:rsidDel="00000000" w:rsidP="00000000" w:rsidRDefault="00000000" w:rsidRPr="00000000" w14:paraId="0000003C">
      <w:pPr>
        <w:numPr>
          <w:ilvl w:val="0"/>
          <w:numId w:val="3"/>
        </w:numPr>
        <w:ind w:left="360" w:hanging="360"/>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O presente Memorando de Entendimento é válido por</w:t>
      </w:r>
      <w:r w:rsidDel="00000000" w:rsidR="00000000" w:rsidRPr="00000000">
        <w:rPr>
          <w:sz w:val="22"/>
          <w:szCs w:val="22"/>
          <w:highlight w:val="white"/>
          <w:rtl w:val="0"/>
        </w:rPr>
        <w:t xml:space="preserve"> </w:t>
      </w:r>
      <w:r w:rsidDel="00000000" w:rsidR="00000000" w:rsidRPr="00000000">
        <w:rPr>
          <w:sz w:val="22"/>
          <w:szCs w:val="22"/>
          <w:shd w:fill="d9d9d9" w:val="clear"/>
          <w:rtl w:val="0"/>
        </w:rPr>
        <w:t xml:space="preserve">{1 (um) ano, 3 (três) anos, especificar}</w:t>
      </w:r>
      <w:r w:rsidDel="00000000" w:rsidR="00000000" w:rsidRPr="00000000">
        <w:rPr>
          <w:rFonts w:ascii="Lato" w:cs="Lato" w:eastAsia="Lato" w:hAnsi="Lato"/>
          <w:sz w:val="22"/>
          <w:szCs w:val="22"/>
          <w:highlight w:val="white"/>
          <w:rtl w:val="0"/>
        </w:rPr>
        <w:t xml:space="preserve">, entrando em vigor na data da respetiva assinatura pelos Outorgantes.</w:t>
      </w:r>
    </w:p>
    <w:p w:rsidR="00000000" w:rsidDel="00000000" w:rsidP="00000000" w:rsidRDefault="00000000" w:rsidRPr="00000000" w14:paraId="0000003D">
      <w:pPr>
        <w:numPr>
          <w:ilvl w:val="0"/>
          <w:numId w:val="3"/>
        </w:numPr>
        <w:ind w:left="360" w:hanging="360"/>
        <w:rPr>
          <w:rFonts w:ascii="Lato" w:cs="Lato" w:eastAsia="Lato" w:hAnsi="Lato"/>
          <w:sz w:val="22"/>
          <w:szCs w:val="22"/>
          <w:highlight w:val="white"/>
        </w:rPr>
      </w:pPr>
      <w:r w:rsidDel="00000000" w:rsidR="00000000" w:rsidRPr="00000000">
        <w:rPr>
          <w:rFonts w:ascii="Lato" w:cs="Lato" w:eastAsia="Lato" w:hAnsi="Lato"/>
          <w:sz w:val="22"/>
          <w:szCs w:val="22"/>
          <w:highlight w:val="white"/>
          <w:rtl w:val="0"/>
        </w:rPr>
        <w:t xml:space="preserve">O Memorando de Entendimento renova-se, por períodos iguais e sucessivos, se não for denunciado, ainda que unilateralmente e por carta registada com aviso de receção, por qualquer um dos Outorgantes, até 30 (trinta) dias antes da verificação do seu termo, sem prejuízo de atividades programadas, exceto em situações de calamidade.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sz w:val="22"/>
          <w:szCs w:val="22"/>
          <w:highlight w:val="white"/>
        </w:rPr>
      </w:pPr>
      <w:r w:rsidDel="00000000" w:rsidR="00000000" w:rsidRPr="00000000">
        <w:rPr>
          <w:sz w:val="22"/>
          <w:szCs w:val="22"/>
          <w:highlight w:val="white"/>
          <w:rtl w:val="0"/>
        </w:rPr>
        <w:t xml:space="preserve">Caso o presente Memorando de Entendimento seja denunciado tal como exposto no n.º 2 da presente Cláusula, é estabelecido um período mínimo de transição de 90 (noventa) dias, a fim de assegurar a conclusão de quaisquer iniciativas I&amp;D em curso no âmbito deste Memorando de Entendimento.</w:t>
      </w:r>
    </w:p>
    <w:p w:rsidR="00000000" w:rsidDel="00000000" w:rsidP="00000000" w:rsidRDefault="00000000" w:rsidRPr="00000000" w14:paraId="0000003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sz w:val="24"/>
          <w:szCs w:val="24"/>
        </w:rPr>
      </w:pPr>
      <w:bookmarkStart w:colFirst="0" w:colLast="0" w:name="_heading=h.rpmam4httn6f" w:id="23"/>
      <w:bookmarkEnd w:id="23"/>
      <w:r w:rsidDel="00000000" w:rsidR="00000000" w:rsidRPr="00000000">
        <w:rPr>
          <w:sz w:val="24"/>
          <w:szCs w:val="24"/>
          <w:rtl w:val="0"/>
        </w:rPr>
        <w:t xml:space="preserve">Cláusula Oitava</w:t>
      </w:r>
    </w:p>
    <w:p w:rsidR="00000000" w:rsidDel="00000000" w:rsidP="00000000" w:rsidRDefault="00000000" w:rsidRPr="00000000" w14:paraId="00000040">
      <w:pPr>
        <w:pStyle w:val="Heading4"/>
        <w:spacing w:before="0" w:lineRule="auto"/>
        <w:jc w:val="center"/>
        <w:rPr/>
      </w:pPr>
      <w:bookmarkStart w:colFirst="0" w:colLast="0" w:name="_heading=h.uhru6vw21bbx" w:id="24"/>
      <w:bookmarkEnd w:id="24"/>
      <w:r w:rsidDel="00000000" w:rsidR="00000000" w:rsidRPr="00000000">
        <w:rPr>
          <w:rtl w:val="0"/>
        </w:rPr>
        <w:t xml:space="preserve">(Comunicações)</w:t>
      </w:r>
    </w:p>
    <w:p w:rsidR="00000000" w:rsidDel="00000000" w:rsidP="00000000" w:rsidRDefault="00000000" w:rsidRPr="00000000" w14:paraId="00000041">
      <w:pPr>
        <w:numPr>
          <w:ilvl w:val="0"/>
          <w:numId w:val="4"/>
        </w:numPr>
        <w:ind w:left="720" w:hanging="360"/>
        <w:rPr>
          <w:sz w:val="22"/>
          <w:szCs w:val="22"/>
        </w:rPr>
      </w:pPr>
      <w:r w:rsidDel="00000000" w:rsidR="00000000" w:rsidRPr="00000000">
        <w:rPr>
          <w:sz w:val="22"/>
          <w:szCs w:val="22"/>
          <w:rtl w:val="0"/>
        </w:rPr>
        <w:t xml:space="preserve">As comunicações realizadas no âmbito do presente Memorando devem observar critérios de rastreabilidade, sendo guardadas por ambas as partes por um período mínimo de 5 anos, para auditorias futuras.</w:t>
      </w:r>
    </w:p>
    <w:p w:rsidR="00000000" w:rsidDel="00000000" w:rsidP="00000000" w:rsidRDefault="00000000" w:rsidRPr="00000000" w14:paraId="00000042">
      <w:pPr>
        <w:numPr>
          <w:ilvl w:val="0"/>
          <w:numId w:val="4"/>
        </w:numPr>
        <w:ind w:left="720" w:hanging="360"/>
        <w:rPr>
          <w:sz w:val="22"/>
          <w:szCs w:val="22"/>
          <w:highlight w:val="white"/>
        </w:rPr>
      </w:pPr>
      <w:r w:rsidDel="00000000" w:rsidR="00000000" w:rsidRPr="00000000">
        <w:rPr>
          <w:sz w:val="22"/>
          <w:szCs w:val="22"/>
          <w:highlight w:val="white"/>
          <w:rtl w:val="0"/>
        </w:rPr>
        <w:t xml:space="preserve">As notificações ou comunicações escritas que se realizam ao abrigo do presente Memorando de Entendimento são enviadas por correio registado, e, quando exigido, com aviso de receção, por e-mail ou entregues em mão, nos seguintes termos:</w:t>
      </w:r>
    </w:p>
    <w:sdt>
      <w:sdtPr>
        <w:lock w:val="contentLocked"/>
        <w:tag w:val="goog_rdk_0"/>
      </w:sdtPr>
      <w:sdtContent>
        <w:tbl>
          <w:tblPr>
            <w:tblStyle w:val="Table2"/>
            <w:tblW w:w="865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155"/>
            <w:tblGridChange w:id="0">
              <w:tblGrid>
                <w:gridCol w:w="4500"/>
                <w:gridCol w:w="4155"/>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76" w:lineRule="auto"/>
                  <w:jc w:val="left"/>
                  <w:rPr>
                    <w:b w:val="1"/>
                    <w:sz w:val="22"/>
                    <w:szCs w:val="22"/>
                    <w:highlight w:val="white"/>
                  </w:rPr>
                </w:pPr>
                <w:r w:rsidDel="00000000" w:rsidR="00000000" w:rsidRPr="00000000">
                  <w:rPr>
                    <w:b w:val="1"/>
                    <w:sz w:val="22"/>
                    <w:szCs w:val="22"/>
                    <w:highlight w:val="white"/>
                    <w:rtl w:val="0"/>
                  </w:rPr>
                  <w:t xml:space="preserve">Primeira Outorgante</w:t>
                </w:r>
              </w:p>
              <w:p w:rsidR="00000000" w:rsidDel="00000000" w:rsidP="00000000" w:rsidRDefault="00000000" w:rsidRPr="00000000" w14:paraId="00000044">
                <w:pPr>
                  <w:spacing w:after="0" w:line="276" w:lineRule="auto"/>
                  <w:jc w:val="left"/>
                  <w:rPr>
                    <w:b w:val="1"/>
                    <w:sz w:val="22"/>
                    <w:szCs w:val="22"/>
                    <w:highlight w:val="white"/>
                  </w:rPr>
                </w:pPr>
                <w:r w:rsidDel="00000000" w:rsidR="00000000" w:rsidRPr="00000000">
                  <w:rPr>
                    <w:rtl w:val="0"/>
                  </w:rPr>
                </w:r>
              </w:p>
              <w:p w:rsidR="00000000" w:rsidDel="00000000" w:rsidP="00000000" w:rsidRDefault="00000000" w:rsidRPr="00000000" w14:paraId="00000045">
                <w:pPr>
                  <w:spacing w:after="0" w:line="276" w:lineRule="auto"/>
                  <w:jc w:val="left"/>
                  <w:rPr>
                    <w:b w:val="1"/>
                    <w:sz w:val="22"/>
                    <w:szCs w:val="22"/>
                    <w:highlight w:val="white"/>
                  </w:rPr>
                </w:pPr>
                <w:r w:rsidDel="00000000" w:rsidR="00000000" w:rsidRPr="00000000">
                  <w:rPr>
                    <w:b w:val="1"/>
                    <w:sz w:val="22"/>
                    <w:szCs w:val="22"/>
                    <w:highlight w:val="white"/>
                    <w:rtl w:val="0"/>
                  </w:rPr>
                  <w:t xml:space="preserve">Nome</w:t>
                </w:r>
              </w:p>
              <w:p w:rsidR="00000000" w:rsidDel="00000000" w:rsidP="00000000" w:rsidRDefault="00000000" w:rsidRPr="00000000" w14:paraId="00000046">
                <w:pPr>
                  <w:spacing w:after="0" w:line="276" w:lineRule="auto"/>
                  <w:jc w:val="left"/>
                  <w:rPr>
                    <w:sz w:val="22"/>
                    <w:szCs w:val="22"/>
                    <w:highlight w:val="white"/>
                  </w:rPr>
                </w:pPr>
                <w:r w:rsidDel="00000000" w:rsidR="00000000" w:rsidRPr="00000000">
                  <w:rPr>
                    <w:sz w:val="22"/>
                    <w:szCs w:val="22"/>
                    <w:highlight w:val="white"/>
                    <w:rtl w:val="0"/>
                  </w:rPr>
                  <w:t xml:space="preserve">MTG Research and Development Lab</w:t>
                </w:r>
              </w:p>
              <w:p w:rsidR="00000000" w:rsidDel="00000000" w:rsidP="00000000" w:rsidRDefault="00000000" w:rsidRPr="00000000" w14:paraId="00000047">
                <w:pPr>
                  <w:spacing w:after="0" w:line="276" w:lineRule="auto"/>
                  <w:jc w:val="left"/>
                  <w:rPr>
                    <w:b w:val="1"/>
                    <w:sz w:val="22"/>
                    <w:szCs w:val="22"/>
                    <w:highlight w:val="white"/>
                  </w:rPr>
                </w:pPr>
                <w:r w:rsidDel="00000000" w:rsidR="00000000" w:rsidRPr="00000000">
                  <w:rPr>
                    <w:rtl w:val="0"/>
                  </w:rPr>
                </w:r>
              </w:p>
              <w:p w:rsidR="00000000" w:rsidDel="00000000" w:rsidP="00000000" w:rsidRDefault="00000000" w:rsidRPr="00000000" w14:paraId="00000048">
                <w:pPr>
                  <w:spacing w:after="0" w:line="276" w:lineRule="auto"/>
                  <w:jc w:val="left"/>
                  <w:rPr>
                    <w:sz w:val="22"/>
                    <w:szCs w:val="22"/>
                    <w:highlight w:val="white"/>
                  </w:rPr>
                </w:pPr>
                <w:r w:rsidDel="00000000" w:rsidR="00000000" w:rsidRPr="00000000">
                  <w:rPr>
                    <w:b w:val="1"/>
                    <w:sz w:val="22"/>
                    <w:szCs w:val="22"/>
                    <w:highlight w:val="white"/>
                    <w:rtl w:val="0"/>
                  </w:rPr>
                  <w:t xml:space="preserve">A/C de</w:t>
                </w:r>
                <w:r w:rsidDel="00000000" w:rsidR="00000000" w:rsidRPr="00000000">
                  <w:rPr>
                    <w:rtl w:val="0"/>
                  </w:rPr>
                </w:r>
              </w:p>
              <w:p w:rsidR="00000000" w:rsidDel="00000000" w:rsidP="00000000" w:rsidRDefault="00000000" w:rsidRPr="00000000" w14:paraId="00000049">
                <w:pPr>
                  <w:spacing w:after="0" w:line="276" w:lineRule="auto"/>
                  <w:jc w:val="left"/>
                  <w:rPr>
                    <w:sz w:val="22"/>
                    <w:szCs w:val="22"/>
                    <w:highlight w:val="white"/>
                  </w:rPr>
                </w:pPr>
                <w:r w:rsidDel="00000000" w:rsidR="00000000" w:rsidRPr="00000000">
                  <w:rPr>
                    <w:sz w:val="22"/>
                    <w:szCs w:val="22"/>
                    <w:highlight w:val="white"/>
                    <w:rtl w:val="0"/>
                  </w:rPr>
                  <w:t xml:space="preserve">Raquel Moreira</w:t>
                </w:r>
              </w:p>
              <w:p w:rsidR="00000000" w:rsidDel="00000000" w:rsidP="00000000" w:rsidRDefault="00000000" w:rsidRPr="00000000" w14:paraId="0000004A">
                <w:pPr>
                  <w:spacing w:after="0" w:line="276" w:lineRule="auto"/>
                  <w:jc w:val="left"/>
                  <w:rPr>
                    <w:b w:val="1"/>
                    <w:sz w:val="22"/>
                    <w:szCs w:val="22"/>
                    <w:highlight w:val="white"/>
                  </w:rPr>
                </w:pPr>
                <w:r w:rsidDel="00000000" w:rsidR="00000000" w:rsidRPr="00000000">
                  <w:rPr>
                    <w:rtl w:val="0"/>
                  </w:rPr>
                </w:r>
              </w:p>
              <w:p w:rsidR="00000000" w:rsidDel="00000000" w:rsidP="00000000" w:rsidRDefault="00000000" w:rsidRPr="00000000" w14:paraId="0000004B">
                <w:pPr>
                  <w:spacing w:after="0" w:line="276" w:lineRule="auto"/>
                  <w:jc w:val="left"/>
                  <w:rPr>
                    <w:sz w:val="22"/>
                    <w:szCs w:val="22"/>
                    <w:highlight w:val="white"/>
                  </w:rPr>
                </w:pPr>
                <w:r w:rsidDel="00000000" w:rsidR="00000000" w:rsidRPr="00000000">
                  <w:rPr>
                    <w:b w:val="1"/>
                    <w:sz w:val="22"/>
                    <w:szCs w:val="22"/>
                    <w:highlight w:val="white"/>
                    <w:rtl w:val="0"/>
                  </w:rPr>
                  <w:t xml:space="preserve">Morada</w:t>
                </w:r>
                <w:r w:rsidDel="00000000" w:rsidR="00000000" w:rsidRPr="00000000">
                  <w:rPr>
                    <w:rtl w:val="0"/>
                  </w:rPr>
                </w:r>
              </w:p>
              <w:p w:rsidR="00000000" w:rsidDel="00000000" w:rsidP="00000000" w:rsidRDefault="00000000" w:rsidRPr="00000000" w14:paraId="0000004C">
                <w:pPr>
                  <w:spacing w:after="0" w:line="276" w:lineRule="auto"/>
                  <w:jc w:val="left"/>
                  <w:rPr>
                    <w:sz w:val="22"/>
                    <w:szCs w:val="22"/>
                    <w:highlight w:val="white"/>
                  </w:rPr>
                </w:pPr>
                <w:r w:rsidDel="00000000" w:rsidR="00000000" w:rsidRPr="00000000">
                  <w:rPr>
                    <w:sz w:val="22"/>
                    <w:szCs w:val="22"/>
                    <w:highlight w:val="white"/>
                    <w:rtl w:val="0"/>
                  </w:rPr>
                  <w:t xml:space="preserve">Rua Professor Joaquim Bastos</w:t>
                </w:r>
              </w:p>
              <w:p w:rsidR="00000000" w:rsidDel="00000000" w:rsidP="00000000" w:rsidRDefault="00000000" w:rsidRPr="00000000" w14:paraId="0000004D">
                <w:pPr>
                  <w:spacing w:after="0" w:line="276" w:lineRule="auto"/>
                  <w:jc w:val="left"/>
                  <w:rPr>
                    <w:sz w:val="22"/>
                    <w:szCs w:val="22"/>
                    <w:highlight w:val="white"/>
                  </w:rPr>
                </w:pPr>
                <w:r w:rsidDel="00000000" w:rsidR="00000000" w:rsidRPr="00000000">
                  <w:rPr>
                    <w:sz w:val="22"/>
                    <w:szCs w:val="22"/>
                    <w:highlight w:val="white"/>
                    <w:rtl w:val="0"/>
                  </w:rPr>
                  <w:t xml:space="preserve">102 2A 4200-604 Porto</w:t>
                </w:r>
              </w:p>
              <w:p w:rsidR="00000000" w:rsidDel="00000000" w:rsidP="00000000" w:rsidRDefault="00000000" w:rsidRPr="00000000" w14:paraId="0000004E">
                <w:pPr>
                  <w:spacing w:after="0" w:line="276" w:lineRule="auto"/>
                  <w:jc w:val="left"/>
                  <w:rPr>
                    <w:sz w:val="22"/>
                    <w:szCs w:val="22"/>
                    <w:highlight w:val="white"/>
                  </w:rPr>
                </w:pPr>
                <w:r w:rsidDel="00000000" w:rsidR="00000000" w:rsidRPr="00000000">
                  <w:rPr>
                    <w:sz w:val="22"/>
                    <w:szCs w:val="22"/>
                    <w:highlight w:val="white"/>
                    <w:rtl w:val="0"/>
                  </w:rPr>
                  <w:t xml:space="preserve">Portugal</w:t>
                </w:r>
              </w:p>
              <w:p w:rsidR="00000000" w:rsidDel="00000000" w:rsidP="00000000" w:rsidRDefault="00000000" w:rsidRPr="00000000" w14:paraId="0000004F">
                <w:pPr>
                  <w:spacing w:after="0" w:line="276" w:lineRule="auto"/>
                  <w:jc w:val="left"/>
                  <w:rPr>
                    <w:b w:val="1"/>
                    <w:sz w:val="22"/>
                    <w:szCs w:val="22"/>
                    <w:highlight w:val="white"/>
                  </w:rPr>
                </w:pPr>
                <w:r w:rsidDel="00000000" w:rsidR="00000000" w:rsidRPr="00000000">
                  <w:rPr>
                    <w:rtl w:val="0"/>
                  </w:rPr>
                </w:r>
              </w:p>
              <w:p w:rsidR="00000000" w:rsidDel="00000000" w:rsidP="00000000" w:rsidRDefault="00000000" w:rsidRPr="00000000" w14:paraId="00000050">
                <w:pPr>
                  <w:spacing w:after="0" w:line="276" w:lineRule="auto"/>
                  <w:jc w:val="left"/>
                  <w:rPr>
                    <w:sz w:val="22"/>
                    <w:szCs w:val="22"/>
                    <w:highlight w:val="white"/>
                  </w:rPr>
                </w:pPr>
                <w:r w:rsidDel="00000000" w:rsidR="00000000" w:rsidRPr="00000000">
                  <w:rPr>
                    <w:b w:val="1"/>
                    <w:sz w:val="22"/>
                    <w:szCs w:val="22"/>
                    <w:highlight w:val="white"/>
                    <w:rtl w:val="0"/>
                  </w:rPr>
                  <w:t xml:space="preserve">E-mail</w:t>
                </w:r>
                <w:r w:rsidDel="00000000" w:rsidR="00000000" w:rsidRPr="00000000">
                  <w:rPr>
                    <w:rtl w:val="0"/>
                  </w:rPr>
                </w:r>
              </w:p>
              <w:p w:rsidR="00000000" w:rsidDel="00000000" w:rsidP="00000000" w:rsidRDefault="00000000" w:rsidRPr="00000000" w14:paraId="00000051">
                <w:pPr>
                  <w:spacing w:after="0" w:line="276" w:lineRule="auto"/>
                  <w:jc w:val="left"/>
                  <w:rPr>
                    <w:sz w:val="22"/>
                    <w:szCs w:val="22"/>
                    <w:highlight w:val="white"/>
                  </w:rPr>
                </w:pPr>
                <w:r w:rsidDel="00000000" w:rsidR="00000000" w:rsidRPr="00000000">
                  <w:rPr>
                    <w:sz w:val="22"/>
                    <w:szCs w:val="22"/>
                    <w:highlight w:val="white"/>
                    <w:rtl w:val="0"/>
                  </w:rPr>
                  <w:t xml:space="preserve">corporate@mtg.pt</w:t>
                </w:r>
              </w:p>
              <w:p w:rsidR="00000000" w:rsidDel="00000000" w:rsidP="00000000" w:rsidRDefault="00000000" w:rsidRPr="00000000" w14:paraId="00000052">
                <w:pPr>
                  <w:spacing w:after="0" w:line="276" w:lineRule="auto"/>
                  <w:jc w:val="left"/>
                  <w:rPr>
                    <w:b w:val="1"/>
                    <w:sz w:val="22"/>
                    <w:szCs w:val="22"/>
                    <w:highlight w:val="white"/>
                  </w:rPr>
                </w:pPr>
                <w:r w:rsidDel="00000000" w:rsidR="00000000" w:rsidRPr="00000000">
                  <w:rPr>
                    <w:rtl w:val="0"/>
                  </w:rPr>
                </w:r>
              </w:p>
              <w:p w:rsidR="00000000" w:rsidDel="00000000" w:rsidP="00000000" w:rsidRDefault="00000000" w:rsidRPr="00000000" w14:paraId="00000053">
                <w:pPr>
                  <w:spacing w:after="0" w:line="276" w:lineRule="auto"/>
                  <w:jc w:val="left"/>
                  <w:rPr>
                    <w:b w:val="1"/>
                    <w:sz w:val="22"/>
                    <w:szCs w:val="22"/>
                    <w:highlight w:val="white"/>
                  </w:rPr>
                </w:pPr>
                <w:r w:rsidDel="00000000" w:rsidR="00000000" w:rsidRPr="00000000">
                  <w:rPr>
                    <w:b w:val="1"/>
                    <w:sz w:val="22"/>
                    <w:szCs w:val="22"/>
                    <w:highlight w:val="white"/>
                    <w:rtl w:val="0"/>
                  </w:rPr>
                  <w:t xml:space="preserve">Telefone</w:t>
                </w:r>
              </w:p>
              <w:p w:rsidR="00000000" w:rsidDel="00000000" w:rsidP="00000000" w:rsidRDefault="00000000" w:rsidRPr="00000000" w14:paraId="00000054">
                <w:pPr>
                  <w:spacing w:after="0" w:line="276" w:lineRule="auto"/>
                  <w:jc w:val="left"/>
                  <w:rPr>
                    <w:sz w:val="22"/>
                    <w:szCs w:val="22"/>
                    <w:highlight w:val="white"/>
                  </w:rPr>
                </w:pPr>
                <w:r w:rsidDel="00000000" w:rsidR="00000000" w:rsidRPr="00000000">
                  <w:rPr>
                    <w:sz w:val="22"/>
                    <w:szCs w:val="22"/>
                    <w:highlight w:val="white"/>
                    <w:rtl w:val="0"/>
                  </w:rPr>
                  <w:t xml:space="preserve">+351 911 729 305</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line="276" w:lineRule="auto"/>
                  <w:jc w:val="left"/>
                  <w:rPr>
                    <w:b w:val="1"/>
                    <w:sz w:val="22"/>
                    <w:szCs w:val="22"/>
                    <w:highlight w:val="white"/>
                  </w:rPr>
                </w:pPr>
                <w:r w:rsidDel="00000000" w:rsidR="00000000" w:rsidRPr="00000000">
                  <w:rPr>
                    <w:b w:val="1"/>
                    <w:sz w:val="22"/>
                    <w:szCs w:val="22"/>
                    <w:highlight w:val="white"/>
                    <w:rtl w:val="0"/>
                  </w:rPr>
                  <w:t xml:space="preserve">Segunda Outorgante</w:t>
                </w:r>
              </w:p>
              <w:p w:rsidR="00000000" w:rsidDel="00000000" w:rsidP="00000000" w:rsidRDefault="00000000" w:rsidRPr="00000000" w14:paraId="00000056">
                <w:pPr>
                  <w:spacing w:after="0" w:line="276" w:lineRule="auto"/>
                  <w:jc w:val="left"/>
                  <w:rPr>
                    <w:b w:val="1"/>
                    <w:sz w:val="22"/>
                    <w:szCs w:val="22"/>
                    <w:highlight w:val="white"/>
                  </w:rPr>
                </w:pPr>
                <w:r w:rsidDel="00000000" w:rsidR="00000000" w:rsidRPr="00000000">
                  <w:rPr>
                    <w:rtl w:val="0"/>
                  </w:rPr>
                </w:r>
              </w:p>
              <w:p w:rsidR="00000000" w:rsidDel="00000000" w:rsidP="00000000" w:rsidRDefault="00000000" w:rsidRPr="00000000" w14:paraId="00000057">
                <w:pPr>
                  <w:spacing w:after="0" w:line="276" w:lineRule="auto"/>
                  <w:jc w:val="left"/>
                  <w:rPr>
                    <w:b w:val="1"/>
                    <w:sz w:val="22"/>
                    <w:szCs w:val="22"/>
                    <w:highlight w:val="white"/>
                  </w:rPr>
                </w:pPr>
                <w:r w:rsidDel="00000000" w:rsidR="00000000" w:rsidRPr="00000000">
                  <w:rPr>
                    <w:b w:val="1"/>
                    <w:sz w:val="22"/>
                    <w:szCs w:val="22"/>
                    <w:highlight w:val="white"/>
                    <w:rtl w:val="0"/>
                  </w:rPr>
                  <w:t xml:space="preserve">Nome</w:t>
                </w:r>
              </w:p>
              <w:p w:rsidR="00000000" w:rsidDel="00000000" w:rsidP="00000000" w:rsidRDefault="00000000" w:rsidRPr="00000000" w14:paraId="00000058">
                <w:pPr>
                  <w:spacing w:after="0" w:line="276" w:lineRule="auto"/>
                  <w:jc w:val="left"/>
                  <w:rPr>
                    <w:b w:val="1"/>
                    <w:sz w:val="22"/>
                    <w:szCs w:val="22"/>
                    <w:highlight w:val="white"/>
                  </w:rPr>
                </w:pPr>
                <w:r w:rsidDel="00000000" w:rsidR="00000000" w:rsidRPr="00000000">
                  <w:rPr>
                    <w:sz w:val="22"/>
                    <w:szCs w:val="22"/>
                    <w:shd w:fill="d9d9d9" w:val="clear"/>
                    <w:rtl w:val="0"/>
                  </w:rPr>
                  <w:t xml:space="preserve">[...]</w:t>
                </w:r>
                <w:r w:rsidDel="00000000" w:rsidR="00000000" w:rsidRPr="00000000">
                  <w:rPr>
                    <w:rtl w:val="0"/>
                  </w:rPr>
                </w:r>
              </w:p>
              <w:p w:rsidR="00000000" w:rsidDel="00000000" w:rsidP="00000000" w:rsidRDefault="00000000" w:rsidRPr="00000000" w14:paraId="00000059">
                <w:pPr>
                  <w:spacing w:after="0" w:line="276" w:lineRule="auto"/>
                  <w:jc w:val="left"/>
                  <w:rPr>
                    <w:b w:val="1"/>
                    <w:sz w:val="22"/>
                    <w:szCs w:val="22"/>
                    <w:highlight w:val="white"/>
                  </w:rPr>
                </w:pPr>
                <w:r w:rsidDel="00000000" w:rsidR="00000000" w:rsidRPr="00000000">
                  <w:rPr>
                    <w:rtl w:val="0"/>
                  </w:rPr>
                </w:r>
              </w:p>
              <w:p w:rsidR="00000000" w:rsidDel="00000000" w:rsidP="00000000" w:rsidRDefault="00000000" w:rsidRPr="00000000" w14:paraId="0000005A">
                <w:pPr>
                  <w:spacing w:after="0" w:line="276" w:lineRule="auto"/>
                  <w:jc w:val="left"/>
                  <w:rPr>
                    <w:sz w:val="22"/>
                    <w:szCs w:val="22"/>
                    <w:highlight w:val="white"/>
                  </w:rPr>
                </w:pPr>
                <w:r w:rsidDel="00000000" w:rsidR="00000000" w:rsidRPr="00000000">
                  <w:rPr>
                    <w:b w:val="1"/>
                    <w:sz w:val="22"/>
                    <w:szCs w:val="22"/>
                    <w:highlight w:val="white"/>
                    <w:rtl w:val="0"/>
                  </w:rPr>
                  <w:t xml:space="preserve">A/C de</w:t>
                </w:r>
                <w:r w:rsidDel="00000000" w:rsidR="00000000" w:rsidRPr="00000000">
                  <w:rPr>
                    <w:rtl w:val="0"/>
                  </w:rPr>
                </w:r>
              </w:p>
              <w:p w:rsidR="00000000" w:rsidDel="00000000" w:rsidP="00000000" w:rsidRDefault="00000000" w:rsidRPr="00000000" w14:paraId="0000005B">
                <w:pPr>
                  <w:spacing w:after="0" w:line="276" w:lineRule="auto"/>
                  <w:jc w:val="left"/>
                  <w:rPr>
                    <w:sz w:val="22"/>
                    <w:szCs w:val="22"/>
                    <w:highlight w:val="white"/>
                  </w:rPr>
                </w:pPr>
                <w:r w:rsidDel="00000000" w:rsidR="00000000" w:rsidRPr="00000000">
                  <w:rPr>
                    <w:sz w:val="22"/>
                    <w:szCs w:val="22"/>
                    <w:shd w:fill="d9d9d9" w:val="clear"/>
                    <w:rtl w:val="0"/>
                  </w:rPr>
                  <w:t xml:space="preserve">[...]</w:t>
                </w:r>
                <w:r w:rsidDel="00000000" w:rsidR="00000000" w:rsidRPr="00000000">
                  <w:rPr>
                    <w:rtl w:val="0"/>
                  </w:rPr>
                </w:r>
              </w:p>
              <w:p w:rsidR="00000000" w:rsidDel="00000000" w:rsidP="00000000" w:rsidRDefault="00000000" w:rsidRPr="00000000" w14:paraId="0000005C">
                <w:pPr>
                  <w:spacing w:after="0" w:line="276" w:lineRule="auto"/>
                  <w:jc w:val="left"/>
                  <w:rPr>
                    <w:b w:val="1"/>
                    <w:sz w:val="22"/>
                    <w:szCs w:val="22"/>
                    <w:highlight w:val="white"/>
                  </w:rPr>
                </w:pPr>
                <w:r w:rsidDel="00000000" w:rsidR="00000000" w:rsidRPr="00000000">
                  <w:rPr>
                    <w:rtl w:val="0"/>
                  </w:rPr>
                </w:r>
              </w:p>
              <w:p w:rsidR="00000000" w:rsidDel="00000000" w:rsidP="00000000" w:rsidRDefault="00000000" w:rsidRPr="00000000" w14:paraId="0000005D">
                <w:pPr>
                  <w:spacing w:after="0" w:line="276" w:lineRule="auto"/>
                  <w:jc w:val="left"/>
                  <w:rPr>
                    <w:sz w:val="22"/>
                    <w:szCs w:val="22"/>
                    <w:highlight w:val="white"/>
                  </w:rPr>
                </w:pPr>
                <w:r w:rsidDel="00000000" w:rsidR="00000000" w:rsidRPr="00000000">
                  <w:rPr>
                    <w:b w:val="1"/>
                    <w:sz w:val="22"/>
                    <w:szCs w:val="22"/>
                    <w:highlight w:val="white"/>
                    <w:rtl w:val="0"/>
                  </w:rPr>
                  <w:t xml:space="preserve">Morada</w:t>
                </w:r>
                <w:r w:rsidDel="00000000" w:rsidR="00000000" w:rsidRPr="00000000">
                  <w:rPr>
                    <w:rtl w:val="0"/>
                  </w:rPr>
                </w:r>
              </w:p>
              <w:p w:rsidR="00000000" w:rsidDel="00000000" w:rsidP="00000000" w:rsidRDefault="00000000" w:rsidRPr="00000000" w14:paraId="0000005E">
                <w:pPr>
                  <w:spacing w:after="0" w:line="276" w:lineRule="auto"/>
                  <w:jc w:val="left"/>
                  <w:rPr>
                    <w:sz w:val="22"/>
                    <w:szCs w:val="22"/>
                    <w:shd w:fill="d9d9d9" w:val="clear"/>
                  </w:rPr>
                </w:pPr>
                <w:r w:rsidDel="00000000" w:rsidR="00000000" w:rsidRPr="00000000">
                  <w:rPr>
                    <w:sz w:val="22"/>
                    <w:szCs w:val="22"/>
                    <w:shd w:fill="d9d9d9" w:val="clear"/>
                    <w:rtl w:val="0"/>
                  </w:rPr>
                  <w:t xml:space="preserve">[...]</w:t>
                </w:r>
                <w:r w:rsidDel="00000000" w:rsidR="00000000" w:rsidRPr="00000000">
                  <w:rPr>
                    <w:sz w:val="22"/>
                    <w:szCs w:val="22"/>
                    <w:highlight w:val="white"/>
                    <w:rtl w:val="0"/>
                  </w:rPr>
                  <w:br w:type="textWrapping"/>
                </w:r>
                <w:r w:rsidDel="00000000" w:rsidR="00000000" w:rsidRPr="00000000">
                  <w:rPr>
                    <w:sz w:val="22"/>
                    <w:szCs w:val="22"/>
                    <w:shd w:fill="d9d9d9" w:val="clear"/>
                    <w:rtl w:val="0"/>
                  </w:rPr>
                  <w:t xml:space="preserve">[...]</w:t>
                </w:r>
              </w:p>
              <w:p w:rsidR="00000000" w:rsidDel="00000000" w:rsidP="00000000" w:rsidRDefault="00000000" w:rsidRPr="00000000" w14:paraId="0000005F">
                <w:pPr>
                  <w:spacing w:after="0" w:line="276" w:lineRule="auto"/>
                  <w:jc w:val="left"/>
                  <w:rPr>
                    <w:sz w:val="22"/>
                    <w:szCs w:val="22"/>
                    <w:shd w:fill="d9d9d9" w:val="clear"/>
                  </w:rPr>
                </w:pPr>
                <w:r w:rsidDel="00000000" w:rsidR="00000000" w:rsidRPr="00000000">
                  <w:rPr>
                    <w:sz w:val="22"/>
                    <w:szCs w:val="22"/>
                    <w:shd w:fill="d9d9d9" w:val="clear"/>
                    <w:rtl w:val="0"/>
                  </w:rPr>
                  <w:t xml:space="preserve">[...]</w:t>
                </w:r>
              </w:p>
              <w:p w:rsidR="00000000" w:rsidDel="00000000" w:rsidP="00000000" w:rsidRDefault="00000000" w:rsidRPr="00000000" w14:paraId="00000060">
                <w:pPr>
                  <w:spacing w:after="0" w:line="276" w:lineRule="auto"/>
                  <w:jc w:val="left"/>
                  <w:rPr>
                    <w:b w:val="1"/>
                    <w:sz w:val="22"/>
                    <w:szCs w:val="22"/>
                    <w:highlight w:val="white"/>
                  </w:rPr>
                </w:pPr>
                <w:r w:rsidDel="00000000" w:rsidR="00000000" w:rsidRPr="00000000">
                  <w:rPr>
                    <w:rtl w:val="0"/>
                  </w:rPr>
                </w:r>
              </w:p>
              <w:p w:rsidR="00000000" w:rsidDel="00000000" w:rsidP="00000000" w:rsidRDefault="00000000" w:rsidRPr="00000000" w14:paraId="00000061">
                <w:pPr>
                  <w:spacing w:after="0" w:line="276" w:lineRule="auto"/>
                  <w:jc w:val="left"/>
                  <w:rPr>
                    <w:sz w:val="22"/>
                    <w:szCs w:val="22"/>
                    <w:highlight w:val="white"/>
                  </w:rPr>
                </w:pPr>
                <w:r w:rsidDel="00000000" w:rsidR="00000000" w:rsidRPr="00000000">
                  <w:rPr>
                    <w:b w:val="1"/>
                    <w:sz w:val="22"/>
                    <w:szCs w:val="22"/>
                    <w:highlight w:val="white"/>
                    <w:rtl w:val="0"/>
                  </w:rPr>
                  <w:t xml:space="preserve">E-mail</w:t>
                </w:r>
                <w:r w:rsidDel="00000000" w:rsidR="00000000" w:rsidRPr="00000000">
                  <w:rPr>
                    <w:rtl w:val="0"/>
                  </w:rPr>
                </w:r>
              </w:p>
              <w:p w:rsidR="00000000" w:rsidDel="00000000" w:rsidP="00000000" w:rsidRDefault="00000000" w:rsidRPr="00000000" w14:paraId="00000062">
                <w:pPr>
                  <w:spacing w:after="0" w:line="276" w:lineRule="auto"/>
                  <w:jc w:val="left"/>
                  <w:rPr>
                    <w:sz w:val="22"/>
                    <w:szCs w:val="22"/>
                    <w:highlight w:val="white"/>
                  </w:rPr>
                </w:pPr>
                <w:r w:rsidDel="00000000" w:rsidR="00000000" w:rsidRPr="00000000">
                  <w:rPr>
                    <w:sz w:val="22"/>
                    <w:szCs w:val="22"/>
                    <w:shd w:fill="d9d9d9" w:val="clear"/>
                    <w:rtl w:val="0"/>
                  </w:rPr>
                  <w:t xml:space="preserve">[...]</w:t>
                </w:r>
                <w:r w:rsidDel="00000000" w:rsidR="00000000" w:rsidRPr="00000000">
                  <w:rPr>
                    <w:rtl w:val="0"/>
                  </w:rPr>
                </w:r>
              </w:p>
              <w:p w:rsidR="00000000" w:rsidDel="00000000" w:rsidP="00000000" w:rsidRDefault="00000000" w:rsidRPr="00000000" w14:paraId="00000063">
                <w:pPr>
                  <w:widowControl w:val="0"/>
                  <w:spacing w:after="0" w:line="240" w:lineRule="auto"/>
                  <w:jc w:val="left"/>
                  <w:rPr>
                    <w:sz w:val="22"/>
                    <w:szCs w:val="22"/>
                    <w:highlight w:val="white"/>
                  </w:rPr>
                </w:pPr>
                <w:r w:rsidDel="00000000" w:rsidR="00000000" w:rsidRPr="00000000">
                  <w:rPr>
                    <w:rtl w:val="0"/>
                  </w:rPr>
                </w:r>
              </w:p>
              <w:p w:rsidR="00000000" w:rsidDel="00000000" w:rsidP="00000000" w:rsidRDefault="00000000" w:rsidRPr="00000000" w14:paraId="00000064">
                <w:pPr>
                  <w:spacing w:after="0" w:line="276" w:lineRule="auto"/>
                  <w:jc w:val="left"/>
                  <w:rPr>
                    <w:b w:val="1"/>
                    <w:sz w:val="22"/>
                    <w:szCs w:val="22"/>
                    <w:highlight w:val="white"/>
                  </w:rPr>
                </w:pPr>
                <w:r w:rsidDel="00000000" w:rsidR="00000000" w:rsidRPr="00000000">
                  <w:rPr>
                    <w:b w:val="1"/>
                    <w:sz w:val="22"/>
                    <w:szCs w:val="22"/>
                    <w:highlight w:val="white"/>
                    <w:rtl w:val="0"/>
                  </w:rPr>
                  <w:t xml:space="preserve">Telefone</w:t>
                </w:r>
              </w:p>
              <w:p w:rsidR="00000000" w:rsidDel="00000000" w:rsidP="00000000" w:rsidRDefault="00000000" w:rsidRPr="00000000" w14:paraId="00000065">
                <w:pPr>
                  <w:spacing w:after="0" w:line="276" w:lineRule="auto"/>
                  <w:jc w:val="left"/>
                  <w:rPr>
                    <w:sz w:val="22"/>
                    <w:szCs w:val="22"/>
                    <w:highlight w:val="white"/>
                  </w:rPr>
                </w:pPr>
                <w:r w:rsidDel="00000000" w:rsidR="00000000" w:rsidRPr="00000000">
                  <w:rPr>
                    <w:sz w:val="22"/>
                    <w:szCs w:val="22"/>
                    <w:shd w:fill="d9d9d9" w:val="clear"/>
                    <w:rtl w:val="0"/>
                  </w:rPr>
                  <w:t xml:space="preserve">[...]</w:t>
                </w:r>
                <w:r w:rsidDel="00000000" w:rsidR="00000000" w:rsidRPr="00000000">
                  <w:rPr>
                    <w:rtl w:val="0"/>
                  </w:rPr>
                </w:r>
              </w:p>
            </w:tc>
          </w:tr>
        </w:tbl>
      </w:sdtContent>
    </w:sdt>
    <w:p w:rsidR="00000000" w:rsidDel="00000000" w:rsidP="00000000" w:rsidRDefault="00000000" w:rsidRPr="00000000" w14:paraId="00000066">
      <w:pPr>
        <w:ind w:left="720" w:firstLine="0"/>
        <w:rPr>
          <w:sz w:val="22"/>
          <w:szCs w:val="22"/>
          <w:highlight w:val="white"/>
        </w:rPr>
      </w:pPr>
      <w:r w:rsidDel="00000000" w:rsidR="00000000" w:rsidRPr="00000000">
        <w:rPr>
          <w:rtl w:val="0"/>
        </w:rPr>
      </w:r>
    </w:p>
    <w:p w:rsidR="00000000" w:rsidDel="00000000" w:rsidP="00000000" w:rsidRDefault="00000000" w:rsidRPr="00000000" w14:paraId="00000067">
      <w:pPr>
        <w:ind w:left="360"/>
        <w:rPr>
          <w:rFonts w:ascii="Lato" w:cs="Lato" w:eastAsia="Lato" w:hAnsi="Lato"/>
          <w:highlight w:val="white"/>
        </w:rPr>
      </w:pPr>
      <w:r w:rsidDel="00000000" w:rsidR="00000000" w:rsidRPr="00000000">
        <w:rPr>
          <w:sz w:val="22"/>
          <w:szCs w:val="22"/>
          <w:highlight w:val="white"/>
          <w:rtl w:val="0"/>
        </w:rPr>
        <w:t xml:space="preserve">2. </w:t>
        <w:tab/>
        <w:t xml:space="preserve">A alteração das moradas indicadas no número anterior deve ser comunicada ao outro Outorgante, por carta registada com aviso de receção, nos 15 (quinze) dias subsequentes à respetiva alteração.</w:t>
      </w:r>
      <w:r w:rsidDel="00000000" w:rsidR="00000000" w:rsidRPr="00000000">
        <w:rPr>
          <w:rtl w:val="0"/>
        </w:rPr>
      </w:r>
    </w:p>
    <w:p w:rsidR="00000000" w:rsidDel="00000000" w:rsidP="00000000" w:rsidRDefault="00000000" w:rsidRPr="00000000" w14:paraId="00000068">
      <w:pPr>
        <w:rPr>
          <w:rFonts w:ascii="Lato" w:cs="Lato" w:eastAsia="Lato" w:hAnsi="Lato"/>
          <w:highlight w:val="white"/>
        </w:rPr>
      </w:pPr>
      <w:r w:rsidDel="00000000" w:rsidR="00000000" w:rsidRPr="00000000">
        <w:rPr>
          <w:rtl w:val="0"/>
        </w:rPr>
      </w:r>
    </w:p>
    <w:p w:rsidR="00000000" w:rsidDel="00000000" w:rsidP="00000000" w:rsidRDefault="00000000" w:rsidRPr="00000000" w14:paraId="00000069">
      <w:pPr>
        <w:rPr>
          <w:sz w:val="22"/>
          <w:szCs w:val="22"/>
          <w:shd w:fill="d9d9d9" w:val="clear"/>
        </w:rPr>
      </w:pPr>
      <w:r w:rsidDel="00000000" w:rsidR="00000000" w:rsidRPr="00000000">
        <w:rPr>
          <w:sz w:val="22"/>
          <w:szCs w:val="22"/>
          <w:highlight w:val="white"/>
          <w:rtl w:val="0"/>
        </w:rPr>
        <w:t xml:space="preserve">Feito em duplicado, </w:t>
      </w:r>
      <w:r w:rsidDel="00000000" w:rsidR="00000000" w:rsidRPr="00000000">
        <w:rPr>
          <w:sz w:val="22"/>
          <w:szCs w:val="22"/>
          <w:shd w:fill="d9d9d9" w:val="clear"/>
          <w:rtl w:val="0"/>
        </w:rPr>
        <w:t xml:space="preserve">[Local]</w:t>
      </w:r>
      <w:r w:rsidDel="00000000" w:rsidR="00000000" w:rsidRPr="00000000">
        <w:rPr>
          <w:sz w:val="22"/>
          <w:szCs w:val="22"/>
          <w:highlight w:val="white"/>
          <w:rtl w:val="0"/>
        </w:rPr>
        <w:t xml:space="preserve">, </w:t>
      </w:r>
      <w:r w:rsidDel="00000000" w:rsidR="00000000" w:rsidRPr="00000000">
        <w:rPr>
          <w:sz w:val="22"/>
          <w:szCs w:val="22"/>
          <w:shd w:fill="d9d9d9" w:val="clear"/>
          <w:rtl w:val="0"/>
        </w:rPr>
        <w:t xml:space="preserve">[dia] </w:t>
      </w:r>
      <w:r w:rsidDel="00000000" w:rsidR="00000000" w:rsidRPr="00000000">
        <w:rPr>
          <w:sz w:val="22"/>
          <w:szCs w:val="22"/>
          <w:highlight w:val="white"/>
          <w:rtl w:val="0"/>
        </w:rPr>
        <w:t xml:space="preserve">de </w:t>
      </w:r>
      <w:r w:rsidDel="00000000" w:rsidR="00000000" w:rsidRPr="00000000">
        <w:rPr>
          <w:sz w:val="22"/>
          <w:szCs w:val="22"/>
          <w:shd w:fill="d9d9d9" w:val="clear"/>
          <w:rtl w:val="0"/>
        </w:rPr>
        <w:t xml:space="preserve">[mês]</w:t>
      </w:r>
      <w:r w:rsidDel="00000000" w:rsidR="00000000" w:rsidRPr="00000000">
        <w:rPr>
          <w:sz w:val="22"/>
          <w:szCs w:val="22"/>
          <w:highlight w:val="white"/>
          <w:rtl w:val="0"/>
        </w:rPr>
        <w:t xml:space="preserve"> de 202</w:t>
      </w:r>
      <w:r w:rsidDel="00000000" w:rsidR="00000000" w:rsidRPr="00000000">
        <w:rPr>
          <w:sz w:val="22"/>
          <w:szCs w:val="22"/>
          <w:shd w:fill="d9d9d9" w:val="clear"/>
          <w:rtl w:val="0"/>
        </w:rPr>
        <w:t xml:space="preserve">[...]</w:t>
      </w:r>
    </w:p>
    <w:p w:rsidR="00000000" w:rsidDel="00000000" w:rsidP="00000000" w:rsidRDefault="00000000" w:rsidRPr="00000000" w14:paraId="0000006A">
      <w:pPr>
        <w:rPr>
          <w:sz w:val="22"/>
          <w:szCs w:val="22"/>
          <w:shd w:fill="d9d9d9" w:val="clear"/>
        </w:rPr>
      </w:pPr>
      <w:r w:rsidDel="00000000" w:rsidR="00000000" w:rsidRPr="00000000">
        <w:rPr>
          <w:rtl w:val="0"/>
        </w:rPr>
      </w:r>
    </w:p>
    <w:sdt>
      <w:sdtPr>
        <w:lock w:val="contentLocked"/>
        <w:tag w:val="goog_rdk_1"/>
      </w:sdtPr>
      <w:sdtContent>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76" w:lineRule="auto"/>
                  <w:rPr>
                    <w:sz w:val="22"/>
                    <w:szCs w:val="22"/>
                    <w:highlight w:val="white"/>
                  </w:rPr>
                </w:pPr>
                <w:r w:rsidDel="00000000" w:rsidR="00000000" w:rsidRPr="00000000">
                  <w:rPr>
                    <w:sz w:val="22"/>
                    <w:szCs w:val="22"/>
                    <w:highlight w:val="white"/>
                    <w:rtl w:val="0"/>
                  </w:rPr>
                  <w:t xml:space="preserve">Pela Primeira Outorgante</w:t>
                </w:r>
              </w:p>
              <w:p w:rsidR="00000000" w:rsidDel="00000000" w:rsidP="00000000" w:rsidRDefault="00000000" w:rsidRPr="00000000" w14:paraId="0000006C">
                <w:pPr>
                  <w:spacing w:after="0" w:line="276" w:lineRule="auto"/>
                  <w:rPr>
                    <w:sz w:val="22"/>
                    <w:szCs w:val="22"/>
                    <w:highlight w:val="white"/>
                  </w:rPr>
                </w:pPr>
                <w:r w:rsidDel="00000000" w:rsidR="00000000" w:rsidRPr="00000000">
                  <w:rPr>
                    <w:rtl w:val="0"/>
                  </w:rPr>
                </w:r>
              </w:p>
              <w:p w:rsidR="00000000" w:rsidDel="00000000" w:rsidP="00000000" w:rsidRDefault="00000000" w:rsidRPr="00000000" w14:paraId="0000006D">
                <w:pPr>
                  <w:spacing w:after="0" w:line="276" w:lineRule="auto"/>
                  <w:rPr>
                    <w:sz w:val="22"/>
                    <w:szCs w:val="22"/>
                    <w:highlight w:val="white"/>
                  </w:rPr>
                </w:pPr>
                <w:r w:rsidDel="00000000" w:rsidR="00000000" w:rsidRPr="00000000">
                  <w:rPr>
                    <w:rtl w:val="0"/>
                  </w:rPr>
                </w:r>
              </w:p>
              <w:p w:rsidR="00000000" w:rsidDel="00000000" w:rsidP="00000000" w:rsidRDefault="00000000" w:rsidRPr="00000000" w14:paraId="0000006E">
                <w:pPr>
                  <w:spacing w:after="0" w:line="276" w:lineRule="auto"/>
                  <w:rPr>
                    <w:sz w:val="22"/>
                    <w:szCs w:val="22"/>
                    <w:highlight w:val="white"/>
                  </w:rPr>
                </w:pPr>
                <w:r w:rsidDel="00000000" w:rsidR="00000000" w:rsidRPr="00000000">
                  <w:rPr>
                    <w:rtl w:val="0"/>
                  </w:rPr>
                </w:r>
              </w:p>
              <w:p w:rsidR="00000000" w:rsidDel="00000000" w:rsidP="00000000" w:rsidRDefault="00000000" w:rsidRPr="00000000" w14:paraId="0000006F">
                <w:pPr>
                  <w:spacing w:after="0" w:line="276" w:lineRule="auto"/>
                  <w:rPr>
                    <w:sz w:val="22"/>
                    <w:szCs w:val="22"/>
                    <w:highlight w:val="white"/>
                  </w:rPr>
                </w:pPr>
                <w:r w:rsidDel="00000000" w:rsidR="00000000" w:rsidRPr="00000000">
                  <w:rPr>
                    <w:sz w:val="22"/>
                    <w:szCs w:val="22"/>
                    <w:highlight w:val="white"/>
                    <w:rtl w:val="0"/>
                  </w:rPr>
                  <w:t xml:space="preserve">________________________________________</w:t>
                </w:r>
              </w:p>
              <w:p w:rsidR="00000000" w:rsidDel="00000000" w:rsidP="00000000" w:rsidRDefault="00000000" w:rsidRPr="00000000" w14:paraId="00000070">
                <w:pPr>
                  <w:spacing w:after="0" w:line="276" w:lineRule="auto"/>
                  <w:rPr>
                    <w:b w:val="1"/>
                    <w:sz w:val="22"/>
                    <w:szCs w:val="22"/>
                    <w:highlight w:val="white"/>
                  </w:rPr>
                </w:pPr>
                <w:r w:rsidDel="00000000" w:rsidR="00000000" w:rsidRPr="00000000">
                  <w:rPr>
                    <w:b w:val="1"/>
                    <w:sz w:val="22"/>
                    <w:szCs w:val="22"/>
                    <w:highlight w:val="white"/>
                    <w:rtl w:val="0"/>
                  </w:rPr>
                  <w:t xml:space="preserve">Teresa Maria Salgado de Magalhães</w:t>
                </w:r>
              </w:p>
              <w:p w:rsidR="00000000" w:rsidDel="00000000" w:rsidP="00000000" w:rsidRDefault="00000000" w:rsidRPr="00000000" w14:paraId="00000071">
                <w:pPr>
                  <w:spacing w:after="0" w:line="276" w:lineRule="auto"/>
                  <w:rPr>
                    <w:sz w:val="22"/>
                    <w:szCs w:val="22"/>
                    <w:highlight w:val="white"/>
                  </w:rPr>
                </w:pPr>
                <w:r w:rsidDel="00000000" w:rsidR="00000000" w:rsidRPr="00000000">
                  <w:rPr>
                    <w:sz w:val="22"/>
                    <w:szCs w:val="22"/>
                    <w:highlight w:val="white"/>
                    <w:rtl w:val="0"/>
                  </w:rPr>
                  <w:t xml:space="preserve">Gerente</w:t>
                </w:r>
              </w:p>
              <w:p w:rsidR="00000000" w:rsidDel="00000000" w:rsidP="00000000" w:rsidRDefault="00000000" w:rsidRPr="00000000" w14:paraId="00000072">
                <w:pPr>
                  <w:spacing w:after="0" w:line="276" w:lineRule="auto"/>
                  <w:rPr>
                    <w:sz w:val="22"/>
                    <w:szCs w:val="22"/>
                    <w:highlight w:val="white"/>
                  </w:rPr>
                </w:pPr>
                <w:r w:rsidDel="00000000" w:rsidR="00000000" w:rsidRPr="00000000">
                  <w:rPr>
                    <w:rtl w:val="0"/>
                  </w:rPr>
                </w:r>
              </w:p>
              <w:p w:rsidR="00000000" w:rsidDel="00000000" w:rsidP="00000000" w:rsidRDefault="00000000" w:rsidRPr="00000000" w14:paraId="00000073">
                <w:pPr>
                  <w:spacing w:after="0" w:line="276" w:lineRule="auto"/>
                  <w:rPr>
                    <w:sz w:val="22"/>
                    <w:szCs w:val="22"/>
                    <w:highlight w:val="white"/>
                  </w:rPr>
                </w:pPr>
                <w:r w:rsidDel="00000000" w:rsidR="00000000" w:rsidRPr="00000000">
                  <w:rPr>
                    <w:rtl w:val="0"/>
                  </w:rPr>
                </w:r>
              </w:p>
              <w:p w:rsidR="00000000" w:rsidDel="00000000" w:rsidP="00000000" w:rsidRDefault="00000000" w:rsidRPr="00000000" w14:paraId="00000074">
                <w:pPr>
                  <w:spacing w:after="0" w:line="276" w:lineRule="auto"/>
                  <w:rPr>
                    <w:sz w:val="22"/>
                    <w:szCs w:val="22"/>
                    <w:highlight w:val="white"/>
                  </w:rPr>
                </w:pPr>
                <w:r w:rsidDel="00000000" w:rsidR="00000000" w:rsidRPr="00000000">
                  <w:rPr>
                    <w:rtl w:val="0"/>
                  </w:rPr>
                </w:r>
              </w:p>
              <w:p w:rsidR="00000000" w:rsidDel="00000000" w:rsidP="00000000" w:rsidRDefault="00000000" w:rsidRPr="00000000" w14:paraId="00000075">
                <w:pPr>
                  <w:spacing w:after="0" w:line="276" w:lineRule="auto"/>
                  <w:rPr>
                    <w:sz w:val="22"/>
                    <w:szCs w:val="22"/>
                    <w:highlight w:val="white"/>
                  </w:rPr>
                </w:pPr>
                <w:r w:rsidDel="00000000" w:rsidR="00000000" w:rsidRPr="00000000">
                  <w:rPr>
                    <w:sz w:val="22"/>
                    <w:szCs w:val="22"/>
                    <w:highlight w:val="white"/>
                    <w:rtl w:val="0"/>
                  </w:rPr>
                  <w:t xml:space="preserve">________________________________________</w:t>
                </w:r>
              </w:p>
              <w:p w:rsidR="00000000" w:rsidDel="00000000" w:rsidP="00000000" w:rsidRDefault="00000000" w:rsidRPr="00000000" w14:paraId="00000076">
                <w:pPr>
                  <w:spacing w:line="276" w:lineRule="auto"/>
                  <w:rPr>
                    <w:sz w:val="22"/>
                    <w:szCs w:val="22"/>
                    <w:highlight w:val="white"/>
                  </w:rPr>
                </w:pPr>
                <w:r w:rsidDel="00000000" w:rsidR="00000000" w:rsidRPr="00000000">
                  <w:rPr>
                    <w:b w:val="1"/>
                    <w:sz w:val="22"/>
                    <w:szCs w:val="22"/>
                    <w:highlight w:val="white"/>
                    <w:rtl w:val="0"/>
                  </w:rPr>
                  <w:t xml:space="preserve">Daniela Neves Antunes</w:t>
                  <w:br w:type="textWrapping"/>
                </w:r>
                <w:r w:rsidDel="00000000" w:rsidR="00000000" w:rsidRPr="00000000">
                  <w:rPr>
                    <w:sz w:val="22"/>
                    <w:szCs w:val="22"/>
                    <w:highlight w:val="white"/>
                    <w:rtl w:val="0"/>
                  </w:rPr>
                  <w:t xml:space="preserve">Procuradora da Gerência</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rPr>
                    <w:sz w:val="22"/>
                    <w:szCs w:val="22"/>
                    <w:highlight w:val="white"/>
                  </w:rPr>
                </w:pPr>
                <w:r w:rsidDel="00000000" w:rsidR="00000000" w:rsidRPr="00000000">
                  <w:rPr>
                    <w:sz w:val="22"/>
                    <w:szCs w:val="22"/>
                    <w:highlight w:val="white"/>
                    <w:rtl w:val="0"/>
                  </w:rPr>
                  <w:t xml:space="preserve">Pela Segunda Outorgante</w:t>
                </w:r>
              </w:p>
              <w:p w:rsidR="00000000" w:rsidDel="00000000" w:rsidP="00000000" w:rsidRDefault="00000000" w:rsidRPr="00000000" w14:paraId="00000078">
                <w:pPr>
                  <w:spacing w:after="0" w:line="276" w:lineRule="auto"/>
                  <w:rPr>
                    <w:sz w:val="22"/>
                    <w:szCs w:val="22"/>
                    <w:highlight w:val="white"/>
                  </w:rPr>
                </w:pPr>
                <w:r w:rsidDel="00000000" w:rsidR="00000000" w:rsidRPr="00000000">
                  <w:rPr>
                    <w:rtl w:val="0"/>
                  </w:rPr>
                </w:r>
              </w:p>
              <w:p w:rsidR="00000000" w:rsidDel="00000000" w:rsidP="00000000" w:rsidRDefault="00000000" w:rsidRPr="00000000" w14:paraId="00000079">
                <w:pPr>
                  <w:spacing w:after="0" w:line="276" w:lineRule="auto"/>
                  <w:rPr>
                    <w:sz w:val="22"/>
                    <w:szCs w:val="22"/>
                    <w:highlight w:val="white"/>
                  </w:rPr>
                </w:pPr>
                <w:r w:rsidDel="00000000" w:rsidR="00000000" w:rsidRPr="00000000">
                  <w:rPr>
                    <w:rtl w:val="0"/>
                  </w:rPr>
                </w:r>
              </w:p>
              <w:p w:rsidR="00000000" w:rsidDel="00000000" w:rsidP="00000000" w:rsidRDefault="00000000" w:rsidRPr="00000000" w14:paraId="0000007A">
                <w:pPr>
                  <w:spacing w:after="0" w:line="276" w:lineRule="auto"/>
                  <w:rPr>
                    <w:sz w:val="22"/>
                    <w:szCs w:val="22"/>
                    <w:highlight w:val="white"/>
                  </w:rPr>
                </w:pPr>
                <w:r w:rsidDel="00000000" w:rsidR="00000000" w:rsidRPr="00000000">
                  <w:rPr>
                    <w:rtl w:val="0"/>
                  </w:rPr>
                </w:r>
              </w:p>
              <w:p w:rsidR="00000000" w:rsidDel="00000000" w:rsidP="00000000" w:rsidRDefault="00000000" w:rsidRPr="00000000" w14:paraId="0000007B">
                <w:pPr>
                  <w:spacing w:after="0" w:line="276" w:lineRule="auto"/>
                  <w:rPr>
                    <w:sz w:val="22"/>
                    <w:szCs w:val="22"/>
                    <w:highlight w:val="white"/>
                  </w:rPr>
                </w:pPr>
                <w:r w:rsidDel="00000000" w:rsidR="00000000" w:rsidRPr="00000000">
                  <w:rPr>
                    <w:sz w:val="22"/>
                    <w:szCs w:val="22"/>
                    <w:highlight w:val="white"/>
                    <w:rtl w:val="0"/>
                  </w:rPr>
                  <w:t xml:space="preserve">________________________________________</w:t>
                </w:r>
              </w:p>
              <w:p w:rsidR="00000000" w:rsidDel="00000000" w:rsidP="00000000" w:rsidRDefault="00000000" w:rsidRPr="00000000" w14:paraId="0000007C">
                <w:pPr>
                  <w:spacing w:after="0" w:line="276" w:lineRule="auto"/>
                  <w:rPr>
                    <w:b w:val="1"/>
                    <w:sz w:val="22"/>
                    <w:szCs w:val="22"/>
                    <w:shd w:fill="d9d9d9" w:val="clear"/>
                  </w:rPr>
                </w:pPr>
                <w:r w:rsidDel="00000000" w:rsidR="00000000" w:rsidRPr="00000000">
                  <w:rPr>
                    <w:b w:val="1"/>
                    <w:sz w:val="22"/>
                    <w:szCs w:val="22"/>
                    <w:shd w:fill="d9d9d9" w:val="clear"/>
                    <w:rtl w:val="0"/>
                  </w:rPr>
                  <w:t xml:space="preserve">[...]</w:t>
                </w:r>
              </w:p>
              <w:p w:rsidR="00000000" w:rsidDel="00000000" w:rsidP="00000000" w:rsidRDefault="00000000" w:rsidRPr="00000000" w14:paraId="0000007D">
                <w:pPr>
                  <w:spacing w:after="0" w:line="276" w:lineRule="auto"/>
                  <w:rPr>
                    <w:sz w:val="22"/>
                    <w:szCs w:val="22"/>
                    <w:shd w:fill="d9d9d9" w:val="clear"/>
                  </w:rPr>
                </w:pPr>
                <w:r w:rsidDel="00000000" w:rsidR="00000000" w:rsidRPr="00000000">
                  <w:rPr>
                    <w:sz w:val="22"/>
                    <w:szCs w:val="22"/>
                    <w:shd w:fill="d9d9d9" w:val="clear"/>
                    <w:rtl w:val="0"/>
                  </w:rPr>
                  <w:t xml:space="preserve">[...]</w:t>
                </w:r>
              </w:p>
              <w:p w:rsidR="00000000" w:rsidDel="00000000" w:rsidP="00000000" w:rsidRDefault="00000000" w:rsidRPr="00000000" w14:paraId="0000007E">
                <w:pPr>
                  <w:spacing w:after="0" w:line="276" w:lineRule="auto"/>
                  <w:rPr>
                    <w:sz w:val="22"/>
                    <w:szCs w:val="22"/>
                    <w:shd w:fill="d9d9d9" w:val="clear"/>
                  </w:rPr>
                </w:pPr>
                <w:r w:rsidDel="00000000" w:rsidR="00000000" w:rsidRPr="00000000">
                  <w:rPr>
                    <w:rtl w:val="0"/>
                  </w:rPr>
                </w:r>
              </w:p>
              <w:p w:rsidR="00000000" w:rsidDel="00000000" w:rsidP="00000000" w:rsidRDefault="00000000" w:rsidRPr="00000000" w14:paraId="0000007F">
                <w:pPr>
                  <w:spacing w:after="0" w:line="276" w:lineRule="auto"/>
                  <w:rPr>
                    <w:sz w:val="22"/>
                    <w:szCs w:val="22"/>
                    <w:shd w:fill="d9d9d9" w:val="clear"/>
                  </w:rPr>
                </w:pPr>
                <w:r w:rsidDel="00000000" w:rsidR="00000000" w:rsidRPr="00000000">
                  <w:rPr>
                    <w:rtl w:val="0"/>
                  </w:rPr>
                </w:r>
              </w:p>
              <w:p w:rsidR="00000000" w:rsidDel="00000000" w:rsidP="00000000" w:rsidRDefault="00000000" w:rsidRPr="00000000" w14:paraId="00000080">
                <w:pPr>
                  <w:spacing w:after="0" w:line="276" w:lineRule="auto"/>
                  <w:rPr>
                    <w:sz w:val="22"/>
                    <w:szCs w:val="22"/>
                    <w:highlight w:val="white"/>
                  </w:rPr>
                </w:pPr>
                <w:r w:rsidDel="00000000" w:rsidR="00000000" w:rsidRPr="00000000">
                  <w:rPr>
                    <w:rtl w:val="0"/>
                  </w:rPr>
                </w:r>
              </w:p>
              <w:p w:rsidR="00000000" w:rsidDel="00000000" w:rsidP="00000000" w:rsidRDefault="00000000" w:rsidRPr="00000000" w14:paraId="00000081">
                <w:pPr>
                  <w:spacing w:after="0" w:line="276" w:lineRule="auto"/>
                  <w:rPr>
                    <w:sz w:val="22"/>
                    <w:szCs w:val="22"/>
                    <w:highlight w:val="white"/>
                  </w:rPr>
                </w:pPr>
                <w:r w:rsidDel="00000000" w:rsidR="00000000" w:rsidRPr="00000000">
                  <w:rPr>
                    <w:sz w:val="22"/>
                    <w:szCs w:val="22"/>
                    <w:highlight w:val="white"/>
                    <w:rtl w:val="0"/>
                  </w:rPr>
                  <w:t xml:space="preserve">________________________________________</w:t>
                </w:r>
              </w:p>
              <w:p w:rsidR="00000000" w:rsidDel="00000000" w:rsidP="00000000" w:rsidRDefault="00000000" w:rsidRPr="00000000" w14:paraId="00000082">
                <w:pPr>
                  <w:spacing w:after="0" w:line="276" w:lineRule="auto"/>
                  <w:rPr>
                    <w:b w:val="1"/>
                    <w:sz w:val="22"/>
                    <w:szCs w:val="22"/>
                    <w:shd w:fill="d9d9d9" w:val="clear"/>
                  </w:rPr>
                </w:pPr>
                <w:r w:rsidDel="00000000" w:rsidR="00000000" w:rsidRPr="00000000">
                  <w:rPr>
                    <w:b w:val="1"/>
                    <w:sz w:val="22"/>
                    <w:szCs w:val="22"/>
                    <w:shd w:fill="d9d9d9" w:val="clear"/>
                    <w:rtl w:val="0"/>
                  </w:rPr>
                  <w:t xml:space="preserve">[...]</w:t>
                </w:r>
              </w:p>
              <w:p w:rsidR="00000000" w:rsidDel="00000000" w:rsidP="00000000" w:rsidRDefault="00000000" w:rsidRPr="00000000" w14:paraId="00000083">
                <w:pPr>
                  <w:spacing w:after="0" w:line="276" w:lineRule="auto"/>
                  <w:rPr>
                    <w:sz w:val="22"/>
                    <w:szCs w:val="22"/>
                    <w:shd w:fill="d9d9d9" w:val="clear"/>
                  </w:rPr>
                </w:pPr>
                <w:r w:rsidDel="00000000" w:rsidR="00000000" w:rsidRPr="00000000">
                  <w:rPr>
                    <w:sz w:val="22"/>
                    <w:szCs w:val="22"/>
                    <w:shd w:fill="d9d9d9" w:val="clear"/>
                    <w:rtl w:val="0"/>
                  </w:rPr>
                  <w:t xml:space="preserve">[...]</w:t>
                </w:r>
              </w:p>
            </w:tc>
          </w:tr>
        </w:tbl>
      </w:sdtContent>
    </w:sdt>
    <w:p w:rsidR="00000000" w:rsidDel="00000000" w:rsidP="00000000" w:rsidRDefault="00000000" w:rsidRPr="00000000" w14:paraId="00000084">
      <w:pPr>
        <w:pStyle w:val="Heading1"/>
        <w:jc w:val="center"/>
        <w:rPr>
          <w:highlight w:val="white"/>
        </w:rPr>
      </w:pPr>
      <w:bookmarkStart w:colFirst="0" w:colLast="0" w:name="_heading=h.2saxxa517pex" w:id="25"/>
      <w:bookmarkEnd w:id="2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jc w:val="center"/>
        <w:rPr>
          <w:highlight w:val="white"/>
        </w:rPr>
      </w:pPr>
      <w:bookmarkStart w:colFirst="0" w:colLast="0" w:name="_heading=h.tyh8d65pe2y1" w:id="26"/>
      <w:bookmarkEnd w:id="26"/>
      <w:r w:rsidDel="00000000" w:rsidR="00000000" w:rsidRPr="00000000">
        <w:rPr>
          <w:highlight w:val="white"/>
          <w:rtl w:val="0"/>
        </w:rPr>
        <w:t xml:space="preserve">Anexo I - Exemplos de Iniciativas de Investigação e Desenvolvimento</w:t>
      </w:r>
    </w:p>
    <w:p w:rsidR="00000000" w:rsidDel="00000000" w:rsidP="00000000" w:rsidRDefault="00000000" w:rsidRPr="00000000" w14:paraId="00000086">
      <w:pPr>
        <w:pStyle w:val="Heading2"/>
        <w:spacing w:after="160" w:line="276" w:lineRule="auto"/>
        <w:jc w:val="left"/>
        <w:rPr>
          <w:rFonts w:ascii="Barlow Condensed Medium" w:cs="Barlow Condensed Medium" w:eastAsia="Barlow Condensed Medium" w:hAnsi="Barlow Condensed Medium"/>
          <w:b w:val="0"/>
          <w:color w:val="009fda"/>
          <w:sz w:val="32"/>
          <w:szCs w:val="32"/>
          <w:highlight w:val="white"/>
        </w:rPr>
      </w:pPr>
      <w:bookmarkStart w:colFirst="0" w:colLast="0" w:name="_heading=h.1iiuvjtnszee" w:id="27"/>
      <w:bookmarkEnd w:id="27"/>
      <w:r w:rsidDel="00000000" w:rsidR="00000000" w:rsidRPr="00000000">
        <w:rPr>
          <w:rFonts w:ascii="Barlow Condensed Medium" w:cs="Barlow Condensed Medium" w:eastAsia="Barlow Condensed Medium" w:hAnsi="Barlow Condensed Medium"/>
          <w:b w:val="0"/>
          <w:color w:val="009fda"/>
          <w:sz w:val="32"/>
          <w:szCs w:val="32"/>
          <w:highlight w:val="white"/>
          <w:rtl w:val="0"/>
        </w:rPr>
        <w:t xml:space="preserve">Trends of drug use with suggested shortages and their alternatives across 41 real world data sources and 18 countries in Europe and North America</w:t>
      </w:r>
    </w:p>
    <w:p w:rsidR="00000000" w:rsidDel="00000000" w:rsidP="00000000" w:rsidRDefault="00000000" w:rsidRPr="00000000" w14:paraId="00000087">
      <w:pPr>
        <w:rPr>
          <w:sz w:val="22"/>
          <w:szCs w:val="22"/>
          <w:highlight w:val="white"/>
        </w:rPr>
      </w:pPr>
      <w:hyperlink r:id="rId9">
        <w:r w:rsidDel="00000000" w:rsidR="00000000" w:rsidRPr="00000000">
          <w:rPr>
            <w:color w:val="1155cc"/>
            <w:sz w:val="22"/>
            <w:szCs w:val="22"/>
            <w:highlight w:val="white"/>
            <w:u w:val="single"/>
            <w:rtl w:val="0"/>
          </w:rPr>
          <w:t xml:space="preserve">medrxiv.org/content/10.1101/2024.08.28.24312695v1</w:t>
        </w:r>
      </w:hyperlink>
      <w:r w:rsidDel="00000000" w:rsidR="00000000" w:rsidRPr="00000000">
        <w:rPr>
          <w:rtl w:val="0"/>
        </w:rPr>
      </w:r>
    </w:p>
    <w:p w:rsidR="00000000" w:rsidDel="00000000" w:rsidP="00000000" w:rsidRDefault="00000000" w:rsidRPr="00000000" w14:paraId="00000088">
      <w:pPr>
        <w:rPr>
          <w:sz w:val="22"/>
          <w:szCs w:val="22"/>
          <w:highlight w:val="white"/>
        </w:rPr>
      </w:pPr>
      <w:r w:rsidDel="00000000" w:rsidR="00000000" w:rsidRPr="00000000">
        <w:rPr>
          <w:b w:val="1"/>
          <w:sz w:val="22"/>
          <w:szCs w:val="22"/>
          <w:highlight w:val="white"/>
          <w:rtl w:val="0"/>
        </w:rPr>
        <w:t xml:space="preserve">Objective:</w:t>
      </w:r>
      <w:r w:rsidDel="00000000" w:rsidR="00000000" w:rsidRPr="00000000">
        <w:rPr>
          <w:sz w:val="22"/>
          <w:szCs w:val="22"/>
          <w:highlight w:val="white"/>
          <w:rtl w:val="0"/>
        </w:rPr>
        <w:t xml:space="preserve"> To describe incidence and prevalence of medicines with suggested shortages in at least one European country</w:t>
      </w:r>
    </w:p>
    <w:p w:rsidR="00000000" w:rsidDel="00000000" w:rsidP="00000000" w:rsidRDefault="00000000" w:rsidRPr="00000000" w14:paraId="00000089">
      <w:pPr>
        <w:rPr>
          <w:sz w:val="22"/>
          <w:szCs w:val="22"/>
          <w:highlight w:val="white"/>
        </w:rPr>
      </w:pPr>
      <w:r w:rsidDel="00000000" w:rsidR="00000000" w:rsidRPr="00000000">
        <w:rPr>
          <w:b w:val="1"/>
          <w:sz w:val="22"/>
          <w:szCs w:val="22"/>
          <w:highlight w:val="white"/>
          <w:rtl w:val="0"/>
        </w:rPr>
        <w:t xml:space="preserve">Design:</w:t>
      </w:r>
      <w:r w:rsidDel="00000000" w:rsidR="00000000" w:rsidRPr="00000000">
        <w:rPr>
          <w:sz w:val="22"/>
          <w:szCs w:val="22"/>
          <w:highlight w:val="white"/>
          <w:rtl w:val="0"/>
        </w:rPr>
        <w:t xml:space="preserve"> We performed a descriptive cohort study between 2010 in a network of databases which have mapped their data to the Observational Medical Outcomes Partnership (OMOP) Common Data Model (CDM).</w:t>
      </w:r>
    </w:p>
    <w:p w:rsidR="00000000" w:rsidDel="00000000" w:rsidP="00000000" w:rsidRDefault="00000000" w:rsidRPr="00000000" w14:paraId="0000008A">
      <w:pPr>
        <w:rPr>
          <w:sz w:val="22"/>
          <w:szCs w:val="22"/>
          <w:highlight w:val="white"/>
        </w:rPr>
      </w:pPr>
      <w:r w:rsidDel="00000000" w:rsidR="00000000" w:rsidRPr="00000000">
        <w:rPr>
          <w:b w:val="1"/>
          <w:sz w:val="22"/>
          <w:szCs w:val="22"/>
          <w:highlight w:val="white"/>
          <w:rtl w:val="0"/>
        </w:rPr>
        <w:t xml:space="preserve">Setting:</w:t>
      </w:r>
      <w:r w:rsidDel="00000000" w:rsidR="00000000" w:rsidRPr="00000000">
        <w:rPr>
          <w:sz w:val="22"/>
          <w:szCs w:val="22"/>
          <w:highlight w:val="white"/>
          <w:rtl w:val="0"/>
        </w:rPr>
        <w:t xml:space="preserve"> Setting included primary care, secondary care, and various disease registries whose previously collected data was leveraged.</w:t>
      </w:r>
    </w:p>
    <w:p w:rsidR="00000000" w:rsidDel="00000000" w:rsidP="00000000" w:rsidRDefault="00000000" w:rsidRPr="00000000" w14:paraId="0000008B">
      <w:pPr>
        <w:rPr>
          <w:sz w:val="22"/>
          <w:szCs w:val="22"/>
          <w:highlight w:val="white"/>
        </w:rPr>
      </w:pPr>
      <w:r w:rsidDel="00000000" w:rsidR="00000000" w:rsidRPr="00000000">
        <w:rPr>
          <w:b w:val="1"/>
          <w:sz w:val="22"/>
          <w:szCs w:val="22"/>
          <w:highlight w:val="white"/>
          <w:rtl w:val="0"/>
        </w:rPr>
        <w:t xml:space="preserve">Participants:</w:t>
      </w:r>
      <w:r w:rsidDel="00000000" w:rsidR="00000000" w:rsidRPr="00000000">
        <w:rPr>
          <w:sz w:val="22"/>
          <w:szCs w:val="22"/>
          <w:highlight w:val="white"/>
          <w:rtl w:val="0"/>
        </w:rPr>
        <w:t xml:space="preserve"> We included all patients with at least 365 days of history on the database.</w:t>
      </w:r>
    </w:p>
    <w:p w:rsidR="00000000" w:rsidDel="00000000" w:rsidP="00000000" w:rsidRDefault="00000000" w:rsidRPr="00000000" w14:paraId="0000008C">
      <w:pPr>
        <w:rPr>
          <w:sz w:val="22"/>
          <w:szCs w:val="22"/>
          <w:highlight w:val="white"/>
        </w:rPr>
      </w:pPr>
      <w:r w:rsidDel="00000000" w:rsidR="00000000" w:rsidRPr="00000000">
        <w:rPr>
          <w:b w:val="1"/>
          <w:sz w:val="22"/>
          <w:szCs w:val="22"/>
          <w:highlight w:val="white"/>
          <w:rtl w:val="0"/>
        </w:rPr>
        <w:t xml:space="preserve">Exposures:</w:t>
      </w:r>
      <w:r w:rsidDel="00000000" w:rsidR="00000000" w:rsidRPr="00000000">
        <w:rPr>
          <w:sz w:val="22"/>
          <w:szCs w:val="22"/>
          <w:highlight w:val="white"/>
          <w:rtl w:val="0"/>
        </w:rPr>
        <w:t xml:space="preserve"> We investigated all medicines with a suggested shortage in at least one European country for more than 365 days (n=18). Furthermore, we assessed their alternatives as well (n=39).</w:t>
      </w:r>
    </w:p>
    <w:p w:rsidR="00000000" w:rsidDel="00000000" w:rsidP="00000000" w:rsidRDefault="00000000" w:rsidRPr="00000000" w14:paraId="0000008D">
      <w:pPr>
        <w:rPr>
          <w:sz w:val="22"/>
          <w:szCs w:val="22"/>
          <w:highlight w:val="white"/>
        </w:rPr>
      </w:pPr>
      <w:r w:rsidDel="00000000" w:rsidR="00000000" w:rsidRPr="00000000">
        <w:rPr>
          <w:b w:val="1"/>
          <w:sz w:val="22"/>
          <w:szCs w:val="22"/>
          <w:highlight w:val="white"/>
          <w:rtl w:val="0"/>
        </w:rPr>
        <w:t xml:space="preserve">Main outcomes and measures:</w:t>
      </w:r>
      <w:r w:rsidDel="00000000" w:rsidR="00000000" w:rsidRPr="00000000">
        <w:rPr>
          <w:sz w:val="22"/>
          <w:szCs w:val="22"/>
          <w:highlight w:val="white"/>
          <w:rtl w:val="0"/>
        </w:rPr>
        <w:t xml:space="preserve"> We estimated annual incidence rates and period prevalence of all medicines with suggested shortages and their alternatives. A drop in incidence or prevalence of more than 33% after the shortage announced by the European Medicines Agency was considered confirmation of a shortage.</w:t>
      </w:r>
    </w:p>
    <w:p w:rsidR="00000000" w:rsidDel="00000000" w:rsidP="00000000" w:rsidRDefault="00000000" w:rsidRPr="00000000" w14:paraId="0000008E">
      <w:pPr>
        <w:rPr>
          <w:sz w:val="22"/>
          <w:szCs w:val="22"/>
          <w:highlight w:val="white"/>
        </w:rPr>
      </w:pPr>
      <w:r w:rsidDel="00000000" w:rsidR="00000000" w:rsidRPr="00000000">
        <w:rPr>
          <w:b w:val="1"/>
          <w:sz w:val="22"/>
          <w:szCs w:val="22"/>
          <w:highlight w:val="white"/>
          <w:rtl w:val="0"/>
        </w:rPr>
        <w:t xml:space="preserve">Results:</w:t>
      </w:r>
      <w:r w:rsidDel="00000000" w:rsidR="00000000" w:rsidRPr="00000000">
        <w:rPr>
          <w:sz w:val="22"/>
          <w:szCs w:val="22"/>
          <w:highlight w:val="white"/>
          <w:rtl w:val="0"/>
        </w:rPr>
        <w:t xml:space="preserve"> Among 41 databases from Europe and the United States, we observed shortages according to incidence for 12 drugs and shortages according to prevalence for 4 drugs. The drugs varenicline, cetrorelix, and amoxicillin plus clavulanate were in shortage in most countries.</w:t>
      </w:r>
    </w:p>
    <w:p w:rsidR="00000000" w:rsidDel="00000000" w:rsidP="00000000" w:rsidRDefault="00000000" w:rsidRPr="00000000" w14:paraId="0000008F">
      <w:pPr>
        <w:rPr>
          <w:sz w:val="22"/>
          <w:szCs w:val="22"/>
          <w:highlight w:val="white"/>
        </w:rPr>
      </w:pPr>
      <w:r w:rsidDel="00000000" w:rsidR="00000000" w:rsidRPr="00000000">
        <w:rPr>
          <w:b w:val="1"/>
          <w:sz w:val="22"/>
          <w:szCs w:val="22"/>
          <w:highlight w:val="white"/>
          <w:rtl w:val="0"/>
        </w:rPr>
        <w:t xml:space="preserve">Conclusion and relevance:</w:t>
      </w:r>
      <w:r w:rsidDel="00000000" w:rsidR="00000000" w:rsidRPr="00000000">
        <w:rPr>
          <w:sz w:val="22"/>
          <w:szCs w:val="22"/>
          <w:highlight w:val="white"/>
          <w:rtl w:val="0"/>
        </w:rPr>
        <w:t xml:space="preserve"> We compiled and analysed data of annual incidence and prevalence of 57 medicines among 41 databases in Europe and the United States. We detected shortages of several drugs and suggested monitoring and stewardship for drug availability.</w:t>
      </w:r>
    </w:p>
    <w:p w:rsidR="00000000" w:rsidDel="00000000" w:rsidP="00000000" w:rsidRDefault="00000000" w:rsidRPr="00000000" w14:paraId="00000090">
      <w:pPr>
        <w:pStyle w:val="Heading2"/>
        <w:spacing w:after="160" w:before="0" w:line="276" w:lineRule="auto"/>
        <w:jc w:val="left"/>
        <w:rPr>
          <w:rFonts w:ascii="Barlow Condensed Medium" w:cs="Barlow Condensed Medium" w:eastAsia="Barlow Condensed Medium" w:hAnsi="Barlow Condensed Medium"/>
          <w:b w:val="0"/>
          <w:color w:val="009fda"/>
          <w:sz w:val="32"/>
          <w:szCs w:val="32"/>
          <w:highlight w:val="white"/>
        </w:rPr>
      </w:pPr>
      <w:bookmarkStart w:colFirst="0" w:colLast="0" w:name="_heading=h.mygngs9pxy6p" w:id="28"/>
      <w:bookmarkEnd w:id="28"/>
      <w:r w:rsidDel="00000000" w:rsidR="00000000" w:rsidRPr="00000000">
        <w:rPr>
          <w:rFonts w:ascii="Barlow Condensed Medium" w:cs="Barlow Condensed Medium" w:eastAsia="Barlow Condensed Medium" w:hAnsi="Barlow Condensed Medium"/>
          <w:b w:val="0"/>
          <w:color w:val="009fda"/>
          <w:sz w:val="32"/>
          <w:szCs w:val="32"/>
          <w:highlight w:val="white"/>
          <w:rtl w:val="0"/>
        </w:rPr>
        <w:t xml:space="preserve">Can Breastfeeding Prevent Long-Term Overweight and Obesity in Children?</w:t>
        <w:br w:type="textWrapping"/>
        <w:t xml:space="preserve">A Population-Based Cohort Study</w:t>
      </w:r>
    </w:p>
    <w:p w:rsidR="00000000" w:rsidDel="00000000" w:rsidP="00000000" w:rsidRDefault="00000000" w:rsidRPr="00000000" w14:paraId="00000091">
      <w:pPr>
        <w:rPr>
          <w:sz w:val="22"/>
          <w:szCs w:val="22"/>
          <w:highlight w:val="white"/>
        </w:rPr>
      </w:pPr>
      <w:hyperlink r:id="rId10">
        <w:r w:rsidDel="00000000" w:rsidR="00000000" w:rsidRPr="00000000">
          <w:rPr>
            <w:color w:val="1155cc"/>
            <w:sz w:val="22"/>
            <w:szCs w:val="22"/>
            <w:highlight w:val="white"/>
            <w:u w:val="single"/>
            <w:rtl w:val="0"/>
          </w:rPr>
          <w:t xml:space="preserve">mdpi.com/2072-6643/16/16/2728</w:t>
        </w:r>
      </w:hyperlink>
      <w:r w:rsidDel="00000000" w:rsidR="00000000" w:rsidRPr="00000000">
        <w:rPr>
          <w:rtl w:val="0"/>
        </w:rPr>
      </w:r>
    </w:p>
    <w:p w:rsidR="00000000" w:rsidDel="00000000" w:rsidP="00000000" w:rsidRDefault="00000000" w:rsidRPr="00000000" w14:paraId="00000092">
      <w:pPr>
        <w:rPr>
          <w:sz w:val="22"/>
          <w:szCs w:val="22"/>
          <w:highlight w:val="white"/>
        </w:rPr>
      </w:pPr>
      <w:r w:rsidDel="00000000" w:rsidR="00000000" w:rsidRPr="00000000">
        <w:rPr>
          <w:sz w:val="22"/>
          <w:szCs w:val="22"/>
          <w:highlight w:val="white"/>
          <w:rtl w:val="0"/>
        </w:rPr>
        <w:t xml:space="preserve">The aims of this study were to assess the impact of exclusive breastfeeding up to 6 months of age on reducing the incidence of overweight and obesity in children up to 10 years of age and to estimate the annual incidence of obesity and overweight in the study population. Our retrospective cohort analysis using electronic health records included children from zero to ten years old, born between 1 January 2006 and 31 December 2022, followed up at the Unidade Local de Saúde de Matosinhos (ULSM). Information on their comorbidity history was collected, and positive or negative control results were defined. In the first year of life, around 29% of the children on exclusive breastfeeding were obese and 20% were overweight. This trend was reversed by the age of 9. Asthma and allergic rhinitis were used as positive control outcomes and allergic dermatitis as a negative control outcome. There seems to be no relationship between exclusive and non-exclusive breastfeeding and the development of overweight or obesity at the age of 10. The results showed that breastfeeding is associated with a lower risk of asthma in the future.</w:t>
      </w: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spacing w:after="160" w:before="0" w:line="276" w:lineRule="auto"/>
        <w:jc w:val="left"/>
        <w:rPr>
          <w:rFonts w:ascii="Barlow Condensed Medium" w:cs="Barlow Condensed Medium" w:eastAsia="Barlow Condensed Medium" w:hAnsi="Barlow Condensed Medium"/>
          <w:b w:val="0"/>
          <w:color w:val="009fda"/>
          <w:sz w:val="32"/>
          <w:szCs w:val="32"/>
          <w:highlight w:val="white"/>
        </w:rPr>
      </w:pPr>
      <w:bookmarkStart w:colFirst="0" w:colLast="0" w:name="_heading=h.3i84mecu5tvn" w:id="29"/>
      <w:bookmarkEnd w:id="29"/>
      <w:r w:rsidDel="00000000" w:rsidR="00000000" w:rsidRPr="00000000">
        <w:rPr>
          <w:rFonts w:ascii="Barlow Condensed Medium" w:cs="Barlow Condensed Medium" w:eastAsia="Barlow Condensed Medium" w:hAnsi="Barlow Condensed Medium"/>
          <w:b w:val="0"/>
          <w:color w:val="009fda"/>
          <w:sz w:val="32"/>
          <w:szCs w:val="32"/>
          <w:highlight w:val="white"/>
          <w:rtl w:val="0"/>
        </w:rPr>
        <w:t xml:space="preserve">Health Outcomes in Women Victims of Intimate Partner Violence: </w:t>
        <w:br w:type="textWrapping"/>
        <w:t xml:space="preserve">A 20-Year Real-World Study</w:t>
      </w:r>
    </w:p>
    <w:p w:rsidR="00000000" w:rsidDel="00000000" w:rsidP="00000000" w:rsidRDefault="00000000" w:rsidRPr="00000000" w14:paraId="00000094">
      <w:pPr>
        <w:rPr>
          <w:sz w:val="22"/>
          <w:szCs w:val="22"/>
          <w:highlight w:val="white"/>
        </w:rPr>
      </w:pPr>
      <w:hyperlink r:id="rId11">
        <w:r w:rsidDel="00000000" w:rsidR="00000000" w:rsidRPr="00000000">
          <w:rPr>
            <w:color w:val="1155cc"/>
            <w:sz w:val="22"/>
            <w:szCs w:val="22"/>
            <w:highlight w:val="white"/>
            <w:u w:val="single"/>
            <w:rtl w:val="0"/>
          </w:rPr>
          <w:t xml:space="preserve">mdpi.com/1660-4601/19/24/17035</w:t>
        </w:r>
      </w:hyperlink>
      <w:r w:rsidDel="00000000" w:rsidR="00000000" w:rsidRPr="00000000">
        <w:rPr>
          <w:rtl w:val="0"/>
        </w:rPr>
      </w:r>
    </w:p>
    <w:p w:rsidR="00000000" w:rsidDel="00000000" w:rsidP="00000000" w:rsidRDefault="00000000" w:rsidRPr="00000000" w14:paraId="00000095">
      <w:pPr>
        <w:rPr>
          <w:sz w:val="22"/>
          <w:szCs w:val="22"/>
          <w:highlight w:val="white"/>
        </w:rPr>
      </w:pPr>
      <w:r w:rsidDel="00000000" w:rsidR="00000000" w:rsidRPr="00000000">
        <w:rPr>
          <w:sz w:val="22"/>
          <w:szCs w:val="22"/>
          <w:highlight w:val="white"/>
          <w:rtl w:val="0"/>
        </w:rPr>
        <w:t xml:space="preserve">Intimate partner violence is characterized by violent actions against a person perpetrated by his or her former or current partner, regardless of cohabitation. It most frequently affects women, and one of its most relevant outcomes is the health problems associated with the experience of repeated violence. Thus, the main objective of this study is to analyse the prevalence of health problems among women for whom there was a medical suspicion of being victims of intimate partner violence. The specific objectives are to analyse the prevalence of (a) health risk behaviours; (b) traumatic injuries and intoxications; (c) mental health conditions; and (d) somatic diseases. We conducted a real-world, retrospective, observational, cross-sectional and multicentric study based on secondary data analyses of electronic health records and health care register data in patients of the Local Healthcare Unit of Matosinhos (between 2001 and 2021). The identified data were extracted from electronic health records corresponding to the Health Insurance Portability and Accountability Act Safe Harbor Standard. Information was obtained considering the International Classification of Diseases, the International Classification of Primary Care, and the Anatomical Therapeutic Chemical Classification System, as well as clinical notes (according to previously defined keywords). Considering all information sources, 1676 cases were obtained. This number means that just 2% of the women observed at this health care unit were suspected of being victims of intimate partner violence, which is far from the known statistics. However, we found much higher rates of all health risk behaviours, trauma and intoxication cases, mental health conditions, and somatic disorders we looked for, when compared to the general population. Early detection of these cases is mandatory to prevent or minimize their related health outcomes.</w:t>
      </w:r>
    </w:p>
    <w:p w:rsidR="00000000" w:rsidDel="00000000" w:rsidP="00000000" w:rsidRDefault="00000000" w:rsidRPr="00000000" w14:paraId="00000096">
      <w:pPr>
        <w:keepNext w:val="1"/>
        <w:keepLines w:val="1"/>
        <w:spacing w:before="360" w:line="276" w:lineRule="auto"/>
        <w:jc w:val="left"/>
        <w:rPr>
          <w:rFonts w:ascii="Barlow Condensed Medium" w:cs="Barlow Condensed Medium" w:eastAsia="Barlow Condensed Medium" w:hAnsi="Barlow Condensed Medium"/>
          <w:color w:val="009fda"/>
          <w:sz w:val="32"/>
          <w:szCs w:val="3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spacing w:after="160" w:before="0" w:line="276" w:lineRule="auto"/>
        <w:jc w:val="left"/>
        <w:rPr>
          <w:rFonts w:ascii="Barlow Condensed Medium" w:cs="Barlow Condensed Medium" w:eastAsia="Barlow Condensed Medium" w:hAnsi="Barlow Condensed Medium"/>
          <w:b w:val="0"/>
          <w:color w:val="009fda"/>
          <w:sz w:val="32"/>
          <w:szCs w:val="32"/>
          <w:highlight w:val="white"/>
        </w:rPr>
      </w:pPr>
      <w:bookmarkStart w:colFirst="0" w:colLast="0" w:name="_heading=h.pejewaivm6y1" w:id="30"/>
      <w:bookmarkEnd w:id="30"/>
      <w:r w:rsidDel="00000000" w:rsidR="00000000" w:rsidRPr="00000000">
        <w:rPr>
          <w:rFonts w:ascii="Barlow Condensed Medium" w:cs="Barlow Condensed Medium" w:eastAsia="Barlow Condensed Medium" w:hAnsi="Barlow Condensed Medium"/>
          <w:b w:val="0"/>
          <w:color w:val="009fda"/>
          <w:sz w:val="32"/>
          <w:szCs w:val="32"/>
          <w:highlight w:val="white"/>
          <w:rtl w:val="0"/>
        </w:rPr>
        <w:t xml:space="preserve">Missed opportunities in the diagnosis of heart failure: a real-world assessment</w:t>
      </w:r>
    </w:p>
    <w:p w:rsidR="00000000" w:rsidDel="00000000" w:rsidP="00000000" w:rsidRDefault="00000000" w:rsidRPr="00000000" w14:paraId="00000098">
      <w:pPr>
        <w:rPr>
          <w:sz w:val="22"/>
          <w:szCs w:val="22"/>
          <w:highlight w:val="white"/>
        </w:rPr>
      </w:pPr>
      <w:hyperlink r:id="rId12">
        <w:r w:rsidDel="00000000" w:rsidR="00000000" w:rsidRPr="00000000">
          <w:rPr>
            <w:color w:val="1155cc"/>
            <w:sz w:val="22"/>
            <w:szCs w:val="22"/>
            <w:highlight w:val="white"/>
            <w:u w:val="single"/>
            <w:rtl w:val="0"/>
          </w:rPr>
          <w:t xml:space="preserve">onlinelibrary.wiley.com/doi/full/10.1002/ehf2.14531</w:t>
        </w:r>
      </w:hyperlink>
      <w:r w:rsidDel="00000000" w:rsidR="00000000" w:rsidRPr="00000000">
        <w:rPr>
          <w:rtl w:val="0"/>
        </w:rPr>
      </w:r>
    </w:p>
    <w:p w:rsidR="00000000" w:rsidDel="00000000" w:rsidP="00000000" w:rsidRDefault="00000000" w:rsidRPr="00000000" w14:paraId="00000099">
      <w:pPr>
        <w:rPr>
          <w:sz w:val="22"/>
          <w:szCs w:val="22"/>
          <w:highlight w:val="white"/>
        </w:rPr>
      </w:pPr>
      <w:r w:rsidDel="00000000" w:rsidR="00000000" w:rsidRPr="00000000">
        <w:rPr>
          <w:b w:val="1"/>
          <w:sz w:val="22"/>
          <w:szCs w:val="22"/>
          <w:highlight w:val="white"/>
          <w:rtl w:val="0"/>
        </w:rPr>
        <w:t xml:space="preserve">Aims: </w:t>
      </w:r>
      <w:r w:rsidDel="00000000" w:rsidR="00000000" w:rsidRPr="00000000">
        <w:rPr>
          <w:sz w:val="22"/>
          <w:szCs w:val="22"/>
          <w:highlight w:val="white"/>
          <w:rtl w:val="0"/>
        </w:rPr>
        <w:t xml:space="preserve">Heart failure (HF) is a leading cause of hospitalization worldwide. An early HF diagnosis is key to reducing hospitalizations. We used electronic health records (EHRs) to characterize HF pathways at the primary care physician (PCP) level prior to a first HF hospitalization (hHF). This study aimed to identify missed opportunities for HF diagnosis and management at the PCP level before a first hHF.</w:t>
      </w:r>
    </w:p>
    <w:p w:rsidR="00000000" w:rsidDel="00000000" w:rsidP="00000000" w:rsidRDefault="00000000" w:rsidRPr="00000000" w14:paraId="0000009A">
      <w:pPr>
        <w:rPr>
          <w:sz w:val="22"/>
          <w:szCs w:val="22"/>
          <w:highlight w:val="white"/>
        </w:rPr>
      </w:pPr>
      <w:r w:rsidDel="00000000" w:rsidR="00000000" w:rsidRPr="00000000">
        <w:rPr>
          <w:b w:val="1"/>
          <w:sz w:val="22"/>
          <w:szCs w:val="22"/>
          <w:highlight w:val="white"/>
          <w:rtl w:val="0"/>
        </w:rPr>
        <w:t xml:space="preserve">Methods and results: </w:t>
      </w:r>
      <w:r w:rsidDel="00000000" w:rsidR="00000000" w:rsidRPr="00000000">
        <w:rPr>
          <w:sz w:val="22"/>
          <w:szCs w:val="22"/>
          <w:highlight w:val="white"/>
          <w:rtl w:val="0"/>
        </w:rPr>
        <w:t xml:space="preserve">This cohort study used EHRs of a large health care organization in Portugal. Patients with incident hHF between 2017 and 2020 were identified. Missed opportunities were defined by the absence of any of the following work-up in the 6 months after signs or symptoms had been recorded: lab results and electrocardiogram, natriuretic peptides, echocardiogram, referral to HF specialist, or HF medication initiation. A total of 2436 patients with a first hHF were identified. The median (interquartile range) age at the time of hospitalization was 81 (14) years, and 1361 (56%) were women. Most patients were treated with cardiovascular drugs prior or at index event. A total of 720 (30%) patients had records of HF signs or symptoms, 94% (n = 674) within 6 months prior to hHF. Among patients with recorded HF signs or symptoms, 410 (57%) had clinical management considered adequate before signs and symptoms were recorded. Of the 310 remaining patients, 155 (50%) had a follow-up that was considered inadequate.</w:t>
      </w:r>
    </w:p>
    <w:p w:rsidR="00000000" w:rsidDel="00000000" w:rsidP="00000000" w:rsidRDefault="00000000" w:rsidRPr="00000000" w14:paraId="0000009B">
      <w:pPr>
        <w:rPr>
          <w:sz w:val="22"/>
          <w:szCs w:val="22"/>
          <w:highlight w:val="white"/>
        </w:rPr>
      </w:pPr>
      <w:r w:rsidDel="00000000" w:rsidR="00000000" w:rsidRPr="00000000">
        <w:rPr>
          <w:b w:val="1"/>
          <w:sz w:val="22"/>
          <w:szCs w:val="22"/>
          <w:highlight w:val="white"/>
          <w:rtl w:val="0"/>
        </w:rPr>
        <w:t xml:space="preserve">Conclusions: </w:t>
      </w:r>
      <w:r w:rsidDel="00000000" w:rsidR="00000000" w:rsidRPr="00000000">
        <w:rPr>
          <w:sz w:val="22"/>
          <w:szCs w:val="22"/>
          <w:highlight w:val="white"/>
          <w:rtl w:val="0"/>
        </w:rPr>
        <w:t xml:space="preserve">Relatively few patients with a first hHF had primary care records of signs or symptoms prior to admission. Of these, nearly half had inadequate management considering diagnosis and treatment. These data suggest the need to improve PCP HF awareness.</w:t>
      </w:r>
    </w:p>
    <w:p w:rsidR="00000000" w:rsidDel="00000000" w:rsidP="00000000" w:rsidRDefault="00000000" w:rsidRPr="00000000" w14:paraId="0000009C">
      <w:pPr>
        <w:rPr>
          <w:sz w:val="22"/>
          <w:szCs w:val="2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spacing w:after="160" w:before="0" w:line="276" w:lineRule="auto"/>
        <w:jc w:val="left"/>
        <w:rPr>
          <w:rFonts w:ascii="Barlow Condensed Medium" w:cs="Barlow Condensed Medium" w:eastAsia="Barlow Condensed Medium" w:hAnsi="Barlow Condensed Medium"/>
          <w:b w:val="0"/>
          <w:color w:val="009fda"/>
          <w:sz w:val="32"/>
          <w:szCs w:val="32"/>
          <w:highlight w:val="white"/>
        </w:rPr>
      </w:pPr>
      <w:bookmarkStart w:colFirst="0" w:colLast="0" w:name="_heading=h.u0fzdahanx7a" w:id="31"/>
      <w:bookmarkEnd w:id="31"/>
      <w:r w:rsidDel="00000000" w:rsidR="00000000" w:rsidRPr="00000000">
        <w:rPr>
          <w:rFonts w:ascii="Barlow Condensed Medium" w:cs="Barlow Condensed Medium" w:eastAsia="Barlow Condensed Medium" w:hAnsi="Barlow Condensed Medium"/>
          <w:b w:val="0"/>
          <w:color w:val="009fda"/>
          <w:sz w:val="32"/>
          <w:szCs w:val="32"/>
          <w:highlight w:val="white"/>
          <w:rtl w:val="0"/>
        </w:rPr>
        <w:t xml:space="preserve">Patients’ health care resources utilization and costs estimation across cardiovascular risk categories: insights from the LATINO study</w:t>
      </w:r>
    </w:p>
    <w:p w:rsidR="00000000" w:rsidDel="00000000" w:rsidP="00000000" w:rsidRDefault="00000000" w:rsidRPr="00000000" w14:paraId="0000009E">
      <w:pPr>
        <w:rPr>
          <w:sz w:val="22"/>
          <w:szCs w:val="22"/>
          <w:highlight w:val="white"/>
        </w:rPr>
      </w:pPr>
      <w:hyperlink r:id="rId13">
        <w:r w:rsidDel="00000000" w:rsidR="00000000" w:rsidRPr="00000000">
          <w:rPr>
            <w:color w:val="1155cc"/>
            <w:sz w:val="22"/>
            <w:szCs w:val="22"/>
            <w:highlight w:val="white"/>
            <w:u w:val="single"/>
            <w:rtl w:val="0"/>
          </w:rPr>
          <w:t xml:space="preserve">healtheconomicsreview.biomedcentral.com/articles/10.1186/s13561-024-00550-2</w:t>
        </w:r>
      </w:hyperlink>
      <w:r w:rsidDel="00000000" w:rsidR="00000000" w:rsidRPr="00000000">
        <w:rPr>
          <w:rtl w:val="0"/>
        </w:rPr>
      </w:r>
    </w:p>
    <w:p w:rsidR="00000000" w:rsidDel="00000000" w:rsidP="00000000" w:rsidRDefault="00000000" w:rsidRPr="00000000" w14:paraId="0000009F">
      <w:pPr>
        <w:rPr>
          <w:sz w:val="22"/>
          <w:szCs w:val="22"/>
          <w:highlight w:val="white"/>
        </w:rPr>
      </w:pPr>
      <w:r w:rsidDel="00000000" w:rsidR="00000000" w:rsidRPr="00000000">
        <w:rPr>
          <w:b w:val="1"/>
          <w:sz w:val="22"/>
          <w:szCs w:val="22"/>
          <w:highlight w:val="white"/>
          <w:rtl w:val="0"/>
        </w:rPr>
        <w:t xml:space="preserve">Background: </w:t>
      </w:r>
      <w:r w:rsidDel="00000000" w:rsidR="00000000" w:rsidRPr="00000000">
        <w:rPr>
          <w:sz w:val="22"/>
          <w:szCs w:val="22"/>
          <w:highlight w:val="white"/>
          <w:rtl w:val="0"/>
        </w:rPr>
        <w:t xml:space="preserve">Atherosclerotic Cardiovascular Disease (ASCVD) is a global public health concern. This study aimed to estimate the healthcare resource utilization (HRU) and costs stratified by cardiovascular disease (CVD) risk categories using real-world evidence, in a regional population in Portugal.</w:t>
      </w:r>
    </w:p>
    <w:p w:rsidR="00000000" w:rsidDel="00000000" w:rsidP="00000000" w:rsidRDefault="00000000" w:rsidRPr="00000000" w14:paraId="000000A0">
      <w:pPr>
        <w:rPr>
          <w:sz w:val="22"/>
          <w:szCs w:val="22"/>
          <w:highlight w:val="white"/>
        </w:rPr>
      </w:pPr>
      <w:r w:rsidDel="00000000" w:rsidR="00000000" w:rsidRPr="00000000">
        <w:rPr>
          <w:b w:val="1"/>
          <w:sz w:val="22"/>
          <w:szCs w:val="22"/>
          <w:highlight w:val="white"/>
          <w:rtl w:val="0"/>
        </w:rPr>
        <w:t xml:space="preserve">Methods: </w:t>
      </w:r>
      <w:sdt>
        <w:sdtPr>
          <w:tag w:val="goog_rdk_2"/>
        </w:sdtPr>
        <w:sdtContent>
          <w:r w:rsidDel="00000000" w:rsidR="00000000" w:rsidRPr="00000000">
            <w:rPr>
              <w:rFonts w:ascii="Nova Mono" w:cs="Nova Mono" w:eastAsia="Nova Mono" w:hAnsi="Nova Mono"/>
              <w:sz w:val="22"/>
              <w:szCs w:val="22"/>
              <w:highlight w:val="white"/>
              <w:rtl w:val="0"/>
            </w:rPr>
            <w:t xml:space="preserve">This is a retrospective observational study, using data from Electronic Health Records between 2017 and 2021. Patients aged ≥ 40 years, and with at least one general practitioner (GP) appointment in the 3 years before 31st of December 2019, were included. CVD risk categories were determined based on 2021 ESC prevention guidelines. HRU encompassed hospital data (hospitalizations, outpatient and emergency room visits) and GP appointments. Total direct costs per patient were calculated based on the reference cost of the Portuguese legislation for payment methodology on Diagnosis-Related Groups (DRGs).</w:t>
          </w:r>
        </w:sdtContent>
      </w:sdt>
    </w:p>
    <w:p w:rsidR="00000000" w:rsidDel="00000000" w:rsidP="00000000" w:rsidRDefault="00000000" w:rsidRPr="00000000" w14:paraId="000000A1">
      <w:pPr>
        <w:rPr>
          <w:sz w:val="22"/>
          <w:szCs w:val="22"/>
          <w:highlight w:val="white"/>
        </w:rPr>
      </w:pPr>
      <w:r w:rsidDel="00000000" w:rsidR="00000000" w:rsidRPr="00000000">
        <w:rPr>
          <w:b w:val="1"/>
          <w:sz w:val="22"/>
          <w:szCs w:val="22"/>
          <w:highlight w:val="white"/>
          <w:rtl w:val="0"/>
        </w:rPr>
        <w:t xml:space="preserve">Results: </w:t>
      </w:r>
      <w:sdt>
        <w:sdtPr>
          <w:tag w:val="goog_rdk_3"/>
        </w:sdtPr>
        <w:sdtContent>
          <w:r w:rsidDel="00000000" w:rsidR="00000000" w:rsidRPr="00000000">
            <w:rPr>
              <w:rFonts w:ascii="PT Mono" w:cs="PT Mono" w:eastAsia="PT Mono" w:hAnsi="PT Mono"/>
              <w:sz w:val="22"/>
              <w:szCs w:val="22"/>
              <w:highlight w:val="white"/>
              <w:rtl w:val="0"/>
            </w:rPr>
            <w:t xml:space="preserve">Analysis of 3 122 695 episodes, revealed consistent HRU and costs across the five years. Very high-risk patients, showed higher HRU, particularly in hospital admissions. Costs tended to rise with higher CVD risk level. Very high-risk patients with ASCVD had higher costs for hospital admissions, while low-to-moderate risk patients had higher costs for GP visits. Despite a smaller proportion, very high-risk patients with prior ASCVD represent the highest costs per patient across healthcare settings (from 115€ in emergency visits to 2 673€ in hospitalizations), followed by very high-risk patients without prior ASCVD (ASCVD-risk equivalents).</w:t>
          </w:r>
        </w:sdtContent>
      </w:sdt>
    </w:p>
    <w:p w:rsidR="00000000" w:rsidDel="00000000" w:rsidP="00000000" w:rsidRDefault="00000000" w:rsidRPr="00000000" w14:paraId="000000A2">
      <w:pPr>
        <w:rPr>
          <w:sz w:val="22"/>
          <w:szCs w:val="22"/>
          <w:highlight w:val="white"/>
        </w:rPr>
      </w:pPr>
      <w:r w:rsidDel="00000000" w:rsidR="00000000" w:rsidRPr="00000000">
        <w:rPr>
          <w:b w:val="1"/>
          <w:sz w:val="22"/>
          <w:szCs w:val="22"/>
          <w:highlight w:val="white"/>
          <w:rtl w:val="0"/>
        </w:rPr>
        <w:t xml:space="preserve">Conclusion: </w:t>
      </w:r>
      <w:r w:rsidDel="00000000" w:rsidR="00000000" w:rsidRPr="00000000">
        <w:rPr>
          <w:sz w:val="22"/>
          <w:szCs w:val="22"/>
          <w:highlight w:val="white"/>
          <w:rtl w:val="0"/>
        </w:rPr>
        <w:t xml:space="preserve">This study revealed a substantial HRU and costs by patients with very high CVD risk, particularly those with prior ASCVD. Moreover, ASCVD-risk equivalents emerge as notable consumers, emphasizing the importance of risk assessment and preventive measures in cost-effective management of these patients.</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spacing w:after="160" w:before="0" w:line="276" w:lineRule="auto"/>
        <w:jc w:val="left"/>
        <w:rPr>
          <w:rFonts w:ascii="Barlow Condensed Medium" w:cs="Barlow Condensed Medium" w:eastAsia="Barlow Condensed Medium" w:hAnsi="Barlow Condensed Medium"/>
          <w:b w:val="0"/>
          <w:color w:val="009fda"/>
          <w:sz w:val="32"/>
          <w:szCs w:val="32"/>
          <w:highlight w:val="white"/>
        </w:rPr>
      </w:pPr>
      <w:bookmarkStart w:colFirst="0" w:colLast="0" w:name="_heading=h.x5ch65tyykoo" w:id="32"/>
      <w:bookmarkEnd w:id="32"/>
      <w:r w:rsidDel="00000000" w:rsidR="00000000" w:rsidRPr="00000000">
        <w:rPr>
          <w:rFonts w:ascii="Barlow Condensed Medium" w:cs="Barlow Condensed Medium" w:eastAsia="Barlow Condensed Medium" w:hAnsi="Barlow Condensed Medium"/>
          <w:b w:val="0"/>
          <w:color w:val="009fda"/>
          <w:sz w:val="32"/>
          <w:szCs w:val="32"/>
          <w:highlight w:val="white"/>
          <w:rtl w:val="0"/>
        </w:rPr>
        <w:t xml:space="preserve">Sex differences in LDL-C control in a primary care population:</w:t>
        <w:br w:type="textWrapping"/>
        <w:t xml:space="preserve">The PORTRAIT-DYS study</w:t>
      </w:r>
    </w:p>
    <w:p w:rsidR="00000000" w:rsidDel="00000000" w:rsidP="00000000" w:rsidRDefault="00000000" w:rsidRPr="00000000" w14:paraId="000000A4">
      <w:pPr>
        <w:rPr>
          <w:sz w:val="22"/>
          <w:szCs w:val="22"/>
          <w:highlight w:val="white"/>
        </w:rPr>
      </w:pPr>
      <w:hyperlink r:id="rId14">
        <w:r w:rsidDel="00000000" w:rsidR="00000000" w:rsidRPr="00000000">
          <w:rPr>
            <w:color w:val="1155cc"/>
            <w:sz w:val="22"/>
            <w:szCs w:val="22"/>
            <w:highlight w:val="white"/>
            <w:u w:val="single"/>
            <w:rtl w:val="0"/>
          </w:rPr>
          <w:t xml:space="preserve">sciencedirect.com/science/article/pii/S0021915023002113</w:t>
        </w:r>
      </w:hyperlink>
      <w:r w:rsidDel="00000000" w:rsidR="00000000" w:rsidRPr="00000000">
        <w:rPr>
          <w:rtl w:val="0"/>
        </w:rPr>
      </w:r>
    </w:p>
    <w:p w:rsidR="00000000" w:rsidDel="00000000" w:rsidP="00000000" w:rsidRDefault="00000000" w:rsidRPr="00000000" w14:paraId="000000A5">
      <w:pPr>
        <w:rPr>
          <w:sz w:val="22"/>
          <w:szCs w:val="22"/>
          <w:highlight w:val="white"/>
        </w:rPr>
      </w:pPr>
      <w:r w:rsidDel="00000000" w:rsidR="00000000" w:rsidRPr="00000000">
        <w:rPr>
          <w:b w:val="1"/>
          <w:sz w:val="22"/>
          <w:szCs w:val="22"/>
          <w:highlight w:val="white"/>
          <w:rtl w:val="0"/>
        </w:rPr>
        <w:t xml:space="preserve">Background and aims: </w:t>
      </w:r>
      <w:r w:rsidDel="00000000" w:rsidR="00000000" w:rsidRPr="00000000">
        <w:rPr>
          <w:sz w:val="22"/>
          <w:szCs w:val="22"/>
          <w:highlight w:val="white"/>
          <w:rtl w:val="0"/>
        </w:rPr>
        <w:t xml:space="preserve">Cardiovascular (CV) diseases show clear differences in clinical manifestation and treatment outcomes between men and women. To reduce sex disparities in achieving lipid-lowering therapy (LLT) goals, a sex-focused assessment is essential and more studies are needed to bring new evidence to clinicians. This study aims to assess the role of sex in attaining low-density lipoprotein cholesterol (LDL-C) goals, after correction for age, CV risk category, LLT intensity, and presence of mental health disorder and social deprivation.</w:t>
      </w:r>
    </w:p>
    <w:p w:rsidR="00000000" w:rsidDel="00000000" w:rsidP="00000000" w:rsidRDefault="00000000" w:rsidRPr="00000000" w14:paraId="000000A6">
      <w:pPr>
        <w:rPr>
          <w:sz w:val="22"/>
          <w:szCs w:val="22"/>
          <w:highlight w:val="white"/>
        </w:rPr>
      </w:pPr>
      <w:r w:rsidDel="00000000" w:rsidR="00000000" w:rsidRPr="00000000">
        <w:rPr>
          <w:b w:val="1"/>
          <w:sz w:val="22"/>
          <w:szCs w:val="22"/>
          <w:highlight w:val="white"/>
          <w:rtl w:val="0"/>
        </w:rPr>
        <w:t xml:space="preserve">Methods: </w:t>
      </w:r>
      <w:r w:rsidDel="00000000" w:rsidR="00000000" w:rsidRPr="00000000">
        <w:rPr>
          <w:sz w:val="22"/>
          <w:szCs w:val="22"/>
          <w:highlight w:val="white"/>
          <w:rtl w:val="0"/>
        </w:rPr>
        <w:t xml:space="preserve">A retrospective cohort analysis of patients aged 40–85, followed in 1 hospital and 14 primary care centers in Portugal, using electronic health records from 1/1/2012 to 31/12/2020, was performed. The analysis considered an episode-based design, where exposure consists of any time when LLT was started or intensity changed. The likelihood of reaching the LDL-C goal according to contemporary ESC/EAS guidelines was modeled using multivariate Cox regression. LDL-C goal achievement at 180 days was defined as the outcome. The analysis was repeated at 30-day follow-up intervals up to 360 days, and also stratified by CV risk category.</w:t>
      </w:r>
    </w:p>
    <w:p w:rsidR="00000000" w:rsidDel="00000000" w:rsidP="00000000" w:rsidRDefault="00000000" w:rsidRPr="00000000" w14:paraId="000000A7">
      <w:pPr>
        <w:rPr>
          <w:sz w:val="22"/>
          <w:szCs w:val="22"/>
          <w:highlight w:val="white"/>
        </w:rPr>
      </w:pPr>
      <w:r w:rsidDel="00000000" w:rsidR="00000000" w:rsidRPr="00000000">
        <w:rPr>
          <w:b w:val="1"/>
          <w:sz w:val="22"/>
          <w:szCs w:val="22"/>
          <w:highlight w:val="white"/>
          <w:rtl w:val="0"/>
        </w:rPr>
        <w:t xml:space="preserve">Results: </w:t>
      </w:r>
      <w:r w:rsidDel="00000000" w:rsidR="00000000" w:rsidRPr="00000000">
        <w:rPr>
          <w:sz w:val="22"/>
          <w:szCs w:val="22"/>
          <w:highlight w:val="white"/>
          <w:rtl w:val="0"/>
        </w:rPr>
        <w:t xml:space="preserve">We identified 40,032 exposure episodes (LLT initiation or intensity change) in 30,323 distinct patients. Male sex, older age, lower CV risk and increasing LLT intensity were associated with improved LDL-C control. Women were 22% less likely to reach the LDL-C goal than men (HR = 0.78, 95% CI:0.73, 0.82) independently of covariates.</w:t>
      </w:r>
    </w:p>
    <w:p w:rsidR="00000000" w:rsidDel="00000000" w:rsidP="00000000" w:rsidRDefault="00000000" w:rsidRPr="00000000" w14:paraId="000000A8">
      <w:pPr>
        <w:rPr>
          <w:sz w:val="22"/>
          <w:szCs w:val="22"/>
          <w:highlight w:val="white"/>
        </w:rPr>
      </w:pPr>
      <w:r w:rsidDel="00000000" w:rsidR="00000000" w:rsidRPr="00000000">
        <w:rPr>
          <w:b w:val="1"/>
          <w:sz w:val="22"/>
          <w:szCs w:val="22"/>
          <w:highlight w:val="white"/>
          <w:rtl w:val="0"/>
        </w:rPr>
        <w:t xml:space="preserve">Conclusions: </w:t>
      </w:r>
      <w:r w:rsidDel="00000000" w:rsidR="00000000" w:rsidRPr="00000000">
        <w:rPr>
          <w:sz w:val="22"/>
          <w:szCs w:val="22"/>
          <w:highlight w:val="white"/>
          <w:rtl w:val="0"/>
        </w:rPr>
        <w:t xml:space="preserve">Women have a lower likelihood of attaining LDL-C goals than men after adjustment for LLT intensity, age, CV risk category, presence of mental health disorder and social deprivation. This finding underscores the need for further investigation and tailoring of LLT management strategies in women.</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spacing w:after="160" w:before="0" w:line="276" w:lineRule="auto"/>
        <w:jc w:val="left"/>
        <w:rPr>
          <w:rFonts w:ascii="Barlow Condensed Medium" w:cs="Barlow Condensed Medium" w:eastAsia="Barlow Condensed Medium" w:hAnsi="Barlow Condensed Medium"/>
          <w:b w:val="0"/>
          <w:color w:val="009fda"/>
          <w:sz w:val="32"/>
          <w:szCs w:val="32"/>
          <w:highlight w:val="white"/>
        </w:rPr>
      </w:pPr>
      <w:bookmarkStart w:colFirst="0" w:colLast="0" w:name="_heading=h.57sarkxc5q7x" w:id="33"/>
      <w:bookmarkEnd w:id="33"/>
      <w:r w:rsidDel="00000000" w:rsidR="00000000" w:rsidRPr="00000000">
        <w:rPr>
          <w:rFonts w:ascii="Barlow Condensed Medium" w:cs="Barlow Condensed Medium" w:eastAsia="Barlow Condensed Medium" w:hAnsi="Barlow Condensed Medium"/>
          <w:b w:val="0"/>
          <w:color w:val="009fda"/>
          <w:sz w:val="32"/>
          <w:szCs w:val="32"/>
          <w:highlight w:val="white"/>
          <w:rtl w:val="0"/>
        </w:rPr>
        <w:t xml:space="preserve">Prevalence, outcomes and costs of a contemporary, multinational population with heart failure</w:t>
      </w:r>
    </w:p>
    <w:p w:rsidR="00000000" w:rsidDel="00000000" w:rsidP="00000000" w:rsidRDefault="00000000" w:rsidRPr="00000000" w14:paraId="000000AA">
      <w:pPr>
        <w:rPr>
          <w:sz w:val="22"/>
          <w:szCs w:val="22"/>
          <w:highlight w:val="white"/>
        </w:rPr>
      </w:pPr>
      <w:hyperlink r:id="rId15">
        <w:r w:rsidDel="00000000" w:rsidR="00000000" w:rsidRPr="00000000">
          <w:rPr>
            <w:color w:val="1155cc"/>
            <w:sz w:val="22"/>
            <w:szCs w:val="22"/>
            <w:highlight w:val="white"/>
            <w:u w:val="single"/>
            <w:rtl w:val="0"/>
          </w:rPr>
          <w:t xml:space="preserve">heart.bmj.com/content/109/7/548</w:t>
        </w:r>
      </w:hyperlink>
      <w:r w:rsidDel="00000000" w:rsidR="00000000" w:rsidRPr="00000000">
        <w:rPr>
          <w:rtl w:val="0"/>
        </w:rPr>
      </w:r>
    </w:p>
    <w:p w:rsidR="00000000" w:rsidDel="00000000" w:rsidP="00000000" w:rsidRDefault="00000000" w:rsidRPr="00000000" w14:paraId="000000AB">
      <w:pPr>
        <w:rPr>
          <w:sz w:val="22"/>
          <w:szCs w:val="22"/>
          <w:highlight w:val="white"/>
        </w:rPr>
      </w:pPr>
      <w:r w:rsidDel="00000000" w:rsidR="00000000" w:rsidRPr="00000000">
        <w:rPr>
          <w:b w:val="1"/>
          <w:sz w:val="22"/>
          <w:szCs w:val="22"/>
          <w:highlight w:val="white"/>
          <w:rtl w:val="0"/>
        </w:rPr>
        <w:t xml:space="preserve">Objective:</w:t>
      </w:r>
      <w:r w:rsidDel="00000000" w:rsidR="00000000" w:rsidRPr="00000000">
        <w:rPr>
          <w:sz w:val="22"/>
          <w:szCs w:val="22"/>
          <w:highlight w:val="white"/>
          <w:rtl w:val="0"/>
        </w:rPr>
        <w:t xml:space="preserve"> Digital healthcare systems could provide insights into the global prevalence of heart failure (HF). We designed the CardioRenal and Metabolic disease (CaReMe) HF study to estimate the prevalence, key clinical adverse outcomes and costs of HF across 11 countries.</w:t>
      </w:r>
    </w:p>
    <w:p w:rsidR="00000000" w:rsidDel="00000000" w:rsidP="00000000" w:rsidRDefault="00000000" w:rsidRPr="00000000" w14:paraId="000000AC">
      <w:pPr>
        <w:rPr>
          <w:sz w:val="22"/>
          <w:szCs w:val="22"/>
          <w:highlight w:val="white"/>
        </w:rPr>
      </w:pPr>
      <w:r w:rsidDel="00000000" w:rsidR="00000000" w:rsidRPr="00000000">
        <w:rPr>
          <w:b w:val="1"/>
          <w:sz w:val="22"/>
          <w:szCs w:val="22"/>
          <w:highlight w:val="white"/>
          <w:rtl w:val="0"/>
        </w:rPr>
        <w:t xml:space="preserve">Methods:</w:t>
      </w:r>
      <w:r w:rsidDel="00000000" w:rsidR="00000000" w:rsidRPr="00000000">
        <w:rPr>
          <w:sz w:val="22"/>
          <w:szCs w:val="22"/>
          <w:highlight w:val="white"/>
          <w:rtl w:val="0"/>
        </w:rPr>
        <w:t xml:space="preserve"> Individual level data from a contemporary cohort of 6 29 624 patients with diagnosed HF was obtained from digital healthcare systems in participating countries using a prespecified, common study plan, and summarised using a random effects meta-analysis. A broad definition of HF (any registered HF diagnosis) and a strict definition (history of hospitalisation for HF) were used. Event rates were reported per 100 patient years. Cumulative hospital care costs per patient were calculated for a period of up to 5 years.</w:t>
      </w:r>
    </w:p>
    <w:p w:rsidR="00000000" w:rsidDel="00000000" w:rsidP="00000000" w:rsidRDefault="00000000" w:rsidRPr="00000000" w14:paraId="000000AD">
      <w:pPr>
        <w:rPr>
          <w:sz w:val="22"/>
          <w:szCs w:val="22"/>
          <w:highlight w:val="white"/>
        </w:rPr>
      </w:pPr>
      <w:r w:rsidDel="00000000" w:rsidR="00000000" w:rsidRPr="00000000">
        <w:rPr>
          <w:b w:val="1"/>
          <w:sz w:val="22"/>
          <w:szCs w:val="22"/>
          <w:highlight w:val="white"/>
          <w:rtl w:val="0"/>
        </w:rPr>
        <w:t xml:space="preserve">Results: </w:t>
      </w:r>
      <w:r w:rsidDel="00000000" w:rsidR="00000000" w:rsidRPr="00000000">
        <w:rPr>
          <w:sz w:val="22"/>
          <w:szCs w:val="22"/>
          <w:highlight w:val="white"/>
          <w:rtl w:val="0"/>
        </w:rPr>
        <w:t xml:space="preserve">The prevalence of HF was 2.01% (95% CI 1.65 to 2.36) and 1.05% (0.85 to 1.25) according to the broad and strict definitions, respectively. In patients with HF (broad definition), mean age was 75.2 years (95% CI 74.0 to 76.4), 48.8% (40.9–56.8%) had ischaemic heart disease and 34.5% (29.4–39.6%) had diabetes. In 51 442 patients with a recorded ejection fraction (EF), 39.1% (30.3–47.8%) had a reduced, 18.8% (13.5–24.0%) had a mildly reduced and 42.1% (31.5–52.8%) had a preserved left ventricular EF. In 1 69 518 patients with recorded estimated glomerular filtration rate, 49% had chronic kidney disease (CKD) stages III–V. Event rates were highest for cardiorenal disease (HF or CKD) and all cause mortality (19.3 (95% CI 11.3 to 27.1) and 13.1 (11.1 to 15.1), respectively), and lower for myocardial infarction, stroke and peripheral artery disease. Hospital care costs were highest for cardiorenal diseases.</w:t>
      </w:r>
    </w:p>
    <w:p w:rsidR="00000000" w:rsidDel="00000000" w:rsidP="00000000" w:rsidRDefault="00000000" w:rsidRPr="00000000" w14:paraId="000000AE">
      <w:pPr>
        <w:rPr>
          <w:sz w:val="22"/>
          <w:szCs w:val="22"/>
          <w:highlight w:val="white"/>
        </w:rPr>
      </w:pPr>
      <w:r w:rsidDel="00000000" w:rsidR="00000000" w:rsidRPr="00000000">
        <w:rPr>
          <w:b w:val="1"/>
          <w:sz w:val="22"/>
          <w:szCs w:val="22"/>
          <w:highlight w:val="white"/>
          <w:rtl w:val="0"/>
        </w:rPr>
        <w:t xml:space="preserve">Conclusions:</w:t>
      </w:r>
      <w:r w:rsidDel="00000000" w:rsidR="00000000" w:rsidRPr="00000000">
        <w:rPr>
          <w:sz w:val="22"/>
          <w:szCs w:val="22"/>
          <w:highlight w:val="white"/>
          <w:rtl w:val="0"/>
        </w:rPr>
        <w:t xml:space="preserve"> We estimate that 1–2% of the contemporary adult population has HF. These individuals are at significant risk of adverse outcomes and associated costs, predominantly driven by hospitalisations for HF or CKD. There is considerable public health potential in understanding the contemporary burden of HF and the importance of optimising its management.</w:t>
      </w:r>
    </w:p>
    <w:p w:rsidR="00000000" w:rsidDel="00000000" w:rsidP="00000000" w:rsidRDefault="00000000" w:rsidRPr="00000000" w14:paraId="000000AF">
      <w:pPr>
        <w:pStyle w:val="Heading2"/>
        <w:spacing w:after="160" w:before="0" w:line="276" w:lineRule="auto"/>
        <w:jc w:val="left"/>
        <w:rPr>
          <w:rFonts w:ascii="Barlow Condensed Medium" w:cs="Barlow Condensed Medium" w:eastAsia="Barlow Condensed Medium" w:hAnsi="Barlow Condensed Medium"/>
          <w:b w:val="0"/>
          <w:color w:val="009fda"/>
          <w:sz w:val="32"/>
          <w:szCs w:val="32"/>
          <w:highlight w:val="white"/>
        </w:rPr>
      </w:pPr>
      <w:bookmarkStart w:colFirst="0" w:colLast="0" w:name="_heading=h.n5ihgivt04w1" w:id="34"/>
      <w:bookmarkEnd w:id="34"/>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spacing w:after="160" w:before="0" w:line="276" w:lineRule="auto"/>
        <w:jc w:val="left"/>
        <w:rPr>
          <w:rFonts w:ascii="Barlow Condensed Medium" w:cs="Barlow Condensed Medium" w:eastAsia="Barlow Condensed Medium" w:hAnsi="Barlow Condensed Medium"/>
          <w:b w:val="0"/>
          <w:color w:val="009fda"/>
          <w:sz w:val="32"/>
          <w:szCs w:val="32"/>
          <w:highlight w:val="white"/>
        </w:rPr>
      </w:pPr>
      <w:bookmarkStart w:colFirst="0" w:colLast="0" w:name="_heading=h.hwygya2mbahq" w:id="35"/>
      <w:bookmarkEnd w:id="35"/>
      <w:r w:rsidDel="00000000" w:rsidR="00000000" w:rsidRPr="00000000">
        <w:rPr>
          <w:rFonts w:ascii="Barlow Condensed Medium" w:cs="Barlow Condensed Medium" w:eastAsia="Barlow Condensed Medium" w:hAnsi="Barlow Condensed Medium"/>
          <w:b w:val="0"/>
          <w:color w:val="009fda"/>
          <w:sz w:val="32"/>
          <w:szCs w:val="32"/>
          <w:highlight w:val="white"/>
          <w:rtl w:val="0"/>
        </w:rPr>
        <w:t xml:space="preserve">Prevalence, outcomes, and cost of chronic kidney disease in a contemporary population of 2·4 million patients from 11 countries: The CaReMe CKD study</w:t>
      </w:r>
    </w:p>
    <w:p w:rsidR="00000000" w:rsidDel="00000000" w:rsidP="00000000" w:rsidRDefault="00000000" w:rsidRPr="00000000" w14:paraId="000000B1">
      <w:pPr>
        <w:rPr>
          <w:sz w:val="22"/>
          <w:szCs w:val="22"/>
          <w:highlight w:val="white"/>
        </w:rPr>
      </w:pPr>
      <w:hyperlink r:id="rId16">
        <w:r w:rsidDel="00000000" w:rsidR="00000000" w:rsidRPr="00000000">
          <w:rPr>
            <w:color w:val="1155cc"/>
            <w:sz w:val="22"/>
            <w:szCs w:val="22"/>
            <w:highlight w:val="white"/>
            <w:u w:val="single"/>
            <w:rtl w:val="0"/>
          </w:rPr>
          <w:t xml:space="preserve">thelancet.com/journals/lanepe/article/PIIS2666-7762(22)00132-6</w:t>
        </w:r>
      </w:hyperlink>
      <w:r w:rsidDel="00000000" w:rsidR="00000000" w:rsidRPr="00000000">
        <w:rPr>
          <w:rtl w:val="0"/>
        </w:rPr>
      </w:r>
    </w:p>
    <w:p w:rsidR="00000000" w:rsidDel="00000000" w:rsidP="00000000" w:rsidRDefault="00000000" w:rsidRPr="00000000" w14:paraId="000000B2">
      <w:pPr>
        <w:rPr>
          <w:sz w:val="22"/>
          <w:szCs w:val="22"/>
          <w:highlight w:val="white"/>
        </w:rPr>
      </w:pPr>
      <w:r w:rsidDel="00000000" w:rsidR="00000000" w:rsidRPr="00000000">
        <w:rPr>
          <w:b w:val="1"/>
          <w:sz w:val="22"/>
          <w:szCs w:val="22"/>
          <w:highlight w:val="white"/>
          <w:rtl w:val="0"/>
        </w:rPr>
        <w:t xml:space="preserve">Background:</w:t>
      </w:r>
      <w:r w:rsidDel="00000000" w:rsidR="00000000" w:rsidRPr="00000000">
        <w:rPr>
          <w:sz w:val="22"/>
          <w:szCs w:val="22"/>
          <w:highlight w:val="white"/>
          <w:rtl w:val="0"/>
        </w:rPr>
        <w:t xml:space="preserve"> Digital healthcare systems data could provide insights into the global prevalence of chronic kidney disease (CKD). We designed the CaReMe CKD study to estimate the prevalence, key clinical adverse outcomes and costs of CKD across 11 countries.</w:t>
      </w:r>
    </w:p>
    <w:p w:rsidR="00000000" w:rsidDel="00000000" w:rsidP="00000000" w:rsidRDefault="00000000" w:rsidRPr="00000000" w14:paraId="000000B3">
      <w:pPr>
        <w:rPr>
          <w:sz w:val="22"/>
          <w:szCs w:val="22"/>
          <w:highlight w:val="white"/>
        </w:rPr>
      </w:pPr>
      <w:r w:rsidDel="00000000" w:rsidR="00000000" w:rsidRPr="00000000">
        <w:rPr>
          <w:b w:val="1"/>
          <w:sz w:val="22"/>
          <w:szCs w:val="22"/>
          <w:highlight w:val="white"/>
          <w:rtl w:val="0"/>
        </w:rPr>
        <w:t xml:space="preserve">Methods:</w:t>
      </w:r>
      <w:r w:rsidDel="00000000" w:rsidR="00000000" w:rsidRPr="00000000">
        <w:rPr>
          <w:sz w:val="22"/>
          <w:szCs w:val="22"/>
          <w:highlight w:val="white"/>
          <w:rtl w:val="0"/>
        </w:rPr>
        <w:t xml:space="preserve"> Individual-level data of a cohort of 2.4 million contemporaneous CKD patients was obtained from digital healthcare systems in participating countries using a pre-specified common protocol; summarized using random effects meta-analysis. CKD and its stages were defined in accordance with current Kidney Disease: Improving Global Outcomes (KDIGO) criteria. CKD was defined by laboratory values or by a diagnosis code.</w:t>
      </w:r>
    </w:p>
    <w:p w:rsidR="00000000" w:rsidDel="00000000" w:rsidP="00000000" w:rsidRDefault="00000000" w:rsidRPr="00000000" w14:paraId="000000B4">
      <w:pPr>
        <w:rPr>
          <w:sz w:val="22"/>
          <w:szCs w:val="22"/>
          <w:highlight w:val="white"/>
        </w:rPr>
      </w:pPr>
      <w:r w:rsidDel="00000000" w:rsidR="00000000" w:rsidRPr="00000000">
        <w:rPr>
          <w:b w:val="1"/>
          <w:sz w:val="22"/>
          <w:szCs w:val="22"/>
          <w:highlight w:val="white"/>
          <w:rtl w:val="0"/>
        </w:rPr>
        <w:t xml:space="preserve">Findings: </w:t>
      </w:r>
      <w:r w:rsidDel="00000000" w:rsidR="00000000" w:rsidRPr="00000000">
        <w:rPr>
          <w:sz w:val="22"/>
          <w:szCs w:val="22"/>
          <w:highlight w:val="white"/>
          <w:rtl w:val="0"/>
        </w:rPr>
        <w:t xml:space="preserve">The pooled prevalence of possible CKD was 10.0% (95% confidence interval 8.5‒11.4; mean pooled age 75, 53% women, 38% diabetes, 60% using renin-angiotensin-aldosterone system inhibitors). Two out of three CKD patients identified by laboratory criteria did not have a corresponding CKD-specific diagnostic code. Among CKD patients identified by laboratory values, the majority (42%) were in KDIGO stage 3A; and this fraction was fairly consistent across countries. The share with CKD based on urine albumin-creatinine ratio (UACR) alone (KDIGO stages one and two) was 29%, with a substantial heterogeneity between countries. Adverse events were common; 6.5% were hospitalized for CKD or heart failure, and 6.2% died, annually. Costs for renal events and heart failure were consistently higher than costs for atherosclerotic events in CKD patients across all countries.</w:t>
      </w:r>
    </w:p>
    <w:p w:rsidR="00000000" w:rsidDel="00000000" w:rsidP="00000000" w:rsidRDefault="00000000" w:rsidRPr="00000000" w14:paraId="000000B5">
      <w:pPr>
        <w:rPr>
          <w:sz w:val="22"/>
          <w:szCs w:val="22"/>
          <w:highlight w:val="white"/>
        </w:rPr>
      </w:pPr>
      <w:r w:rsidDel="00000000" w:rsidR="00000000" w:rsidRPr="00000000">
        <w:rPr>
          <w:b w:val="1"/>
          <w:sz w:val="22"/>
          <w:szCs w:val="22"/>
          <w:highlight w:val="white"/>
          <w:rtl w:val="0"/>
        </w:rPr>
        <w:t xml:space="preserve">Interpretation: </w:t>
      </w:r>
      <w:r w:rsidDel="00000000" w:rsidR="00000000" w:rsidRPr="00000000">
        <w:rPr>
          <w:sz w:val="22"/>
          <w:szCs w:val="22"/>
          <w:highlight w:val="white"/>
          <w:rtl w:val="0"/>
        </w:rPr>
        <w:t xml:space="preserve">We estimate that CKD is present in one out of ten adults. These individuals experience significant adverse outcomes with associated costs. The prevalence of CKD is underestimated when using diagnostic codes alone. There is considerable public health potential in diagnosing CKD and providing treatments to those currently undiagnosed.</w:t>
      </w:r>
    </w:p>
    <w:p w:rsidR="00000000" w:rsidDel="00000000" w:rsidP="00000000" w:rsidRDefault="00000000" w:rsidRPr="00000000" w14:paraId="000000B6">
      <w:pPr>
        <w:keepNext w:val="1"/>
        <w:keepLines w:val="1"/>
        <w:spacing w:before="400" w:line="276" w:lineRule="auto"/>
        <w:jc w:val="center"/>
        <w:rPr>
          <w:rFonts w:ascii="Barlow Condensed Medium" w:cs="Barlow Condensed Medium" w:eastAsia="Barlow Condensed Medium" w:hAnsi="Barlow Condensed Medium"/>
          <w:color w:val="005172"/>
          <w:sz w:val="40"/>
          <w:szCs w:val="40"/>
          <w:highlight w:val="white"/>
        </w:rPr>
      </w:pPr>
      <w:bookmarkStart w:colFirst="0" w:colLast="0" w:name="_heading=h.d3j6bgvh11ap" w:id="36"/>
      <w:bookmarkEnd w:id="36"/>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before="0" w:lineRule="auto"/>
        <w:jc w:val="center"/>
        <w:rPr>
          <w:highlight w:val="white"/>
        </w:rPr>
      </w:pPr>
      <w:bookmarkStart w:colFirst="0" w:colLast="0" w:name="_heading=h.xh58m3ngtz97" w:id="37"/>
      <w:bookmarkEnd w:id="37"/>
      <w:r w:rsidDel="00000000" w:rsidR="00000000" w:rsidRPr="00000000">
        <w:rPr>
          <w:highlight w:val="white"/>
          <w:rtl w:val="0"/>
        </w:rPr>
        <w:t xml:space="preserve">Anexo II - Glossário</w:t>
      </w:r>
    </w:p>
    <w:p w:rsidR="00000000" w:rsidDel="00000000" w:rsidP="00000000" w:rsidRDefault="00000000" w:rsidRPr="00000000" w14:paraId="000000B8">
      <w:pPr>
        <w:pStyle w:val="Heading4"/>
        <w:spacing w:after="0" w:before="0" w:lineRule="auto"/>
        <w:rPr>
          <w:i w:val="1"/>
          <w:sz w:val="22"/>
          <w:szCs w:val="22"/>
          <w:highlight w:val="white"/>
        </w:rPr>
      </w:pPr>
      <w:bookmarkStart w:colFirst="0" w:colLast="0" w:name="_heading=h.7myjqwhuvoqr" w:id="38"/>
      <w:bookmarkEnd w:id="38"/>
      <w:r w:rsidDel="00000000" w:rsidR="00000000" w:rsidRPr="00000000">
        <w:rPr>
          <w:i w:val="1"/>
          <w:sz w:val="22"/>
          <w:szCs w:val="22"/>
          <w:highlight w:val="white"/>
          <w:rtl w:val="0"/>
        </w:rPr>
        <w:t xml:space="preserve">European Health Data Evidence Network Foundation</w:t>
      </w:r>
    </w:p>
    <w:p w:rsidR="00000000" w:rsidDel="00000000" w:rsidP="00000000" w:rsidRDefault="00000000" w:rsidRPr="00000000" w14:paraId="000000B9">
      <w:pPr>
        <w:rPr>
          <w:i w:val="1"/>
          <w:sz w:val="22"/>
          <w:szCs w:val="22"/>
          <w:highlight w:val="white"/>
        </w:rPr>
      </w:pPr>
      <w:r w:rsidDel="00000000" w:rsidR="00000000" w:rsidRPr="00000000">
        <w:rPr>
          <w:sz w:val="22"/>
          <w:szCs w:val="22"/>
          <w:highlight w:val="white"/>
          <w:rtl w:val="0"/>
        </w:rPr>
        <w:t xml:space="preserve">Rede europeia que visa facilitar a reutilização de dados clínicos em larga escala para gerar conhecimento científico. Mais informação em </w:t>
      </w:r>
      <w:hyperlink r:id="rId17">
        <w:r w:rsidDel="00000000" w:rsidR="00000000" w:rsidRPr="00000000">
          <w:rPr>
            <w:color w:val="1155cc"/>
            <w:sz w:val="22"/>
            <w:szCs w:val="22"/>
            <w:highlight w:val="white"/>
            <w:u w:val="single"/>
            <w:rtl w:val="0"/>
          </w:rPr>
          <w:t xml:space="preserve">www.ehden.eu</w:t>
        </w:r>
      </w:hyperlink>
      <w:r w:rsidDel="00000000" w:rsidR="00000000" w:rsidRPr="00000000">
        <w:rPr>
          <w:rtl w:val="0"/>
        </w:rPr>
      </w:r>
    </w:p>
    <w:p w:rsidR="00000000" w:rsidDel="00000000" w:rsidP="00000000" w:rsidRDefault="00000000" w:rsidRPr="00000000" w14:paraId="000000BA">
      <w:pPr>
        <w:pStyle w:val="Heading4"/>
        <w:spacing w:after="0" w:before="0" w:lineRule="auto"/>
        <w:rPr>
          <w:i w:val="1"/>
          <w:sz w:val="22"/>
          <w:szCs w:val="22"/>
          <w:highlight w:val="white"/>
        </w:rPr>
      </w:pPr>
      <w:bookmarkStart w:colFirst="0" w:colLast="0" w:name="_heading=h.yjks4bhp4352" w:id="39"/>
      <w:bookmarkEnd w:id="39"/>
      <w:r w:rsidDel="00000000" w:rsidR="00000000" w:rsidRPr="00000000">
        <w:rPr>
          <w:i w:val="1"/>
          <w:sz w:val="22"/>
          <w:szCs w:val="22"/>
          <w:highlight w:val="white"/>
          <w:rtl w:val="0"/>
        </w:rPr>
        <w:t xml:space="preserve">European Health Data Space</w:t>
      </w:r>
    </w:p>
    <w:p w:rsidR="00000000" w:rsidDel="00000000" w:rsidP="00000000" w:rsidRDefault="00000000" w:rsidRPr="00000000" w14:paraId="000000BB">
      <w:pPr>
        <w:rPr>
          <w:b w:val="1"/>
          <w:sz w:val="24"/>
          <w:szCs w:val="24"/>
          <w:highlight w:val="white"/>
        </w:rPr>
      </w:pPr>
      <w:r w:rsidDel="00000000" w:rsidR="00000000" w:rsidRPr="00000000">
        <w:rPr>
          <w:sz w:val="22"/>
          <w:szCs w:val="22"/>
          <w:highlight w:val="white"/>
          <w:rtl w:val="0"/>
        </w:rPr>
        <w:t xml:space="preserve">Ecossistema específico da saúde composto por regras, normas e práticas comuns, infraestruturas e uma estrutura de governança que visa fornecer um sistema consistente, confiável e eficiente para reutilização de dados de saúde para investigação, inovação, formulação de políticas e atividades regulatórias. É um pilar fundamental da União Europeia da Saúde, baseando-se no Regulamento Geral de Proteção de Dados (RGPD) e na Diretiva NIS 2 (Nível de cibersegurança). Mais informação em </w:t>
      </w:r>
      <w:hyperlink r:id="rId18">
        <w:r w:rsidDel="00000000" w:rsidR="00000000" w:rsidRPr="00000000">
          <w:rPr>
            <w:color w:val="1155cc"/>
            <w:sz w:val="22"/>
            <w:szCs w:val="22"/>
            <w:highlight w:val="white"/>
            <w:u w:val="single"/>
            <w:rtl w:val="0"/>
          </w:rPr>
          <w:t xml:space="preserve">www.european-health-data-space.com</w:t>
        </w:r>
      </w:hyperlink>
      <w:r w:rsidDel="00000000" w:rsidR="00000000" w:rsidRPr="00000000">
        <w:rPr>
          <w:rtl w:val="0"/>
        </w:rPr>
      </w:r>
    </w:p>
    <w:sectPr>
      <w:headerReference r:id="rId19" w:type="default"/>
      <w:footerReference r:id="rId20" w:type="default"/>
      <w:pgSz w:h="16838" w:w="11906" w:orient="portrait"/>
      <w:pgMar w:bottom="1440" w:top="18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Condense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 w:name="PT Mono">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tabs>
        <w:tab w:val="right" w:leader="none" w:pos="8993"/>
      </w:tabs>
      <w:spacing w:after="0" w:line="240" w:lineRule="auto"/>
      <w:ind w:left="0" w:firstLine="0"/>
      <w:jc w:val="left"/>
      <w:rPr>
        <w:rFonts w:ascii="Lato" w:cs="Lato" w:eastAsia="Lato" w:hAnsi="Lato"/>
        <w:sz w:val="18"/>
        <w:szCs w:val="18"/>
      </w:rPr>
    </w:pPr>
    <w:r w:rsidDel="00000000" w:rsidR="00000000" w:rsidRPr="00000000">
      <w:rPr>
        <w:b w:val="1"/>
        <w:sz w:val="18"/>
        <w:szCs w:val="18"/>
        <w:rtl w:val="0"/>
      </w:rPr>
      <w:t xml:space="preserve">MTG Research and Development Lab</w:t>
    </w:r>
    <w:r w:rsidDel="00000000" w:rsidR="00000000" w:rsidRPr="00000000">
      <w:rPr>
        <w:sz w:val="18"/>
        <w:szCs w:val="18"/>
        <w:rtl w:val="0"/>
      </w:rPr>
      <w:t xml:space="preserve">  | MTG-TPL-030 v0.1.0                                                                                                             </w:t>
    </w:r>
    <w:r w:rsidDel="00000000" w:rsidR="00000000" w:rsidRPr="00000000">
      <w:rPr>
        <w:rFonts w:ascii="Lato" w:cs="Lato" w:eastAsia="Lato" w:hAnsi="Lato"/>
        <w:sz w:val="18"/>
        <w:szCs w:val="18"/>
      </w:rPr>
      <w:fldChar w:fldCharType="begin"/>
      <w:instrText xml:space="preserve">PAGE</w:instrText>
      <w:fldChar w:fldCharType="separate"/>
      <w:fldChar w:fldCharType="end"/>
    </w:r>
    <w:r w:rsidDel="00000000" w:rsidR="00000000" w:rsidRPr="00000000">
      <w:rPr>
        <w:rFonts w:ascii="Lato" w:cs="Lato" w:eastAsia="Lato" w:hAnsi="Lato"/>
        <w:sz w:val="18"/>
        <w:szCs w:val="18"/>
        <w:rtl w:val="0"/>
      </w:rPr>
      <w:t xml:space="preserve">/</w:t>
    </w:r>
    <w:r w:rsidDel="00000000" w:rsidR="00000000" w:rsidRPr="00000000">
      <w:rPr>
        <w:rFonts w:ascii="Lato" w:cs="Lato" w:eastAsia="Lato" w:hAnsi="Lato"/>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tabs>
        <w:tab w:val="left" w:leader="none" w:pos="7830"/>
        <w:tab w:val="left" w:leader="none" w:pos="6376"/>
        <w:tab w:val="left" w:leader="none" w:pos="5040"/>
        <w:tab w:val="left" w:leader="none" w:pos="2070"/>
      </w:tabs>
      <w:spacing w:after="360" w:line="276" w:lineRule="auto"/>
      <w:jc w:val="center"/>
      <w:rPr>
        <w:sz w:val="16"/>
        <w:szCs w:val="16"/>
      </w:rPr>
    </w:pPr>
    <w:r w:rsidDel="00000000" w:rsidR="00000000" w:rsidRPr="00000000">
      <w:rPr>
        <w:rFonts w:ascii="Lato" w:cs="Lato" w:eastAsia="Lato" w:hAnsi="Lato"/>
        <w:color w:val="434343"/>
        <w:sz w:val="18"/>
        <w:szCs w:val="18"/>
        <w:shd w:fill="auto" w:val="clear"/>
        <w:rtl w:val="0"/>
      </w:rPr>
      <w:t xml:space="preserve">Memorando de Entendimento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pt-PT"/>
      </w:rPr>
    </w:rPrDefault>
    <w:pPrDefault>
      <w:pPr>
        <w:spacing w:after="1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after="80" w:before="360" w:lineRule="auto"/>
      <w:jc w:val="center"/>
    </w:pPr>
    <w:rPr>
      <w:b w:val="1"/>
      <w:sz w:val="36"/>
      <w:szCs w:val="36"/>
      <w:highlight w:val="white"/>
    </w:rPr>
  </w:style>
  <w:style w:type="paragraph" w:styleId="Heading3">
    <w:name w:val="heading 3"/>
    <w:basedOn w:val="Normal"/>
    <w:next w:val="Normal"/>
    <w:pPr>
      <w:keepNext w:val="1"/>
      <w:keepLines w:val="1"/>
      <w:spacing w:after="80" w:before="280" w:lineRule="auto"/>
      <w:jc w:val="center"/>
    </w:pPr>
    <w:rPr>
      <w:b w:val="1"/>
      <w:sz w:val="28"/>
      <w:szCs w:val="28"/>
      <w:highlight w:val="whit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after="80" w:before="360" w:line="240" w:lineRule="auto"/>
      <w:jc w:val="center"/>
    </w:pPr>
    <w:rPr>
      <w:b w:val="1"/>
      <w:sz w:val="36"/>
      <w:szCs w:val="36"/>
    </w:rPr>
  </w:style>
  <w:style w:type="paragraph" w:styleId="Heading3">
    <w:name w:val="heading 3"/>
    <w:basedOn w:val="Normal"/>
    <w:next w:val="Normal"/>
    <w:pPr>
      <w:keepNext w:val="1"/>
      <w:keepLines w:val="1"/>
      <w:spacing w:after="80" w:before="280" w:lineRule="auto"/>
      <w:jc w:val="center"/>
    </w:pPr>
    <w:rPr>
      <w:b w:val="1"/>
      <w:sz w:val="28"/>
      <w:szCs w:val="28"/>
    </w:rPr>
  </w:style>
  <w:style w:type="paragraph" w:styleId="Heading4">
    <w:name w:val="heading 4"/>
    <w:basedOn w:val="Normal"/>
    <w:next w:val="Normal"/>
    <w:pPr>
      <w:keepNext w:val="1"/>
      <w:keepLines w:val="1"/>
      <w:spacing w:after="0" w:before="2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120" w:before="480" w:lineRule="auto"/>
      <w:jc w:val="left"/>
    </w:pPr>
    <w:rPr>
      <w:b w:val="1"/>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line="276" w:lineRule="auto"/>
      <w:jc w:val="center"/>
    </w:pPr>
    <w:rPr>
      <w:rFonts w:ascii="Times New Roman" w:cs="Times New Roman" w:eastAsia="Times New Roman" w:hAnsi="Times New Roman"/>
      <w:b w:val="1"/>
      <w:sz w:val="24"/>
      <w:szCs w:val="24"/>
      <w:highlight w:val="white"/>
    </w:rPr>
  </w:style>
  <w:style w:type="paragraph" w:styleId="Heading2">
    <w:name w:val="heading 2"/>
    <w:basedOn w:val="Normal"/>
    <w:next w:val="Normal"/>
    <w:pPr>
      <w:keepNext w:val="1"/>
      <w:keepLines w:val="1"/>
      <w:spacing w:after="0" w:before="360" w:lineRule="auto"/>
      <w:jc w:val="center"/>
    </w:pPr>
    <w:rPr>
      <w:rFonts w:ascii="Times New Roman" w:cs="Times New Roman" w:eastAsia="Times New Roman" w:hAnsi="Times New Roman"/>
      <w:b w:val="1"/>
      <w:sz w:val="24"/>
      <w:szCs w:val="24"/>
      <w:highlight w:val="white"/>
    </w:rPr>
  </w:style>
  <w:style w:type="paragraph" w:styleId="Heading3">
    <w:name w:val="heading 3"/>
    <w:basedOn w:val="Normal"/>
    <w:next w:val="Normal"/>
    <w:pPr>
      <w:keepNext w:val="1"/>
      <w:keepLines w:val="1"/>
      <w:spacing w:after="80" w:lineRule="auto"/>
      <w:jc w:val="center"/>
    </w:pPr>
    <w:rPr>
      <w:rFonts w:ascii="Times New Roman" w:cs="Times New Roman" w:eastAsia="Times New Roman" w:hAnsi="Times New Roman"/>
      <w:sz w:val="24"/>
      <w:szCs w:val="24"/>
      <w:highlight w:val="whit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33876"/>
    <w:pPr>
      <w:spacing w:line="360" w:lineRule="auto"/>
      <w:jc w:val="both"/>
    </w:pPr>
    <w:rPr>
      <w:rFonts w:ascii="Lato" w:cs="Lato" w:eastAsia="Lato" w:hAnsi="Lato"/>
      <w:sz w:val="20"/>
      <w:szCs w:val="20"/>
      <w:lang w:eastAsia="pt-PT"/>
    </w:rPr>
  </w:style>
  <w:style w:type="paragraph" w:styleId="Cabealho1">
    <w:name w:val="heading 1"/>
    <w:basedOn w:val="Normal"/>
    <w:next w:val="Normal"/>
    <w:link w:val="Cabealho1Carter"/>
    <w:uiPriority w:val="9"/>
    <w:qFormat w:val="1"/>
    <w:rsid w:val="00033876"/>
    <w:pPr>
      <w:keepNext w:val="1"/>
      <w:keepLines w:val="1"/>
      <w:spacing w:before="400" w:line="276" w:lineRule="auto"/>
      <w:jc w:val="left"/>
      <w:outlineLvl w:val="0"/>
    </w:pPr>
    <w:rPr>
      <w:rFonts w:ascii="Barlow Condensed Medium" w:cs="Barlow Condensed Medium" w:eastAsia="Barlow Condensed Medium" w:hAnsi="Barlow Condensed Medium"/>
      <w:color w:val="005172"/>
      <w:sz w:val="40"/>
      <w:szCs w:val="40"/>
    </w:rPr>
  </w:style>
  <w:style w:type="character" w:styleId="Tipodeletrapredefinidodopargraf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Cabealho1Carter" w:customStyle="1">
    <w:name w:val="Cabeçalho 1 Caráter"/>
    <w:basedOn w:val="Tipodeletrapredefinidodopargrafo"/>
    <w:link w:val="Cabealho1"/>
    <w:uiPriority w:val="9"/>
    <w:rsid w:val="00033876"/>
    <w:rPr>
      <w:rFonts w:ascii="Barlow Condensed Medium" w:cs="Barlow Condensed Medium" w:eastAsia="Barlow Condensed Medium" w:hAnsi="Barlow Condensed Medium"/>
      <w:color w:val="005172"/>
      <w:sz w:val="40"/>
      <w:szCs w:val="40"/>
      <w:lang w:eastAsia="pt-PT"/>
    </w:rPr>
  </w:style>
  <w:style w:type="character" w:styleId="Refdecomentrio">
    <w:name w:val="annotation reference"/>
    <w:basedOn w:val="Tipodeletrapredefinidodopargrafo"/>
    <w:uiPriority w:val="99"/>
    <w:semiHidden w:val="1"/>
    <w:unhideWhenUsed w:val="1"/>
    <w:rsid w:val="00033876"/>
    <w:rPr>
      <w:sz w:val="16"/>
      <w:szCs w:val="16"/>
    </w:rPr>
  </w:style>
  <w:style w:type="paragraph" w:styleId="Textodecomentrio">
    <w:name w:val="annotation text"/>
    <w:basedOn w:val="Normal"/>
    <w:link w:val="TextodecomentrioCarter"/>
    <w:uiPriority w:val="99"/>
    <w:semiHidden w:val="1"/>
    <w:unhideWhenUsed w:val="1"/>
    <w:rsid w:val="00033876"/>
    <w:pPr>
      <w:spacing w:line="240" w:lineRule="auto"/>
    </w:pPr>
  </w:style>
  <w:style w:type="character" w:styleId="TextodecomentrioCarter" w:customStyle="1">
    <w:name w:val="Texto de comentário Caráter"/>
    <w:basedOn w:val="Tipodeletrapredefinidodopargrafo"/>
    <w:link w:val="Textodecomentrio"/>
    <w:uiPriority w:val="99"/>
    <w:semiHidden w:val="1"/>
    <w:rsid w:val="00033876"/>
    <w:rPr>
      <w:rFonts w:ascii="Lato" w:cs="Lato" w:eastAsia="Lato" w:hAnsi="Lato"/>
      <w:sz w:val="20"/>
      <w:szCs w:val="20"/>
      <w:lang w:eastAsia="pt-PT"/>
    </w:rPr>
  </w:style>
  <w:style w:type="paragraph" w:styleId="Textodebalo">
    <w:name w:val="Balloon Text"/>
    <w:basedOn w:val="Normal"/>
    <w:link w:val="TextodebaloCarter"/>
    <w:uiPriority w:val="99"/>
    <w:semiHidden w:val="1"/>
    <w:unhideWhenUsed w:val="1"/>
    <w:rsid w:val="00033876"/>
    <w:pPr>
      <w:spacing w:after="0" w:line="240" w:lineRule="auto"/>
    </w:pPr>
    <w:rPr>
      <w:rFonts w:ascii="Segoe UI" w:cs="Segoe UI" w:hAnsi="Segoe UI"/>
      <w:sz w:val="18"/>
      <w:szCs w:val="18"/>
    </w:rPr>
  </w:style>
  <w:style w:type="character" w:styleId="TextodebaloCarter" w:customStyle="1">
    <w:name w:val="Texto de balão Caráter"/>
    <w:basedOn w:val="Tipodeletrapredefinidodopargrafo"/>
    <w:link w:val="Textodebalo"/>
    <w:uiPriority w:val="99"/>
    <w:semiHidden w:val="1"/>
    <w:rsid w:val="00033876"/>
    <w:rPr>
      <w:rFonts w:ascii="Segoe UI" w:cs="Segoe UI" w:eastAsia="Lato" w:hAnsi="Segoe UI"/>
      <w:sz w:val="18"/>
      <w:szCs w:val="18"/>
      <w:lang w:eastAsia="pt-PT"/>
    </w:rPr>
  </w:style>
  <w:style w:type="paragraph" w:styleId="Cabealho">
    <w:name w:val="header"/>
    <w:basedOn w:val="Normal"/>
    <w:link w:val="CabealhoCarter"/>
    <w:uiPriority w:val="99"/>
    <w:unhideWhenUsed w:val="1"/>
    <w:rsid w:val="00F33D72"/>
    <w:pPr>
      <w:tabs>
        <w:tab w:val="center" w:pos="4252"/>
        <w:tab w:val="right" w:pos="8504"/>
      </w:tabs>
      <w:spacing w:after="0" w:line="240" w:lineRule="auto"/>
    </w:pPr>
  </w:style>
  <w:style w:type="character" w:styleId="CabealhoCarter" w:customStyle="1">
    <w:name w:val="Cabeçalho Caráter"/>
    <w:basedOn w:val="Tipodeletrapredefinidodopargrafo"/>
    <w:link w:val="Cabealho"/>
    <w:uiPriority w:val="99"/>
    <w:rsid w:val="00F33D72"/>
    <w:rPr>
      <w:rFonts w:ascii="Lato" w:cs="Lato" w:eastAsia="Lato" w:hAnsi="Lato"/>
      <w:sz w:val="20"/>
      <w:szCs w:val="20"/>
      <w:lang w:eastAsia="pt-PT"/>
    </w:rPr>
  </w:style>
  <w:style w:type="paragraph" w:styleId="Rodap">
    <w:name w:val="footer"/>
    <w:basedOn w:val="Normal"/>
    <w:link w:val="RodapCarter"/>
    <w:uiPriority w:val="99"/>
    <w:unhideWhenUsed w:val="1"/>
    <w:rsid w:val="00F33D72"/>
    <w:pPr>
      <w:tabs>
        <w:tab w:val="center" w:pos="4252"/>
        <w:tab w:val="right" w:pos="8504"/>
      </w:tabs>
      <w:spacing w:after="0" w:line="240" w:lineRule="auto"/>
    </w:pPr>
  </w:style>
  <w:style w:type="character" w:styleId="RodapCarter" w:customStyle="1">
    <w:name w:val="Rodapé Caráter"/>
    <w:basedOn w:val="Tipodeletrapredefinidodopargrafo"/>
    <w:link w:val="Rodap"/>
    <w:uiPriority w:val="99"/>
    <w:rsid w:val="00F33D72"/>
    <w:rPr>
      <w:rFonts w:ascii="Lato" w:cs="Lato" w:eastAsia="Lato" w:hAnsi="Lato"/>
      <w:sz w:val="20"/>
      <w:szCs w:val="20"/>
      <w:lang w:eastAsia="pt-PT"/>
    </w:rPr>
  </w:style>
  <w:style w:type="paragraph" w:styleId="PargrafodaLista">
    <w:name w:val="List Paragraph"/>
    <w:basedOn w:val="Normal"/>
    <w:uiPriority w:val="34"/>
    <w:qFormat w:val="1"/>
    <w:rsid w:val="00BC102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mdpi.com/1660-4601/19/24/17035" TargetMode="External"/><Relationship Id="rId10" Type="http://schemas.openxmlformats.org/officeDocument/2006/relationships/hyperlink" Target="http://mdpi.com/2072-6643/16/16/2728" TargetMode="External"/><Relationship Id="rId13" Type="http://schemas.openxmlformats.org/officeDocument/2006/relationships/hyperlink" Target="http://healtheconomicsreview.biomedcentral.com/articles/10.1186/s13561-024-00550-2" TargetMode="External"/><Relationship Id="rId12" Type="http://schemas.openxmlformats.org/officeDocument/2006/relationships/hyperlink" Target="http://onlinelibrary.wiley.com/doi/full/10.1002/ehf2.145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edrxiv.org/content/10.1101/2024.08.28.24312695v1" TargetMode="External"/><Relationship Id="rId15" Type="http://schemas.openxmlformats.org/officeDocument/2006/relationships/hyperlink" Target="http://heart.bmj.com/content/109/7/548" TargetMode="External"/><Relationship Id="rId14" Type="http://schemas.openxmlformats.org/officeDocument/2006/relationships/hyperlink" Target="http://sciencedirect.com/science/article/pii/S0021915023002113" TargetMode="External"/><Relationship Id="rId17" Type="http://schemas.openxmlformats.org/officeDocument/2006/relationships/hyperlink" Target="http://www.ehden.eu" TargetMode="External"/><Relationship Id="rId16" Type="http://schemas.openxmlformats.org/officeDocument/2006/relationships/hyperlink" Target="http://thelancet.com/journals/lanepe/article/PIIS2666-7762(22)00132-6"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www.european-health-data-space.com/" TargetMode="External"/><Relationship Id="rId7" Type="http://schemas.openxmlformats.org/officeDocument/2006/relationships/hyperlink" Target="mailto:cristina.jacome@mtg.pt" TargetMode="External"/><Relationship Id="rId8" Type="http://schemas.openxmlformats.org/officeDocument/2006/relationships/hyperlink" Target="https://sifide.ani.pt/PDFViewer.aspx?FileId_In=1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PTMono-regular.ttf"/><Relationship Id="rId9" Type="http://schemas.openxmlformats.org/officeDocument/2006/relationships/font" Target="fonts/NovaMono-regular.ttf"/><Relationship Id="rId5" Type="http://schemas.openxmlformats.org/officeDocument/2006/relationships/font" Target="fonts/BarlowCondensedMedium-regular.ttf"/><Relationship Id="rId6" Type="http://schemas.openxmlformats.org/officeDocument/2006/relationships/font" Target="fonts/BarlowCondensedMedium-bold.ttf"/><Relationship Id="rId7" Type="http://schemas.openxmlformats.org/officeDocument/2006/relationships/font" Target="fonts/BarlowCondensedMedium-italic.ttf"/><Relationship Id="rId8" Type="http://schemas.openxmlformats.org/officeDocument/2006/relationships/font" Target="fonts/BarlowCondensedMedium-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7QmFErOftOpQ2T/LPGgDX4HIcQ==">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2024-05-24T14:26:00Z</dcterms:created>
  <dc:creator>Rita Oliveira</dc:creator>
</cp:coreProperties>
</file>