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both"/>
        <w:rPr>
          <w:rFonts w:ascii="Lato" w:cs="Lato" w:eastAsia="Lato" w:hAnsi="Lato"/>
          <w:color w:val="999999"/>
        </w:rPr>
      </w:pPr>
      <w:r w:rsidDel="00000000" w:rsidR="00000000" w:rsidRPr="00000000">
        <w:rPr>
          <w:rFonts w:ascii="Lato" w:cs="Lato" w:eastAsia="Lato" w:hAnsi="Lato"/>
          <w:color w:val="999999"/>
          <w:rtl w:val="0"/>
        </w:rPr>
        <w:t xml:space="preserve">Please complete the current document according to the instructions on this page and the Standard Operating Procedure(SOP) Document Templates </w:t>
      </w:r>
      <w:hyperlink r:id="rId6">
        <w:r w:rsidDel="00000000" w:rsidR="00000000" w:rsidRPr="00000000">
          <w:rPr>
            <w:rFonts w:ascii="Lato" w:cs="Lato" w:eastAsia="Lato" w:hAnsi="Lato"/>
            <w:color w:val="1155cc"/>
            <w:u w:val="single"/>
            <w:rtl w:val="0"/>
          </w:rPr>
          <w:t xml:space="preserve">[MTG-DOC-001]</w:t>
        </w:r>
      </w:hyperlink>
      <w:r w:rsidDel="00000000" w:rsidR="00000000" w:rsidRPr="00000000">
        <w:rPr>
          <w:rFonts w:ascii="Lato" w:cs="Lato" w:eastAsia="Lato" w:hAnsi="Lato"/>
          <w:color w:val="999999"/>
          <w:rtl w:val="0"/>
        </w:rPr>
        <w:t xml:space="preserve">.</w:t>
      </w:r>
    </w:p>
    <w:p w:rsidR="00000000" w:rsidDel="00000000" w:rsidP="00000000" w:rsidRDefault="00000000" w:rsidRPr="00000000" w14:paraId="00000002">
      <w:pPr>
        <w:pStyle w:val="Heading4"/>
        <w:spacing w:after="0" w:before="0" w:line="360" w:lineRule="auto"/>
        <w:rPr>
          <w:rFonts w:ascii="Lato" w:cs="Lato" w:eastAsia="Lato" w:hAnsi="Lato"/>
          <w:b w:val="1"/>
          <w:bCs w:val="1"/>
          <w:color w:val="999999"/>
          <w:sz w:val="22"/>
          <w:szCs w:val="22"/>
        </w:rPr>
      </w:pPr>
      <w:bookmarkStart w:colFirst="0" w:colLast="0" w:name="_yxd41pguzbqu" w:id="0"/>
      <w:bookmarkEnd w:id="0"/>
      <w:r w:rsidDel="00000000" w:rsidR="00000000" w:rsidRPr="00000000">
        <w:rPr>
          <w:rFonts w:ascii="Lato" w:cs="Lato" w:eastAsia="Lato" w:hAnsi="Lato"/>
          <w:b w:val="1"/>
          <w:bCs w:val="1"/>
          <w:color w:val="999999"/>
          <w:sz w:val="22"/>
          <w:szCs w:val="22"/>
          <w:rtl w:val="0"/>
        </w:rPr>
        <w:t xml:space="preserve">Template Name</w:t>
      </w:r>
    </w:p>
    <w:p w:rsidR="00000000" w:rsidDel="00000000" w:rsidP="00000000" w:rsidRDefault="00000000" w:rsidRPr="00000000" w14:paraId="00000003">
      <w:pPr>
        <w:spacing w:after="160" w:line="360" w:lineRule="auto"/>
        <w:jc w:val="both"/>
        <w:rPr>
          <w:rFonts w:ascii="Lato" w:cs="Lato" w:eastAsia="Lato" w:hAnsi="Lato"/>
          <w:color w:val="999999"/>
        </w:rPr>
      </w:pPr>
      <w:r w:rsidDel="00000000" w:rsidR="00000000" w:rsidRPr="00000000">
        <w:rPr>
          <w:color w:val="999999"/>
          <w:rtl w:val="0"/>
        </w:rPr>
        <w:t xml:space="preserve">MTG-TPL-040 Supplementary Material</w:t>
      </w:r>
      <w:r w:rsidDel="00000000" w:rsidR="00000000" w:rsidRPr="00000000">
        <w:rPr>
          <w:rtl w:val="0"/>
        </w:rPr>
      </w:r>
    </w:p>
    <w:p w:rsidR="00000000" w:rsidDel="00000000" w:rsidP="00000000" w:rsidRDefault="00000000" w:rsidRPr="00000000" w14:paraId="00000004">
      <w:pPr>
        <w:pStyle w:val="Heading4"/>
        <w:spacing w:after="0" w:before="0" w:line="360" w:lineRule="auto"/>
        <w:rPr>
          <w:rFonts w:ascii="Lato" w:cs="Lato" w:eastAsia="Lato" w:hAnsi="Lato"/>
          <w:b w:val="1"/>
          <w:bCs w:val="1"/>
          <w:color w:val="999999"/>
          <w:sz w:val="22"/>
          <w:szCs w:val="22"/>
        </w:rPr>
      </w:pPr>
      <w:bookmarkStart w:colFirst="0" w:colLast="0" w:name="_fcr87pxzd3s0" w:id="1"/>
      <w:bookmarkEnd w:id="1"/>
      <w:r w:rsidDel="00000000" w:rsidR="00000000" w:rsidRPr="00000000">
        <w:rPr>
          <w:rFonts w:ascii="Lato" w:cs="Lato" w:eastAsia="Lato" w:hAnsi="Lato"/>
          <w:b w:val="1"/>
          <w:bCs w:val="1"/>
          <w:color w:val="999999"/>
          <w:sz w:val="22"/>
          <w:szCs w:val="22"/>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line="240" w:lineRule="auto"/>
              <w:rPr>
                <w:rFonts w:ascii="Lato" w:cs="Lato" w:eastAsia="Lato" w:hAnsi="Lato"/>
                <w:b w:val="1"/>
                <w:bCs w:val="1"/>
                <w:color w:val="999999"/>
              </w:rPr>
            </w:pPr>
            <w:r w:rsidDel="00000000" w:rsidR="00000000" w:rsidRPr="00000000">
              <w:rPr>
                <w:rFonts w:ascii="Lato" w:cs="Lato" w:eastAsia="Lato" w:hAnsi="Lato"/>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line="240" w:lineRule="auto"/>
              <w:rPr>
                <w:rFonts w:ascii="Lato" w:cs="Lato" w:eastAsia="Lato" w:hAnsi="Lato"/>
                <w:color w:val="999999"/>
              </w:rPr>
            </w:pPr>
            <w:hyperlink r:id="rId7">
              <w:r w:rsidDel="00000000" w:rsidR="00000000" w:rsidRPr="00000000">
                <w:rPr>
                  <w:rFonts w:ascii="Lato" w:cs="Lato" w:eastAsia="Lato" w:hAnsi="Lato"/>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line="240" w:lineRule="auto"/>
              <w:rPr>
                <w:rFonts w:ascii="Lato" w:cs="Lato" w:eastAsia="Lato" w:hAnsi="Lato"/>
                <w:color w:val="999999"/>
              </w:rPr>
            </w:pPr>
            <w:r w:rsidDel="00000000" w:rsidR="00000000" w:rsidRPr="00000000">
              <w:rPr>
                <w:rFonts w:ascii="Lato" w:cs="Lato" w:eastAsia="Lato" w:hAnsi="Lato"/>
                <w:color w:val="999999"/>
                <w:rtl w:val="0"/>
              </w:rPr>
              <w:t xml:space="preserve">Feb 7,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line="240" w:lineRule="auto"/>
              <w:rPr>
                <w:rFonts w:ascii="Lato" w:cs="Lato" w:eastAsia="Lato" w:hAnsi="Lato"/>
                <w:color w:val="999999"/>
              </w:rPr>
            </w:pPr>
            <w:r w:rsidDel="00000000" w:rsidR="00000000" w:rsidRPr="00000000">
              <w:rPr>
                <w:rFonts w:ascii="Lato" w:cs="Lato" w:eastAsia="Lato" w:hAnsi="Lato"/>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line="240" w:lineRule="auto"/>
              <w:rPr>
                <w:rFonts w:ascii="Lato" w:cs="Lato" w:eastAsia="Lato" w:hAnsi="Lato"/>
                <w:color w:val="999999"/>
              </w:rPr>
            </w:pPr>
            <w:r w:rsidDel="00000000" w:rsidR="00000000" w:rsidRPr="00000000">
              <w:rPr>
                <w:rtl w:val="0"/>
              </w:rPr>
            </w:r>
          </w:p>
        </w:tc>
      </w:tr>
    </w:tbl>
    <w:p w:rsidR="00000000" w:rsidDel="00000000" w:rsidP="00000000" w:rsidRDefault="00000000" w:rsidRPr="00000000" w14:paraId="0000000F">
      <w:pPr>
        <w:pStyle w:val="Heading4"/>
        <w:spacing w:after="0" w:before="0" w:line="360" w:lineRule="auto"/>
        <w:rPr>
          <w:rFonts w:ascii="Lato" w:cs="Lato" w:eastAsia="Lato" w:hAnsi="Lato"/>
          <w:b w:val="1"/>
          <w:bCs w:val="1"/>
          <w:color w:val="000000"/>
          <w:sz w:val="22"/>
          <w:szCs w:val="22"/>
        </w:rPr>
      </w:pPr>
      <w:bookmarkStart w:colFirst="0" w:colLast="0" w:name="_vo3h8xvsq2sf" w:id="2"/>
      <w:bookmarkEnd w:id="2"/>
      <w:r w:rsidDel="00000000" w:rsidR="00000000" w:rsidRPr="00000000">
        <w:rPr>
          <w:rtl w:val="0"/>
        </w:rPr>
      </w:r>
    </w:p>
    <w:p w:rsidR="00000000" w:rsidDel="00000000" w:rsidP="00000000" w:rsidRDefault="00000000" w:rsidRPr="00000000" w14:paraId="00000010">
      <w:pPr>
        <w:pStyle w:val="Heading4"/>
        <w:spacing w:after="0" w:before="0" w:line="360" w:lineRule="auto"/>
        <w:rPr>
          <w:rFonts w:ascii="Lato" w:cs="Lato" w:eastAsia="Lato" w:hAnsi="Lato"/>
          <w:b w:val="1"/>
          <w:bCs w:val="1"/>
          <w:color w:val="999999"/>
          <w:sz w:val="22"/>
          <w:szCs w:val="22"/>
        </w:rPr>
      </w:pPr>
      <w:bookmarkStart w:colFirst="0" w:colLast="0" w:name="_6srhvux3x51x" w:id="3"/>
      <w:bookmarkEnd w:id="3"/>
      <w:r w:rsidDel="00000000" w:rsidR="00000000" w:rsidRPr="00000000">
        <w:rPr>
          <w:rFonts w:ascii="Lato" w:cs="Lato" w:eastAsia="Lato" w:hAnsi="Lato"/>
          <w:b w:val="1"/>
          <w:bCs w:val="1"/>
          <w:color w:val="999999"/>
          <w:sz w:val="22"/>
          <w:szCs w:val="22"/>
          <w:rtl w:val="0"/>
        </w:rPr>
        <w:t xml:space="preserve">Instructions</w:t>
      </w:r>
    </w:p>
    <w:p w:rsidR="00000000" w:rsidDel="00000000" w:rsidP="00000000" w:rsidRDefault="00000000" w:rsidRPr="00000000" w14:paraId="00000011">
      <w:pPr>
        <w:spacing w:after="160" w:line="360" w:lineRule="auto"/>
        <w:jc w:val="both"/>
        <w:rPr>
          <w:rFonts w:ascii="Lato" w:cs="Lato" w:eastAsia="Lato" w:hAnsi="Lato"/>
          <w:color w:val="999999"/>
        </w:rPr>
      </w:pPr>
      <w:r w:rsidDel="00000000" w:rsidR="00000000" w:rsidRPr="00000000">
        <w:rPr>
          <w:rFonts w:ascii="Lato" w:cs="Lato" w:eastAsia="Lato" w:hAnsi="Lato"/>
          <w:color w:val="999999"/>
          <w:shd w:fill="d9d9d9" w:val="clear"/>
          <w:rtl w:val="0"/>
        </w:rPr>
        <w:t xml:space="preserve">[...]</w:t>
      </w:r>
      <w:r w:rsidDel="00000000" w:rsidR="00000000" w:rsidRPr="00000000">
        <w:rPr>
          <w:rFonts w:ascii="Lato" w:cs="Lato" w:eastAsia="Lato" w:hAnsi="Lato"/>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2">
      <w:pPr>
        <w:spacing w:after="160" w:line="360" w:lineRule="auto"/>
        <w:jc w:val="both"/>
        <w:rPr>
          <w:rFonts w:ascii="Lato" w:cs="Lato" w:eastAsia="Lato" w:hAnsi="Lato"/>
          <w:color w:val="999999"/>
        </w:rPr>
      </w:pPr>
      <w:r w:rsidDel="00000000" w:rsidR="00000000" w:rsidRPr="00000000">
        <w:rPr>
          <w:rFonts w:ascii="Lato" w:cs="Lato" w:eastAsia="Lato" w:hAnsi="Lato"/>
          <w:color w:val="999999"/>
          <w:shd w:fill="d9d9d9" w:val="clear"/>
          <w:rtl w:val="0"/>
        </w:rPr>
        <w:t xml:space="preserve">{...}</w:t>
      </w:r>
      <w:r w:rsidDel="00000000" w:rsidR="00000000" w:rsidRPr="00000000">
        <w:rPr>
          <w:rFonts w:ascii="Lato" w:cs="Lato" w:eastAsia="Lato" w:hAnsi="Lato"/>
          <w:color w:val="999999"/>
          <w:rtl w:val="0"/>
        </w:rPr>
        <w:t xml:space="preserve"> Indicates an instruction to consider in the following content blocks. Proceed according to such instruction, then delete the </w:t>
      </w:r>
      <w:r w:rsidDel="00000000" w:rsidR="00000000" w:rsidRPr="00000000">
        <w:rPr>
          <w:rFonts w:ascii="Lato" w:cs="Lato" w:eastAsia="Lato" w:hAnsi="Lato"/>
          <w:color w:val="999999"/>
          <w:shd w:fill="d9d9d9" w:val="clear"/>
          <w:rtl w:val="0"/>
        </w:rPr>
        <w:t xml:space="preserve">{...}</w:t>
      </w:r>
      <w:r w:rsidDel="00000000" w:rsidR="00000000" w:rsidRPr="00000000">
        <w:rPr>
          <w:rFonts w:ascii="Lato" w:cs="Lato" w:eastAsia="Lato" w:hAnsi="Lato"/>
          <w:color w:val="999999"/>
          <w:rtl w:val="0"/>
        </w:rPr>
        <w:t xml:space="preserve"> blocks before finalizing the document.</w:t>
      </w:r>
    </w:p>
    <w:p w:rsidR="00000000" w:rsidDel="00000000" w:rsidP="00000000" w:rsidRDefault="00000000" w:rsidRPr="00000000" w14:paraId="00000013">
      <w:pPr>
        <w:rPr>
          <w:rFonts w:ascii="Lato" w:cs="Lato" w:eastAsia="Lato" w:hAnsi="Lato"/>
          <w:color w:val="999999"/>
        </w:rPr>
      </w:pPr>
      <w:r w:rsidDel="00000000" w:rsidR="00000000" w:rsidRPr="00000000">
        <w:rPr>
          <w:rFonts w:ascii="Lato" w:cs="Lato" w:eastAsia="Lato" w:hAnsi="Lato"/>
          <w:color w:val="999999"/>
          <w:rtl w:val="0"/>
        </w:rPr>
        <w:t xml:space="preserve">Delete this page before finalizing the document.</w:t>
      </w:r>
    </w:p>
    <w:p w:rsidR="00000000" w:rsidDel="00000000" w:rsidP="00000000" w:rsidRDefault="00000000" w:rsidRPr="00000000" w14:paraId="00000014">
      <w:pPr>
        <w:rPr>
          <w:rFonts w:ascii="Lato" w:cs="Lato" w:eastAsia="Lato" w:hAnsi="Lato"/>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spacing w:line="360" w:lineRule="auto"/>
        <w:jc w:val="center"/>
        <w:rPr/>
      </w:pPr>
      <w:bookmarkStart w:colFirst="0" w:colLast="0" w:name="_w7hbztrqe02r" w:id="4"/>
      <w:bookmarkEnd w:id="4"/>
      <w:r w:rsidDel="00000000" w:rsidR="00000000" w:rsidRPr="00000000">
        <w:rPr>
          <w:rtl w:val="0"/>
        </w:rPr>
        <w:t xml:space="preserve">Supplementary Material</w:t>
      </w:r>
    </w:p>
    <w:p w:rsidR="00000000" w:rsidDel="00000000" w:rsidP="00000000" w:rsidRDefault="00000000" w:rsidRPr="00000000" w14:paraId="00000016">
      <w:pPr>
        <w:pStyle w:val="Heading1"/>
        <w:rPr/>
      </w:pPr>
      <w:bookmarkStart w:colFirst="0" w:colLast="0" w:name="_krb79qi8xwkq" w:id="5"/>
      <w:bookmarkEnd w:id="5"/>
      <w:r w:rsidDel="00000000" w:rsidR="00000000" w:rsidRPr="00000000">
        <w:rPr>
          <w:rtl w:val="0"/>
        </w:rPr>
        <w:t xml:space="preserve">Contents</w:t>
      </w:r>
    </w:p>
    <w:sdt>
      <w:sdtPr>
        <w:id w:val="1480875650"/>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pb0vu3dmjcf">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Study Group</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jc w:val="left"/>
            <w:rPr>
              <w:b w:val="1"/>
              <w:bCs w:val="1"/>
              <w:color w:val="000000"/>
              <w:u w:val="none"/>
            </w:rPr>
          </w:pPr>
          <w:hyperlink w:anchor="_yrthzjgwqkf4">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Data Source(s)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color w:val="000000"/>
              <w:u w:val="none"/>
            </w:rPr>
          </w:pPr>
          <w:hyperlink w:anchor="_n58julqv3lw">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Data Source [...]</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color w:val="000000"/>
              <w:u w:val="none"/>
            </w:rPr>
          </w:pPr>
          <w:hyperlink w:anchor="_5z0gdvu2a050">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Data Source [...]</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left"/>
            <w:rPr>
              <w:b w:val="1"/>
              <w:bCs w:val="1"/>
              <w:color w:val="000000"/>
              <w:u w:val="none"/>
            </w:rPr>
          </w:pPr>
          <w:hyperlink w:anchor="_7gisdph920tc">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Supplementary Table(s)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color w:val="000000"/>
              <w:u w:val="none"/>
            </w:rPr>
          </w:pPr>
          <w:hyperlink w:anchor="_ewugt9of86ex">
            <w:r w:rsidDel="00000000" w:rsidR="00000000" w:rsidRPr="00000000">
              <w:rPr>
                <w:color w:val="000000"/>
                <w:u w:val="none"/>
                <w:rtl w:val="0"/>
              </w:rPr>
              <w:t xml:space="preserve">Table 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left"/>
            <w:rPr>
              <w:b w:val="1"/>
              <w:bCs w:val="1"/>
              <w:color w:val="000000"/>
              <w:u w:val="none"/>
            </w:rPr>
          </w:pPr>
          <w:hyperlink w:anchor="_41lwpwlfg30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Supplementary Figure(s)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color w:val="000000"/>
              <w:u w:val="none"/>
            </w:rPr>
          </w:pPr>
          <w:hyperlink w:anchor="_t4hhkg9oux8y">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Figure 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left"/>
            <w:rPr>
              <w:b w:val="1"/>
              <w:bCs w:val="1"/>
              <w:color w:val="000000"/>
              <w:u w:val="none"/>
            </w:rPr>
          </w:pPr>
          <w:hyperlink w:anchor="_9dbw80j5xh0o">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rPr/>
      </w:pPr>
      <w:bookmarkStart w:colFirst="0" w:colLast="0" w:name="_xc7zou167i7x" w:id="6"/>
      <w:bookmarkEnd w:id="6"/>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rpb0vu3dmjcf" w:id="7"/>
      <w:bookmarkEnd w:id="7"/>
      <w:r w:rsidDel="00000000" w:rsidR="00000000" w:rsidRPr="00000000">
        <w:rPr>
          <w:rtl w:val="0"/>
        </w:rPr>
        <w:t xml:space="preserve">Study Group</w:t>
      </w:r>
    </w:p>
    <w:p w:rsidR="00000000" w:rsidDel="00000000" w:rsidP="00000000" w:rsidRDefault="00000000" w:rsidRPr="00000000" w14:paraId="00000022">
      <w:pPr>
        <w:spacing w:after="160" w:line="360" w:lineRule="auto"/>
        <w:rPr>
          <w:shd w:fill="d9d9d9" w:val="clear"/>
        </w:rPr>
      </w:pPr>
      <w:r w:rsidDel="00000000" w:rsidR="00000000" w:rsidRPr="00000000">
        <w:rPr>
          <w:shd w:fill="d9d9d9" w:val="clear"/>
          <w:rtl w:val="0"/>
        </w:rPr>
        <w:t xml:space="preserve">{In real-world evidence studies, the manuscript may refer to the collective group as a consortium. For instance, it might designate the authors as “The XYZ Study Group,” with detailed information about the participating members included in the Supplementary Material. When listing members, order them by contribution; if contributions are similar, opt for alphabetical order. While it is acceptable to list names only, providing both names and affiliations is preferred for clarity. Remove this section if not applicable.}</w:t>
      </w:r>
    </w:p>
    <w:p w:rsidR="00000000" w:rsidDel="00000000" w:rsidP="00000000" w:rsidRDefault="00000000" w:rsidRPr="00000000" w14:paraId="00000023">
      <w:pPr>
        <w:spacing w:after="160" w:line="360" w:lineRule="auto"/>
        <w:jc w:val="left"/>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4">
      <w:pPr>
        <w:pStyle w:val="Heading1"/>
        <w:rPr/>
      </w:pPr>
      <w:bookmarkStart w:colFirst="0" w:colLast="0" w:name="_yrthzjgwqkf4" w:id="8"/>
      <w:bookmarkEnd w:id="8"/>
      <w:r w:rsidDel="00000000" w:rsidR="00000000" w:rsidRPr="00000000">
        <w:rPr>
          <w:rtl w:val="0"/>
        </w:rPr>
        <w:t xml:space="preserve">Data Source(s)</w:t>
      </w:r>
    </w:p>
    <w:p w:rsidR="00000000" w:rsidDel="00000000" w:rsidP="00000000" w:rsidRDefault="00000000" w:rsidRPr="00000000" w14:paraId="00000025">
      <w:pPr>
        <w:spacing w:after="160" w:line="360" w:lineRule="auto"/>
        <w:rPr>
          <w:shd w:fill="d9d9d9" w:val="clear"/>
        </w:rPr>
      </w:pPr>
      <w:r w:rsidDel="00000000" w:rsidR="00000000" w:rsidRPr="00000000">
        <w:rPr>
          <w:shd w:fill="d9d9d9" w:val="clear"/>
          <w:rtl w:val="0"/>
        </w:rPr>
        <w:t xml:space="preserve">{In the Supplementary Material we have the opportunity to better describe the data source(s) used in our RWE manuscript. </w:t>
      </w:r>
    </w:p>
    <w:p w:rsidR="00000000" w:rsidDel="00000000" w:rsidP="00000000" w:rsidRDefault="00000000" w:rsidRPr="00000000" w14:paraId="00000026">
      <w:pPr>
        <w:spacing w:after="160" w:line="360" w:lineRule="auto"/>
        <w:rPr>
          <w:rFonts w:ascii="Times New Roman" w:cs="Times New Roman" w:eastAsia="Times New Roman" w:hAnsi="Times New Roman"/>
          <w:sz w:val="20"/>
          <w:szCs w:val="20"/>
        </w:rPr>
      </w:pPr>
      <w:r w:rsidDel="00000000" w:rsidR="00000000" w:rsidRPr="00000000">
        <w:rPr>
          <w:shd w:fill="d9d9d9" w:val="clear"/>
          <w:rtl w:val="0"/>
        </w:rPr>
        <w:t xml:space="preserve">Example of an introductory sentence: The study processed data from xx local health units/health institutions. A detailed description of the respective data source(s) is provided below.}</w:t>
      </w:r>
      <w:r w:rsidDel="00000000" w:rsidR="00000000" w:rsidRPr="00000000">
        <w:rPr>
          <w:rtl w:val="0"/>
        </w:rPr>
      </w:r>
    </w:p>
    <w:p w:rsidR="00000000" w:rsidDel="00000000" w:rsidP="00000000" w:rsidRDefault="00000000" w:rsidRPr="00000000" w14:paraId="00000027">
      <w:pPr>
        <w:pStyle w:val="Heading2"/>
        <w:rPr/>
      </w:pPr>
      <w:bookmarkStart w:colFirst="0" w:colLast="0" w:name="_n58julqv3lw" w:id="9"/>
      <w:bookmarkEnd w:id="9"/>
      <w:r w:rsidDel="00000000" w:rsidR="00000000" w:rsidRPr="00000000">
        <w:rPr>
          <w:rtl w:val="0"/>
        </w:rPr>
        <w:t xml:space="preserve">Data Source </w:t>
      </w: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{For each data source describe: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shd w:fill="d9d9d9" w:val="clear"/>
        </w:rPr>
      </w:pPr>
      <w:r w:rsidDel="00000000" w:rsidR="00000000" w:rsidRPr="00000000">
        <w:rPr>
          <w:shd w:fill="d9d9d9" w:val="clear"/>
          <w:rtl w:val="0"/>
        </w:rPr>
        <w:t xml:space="preserve">Geographic Location(s): where the data is collected.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shd w:fill="d9d9d9" w:val="clear"/>
        </w:rPr>
      </w:pPr>
      <w:r w:rsidDel="00000000" w:rsidR="00000000" w:rsidRPr="00000000">
        <w:rPr>
          <w:shd w:fill="d9d9d9" w:val="clear"/>
          <w:rtl w:val="0"/>
        </w:rPr>
        <w:t xml:space="preserve">Time periods: periods of recruitment, exposure, follow-up and data collection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shd w:fill="d9d9d9" w:val="clear"/>
        </w:rPr>
      </w:pPr>
      <w:r w:rsidDel="00000000" w:rsidR="00000000" w:rsidRPr="00000000">
        <w:rPr>
          <w:shd w:fill="d9d9d9" w:val="clear"/>
          <w:rtl w:val="0"/>
        </w:rPr>
        <w:t xml:space="preserve">Health Care System Context: overall structure (e.g., universal coverage); care models (types and number of care providers); sectors (e.g., primary care, inpatient settings, specialist care, nursing homes,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shd w:fill="d9d9d9" w:val="clear"/>
        </w:rPr>
      </w:pPr>
      <w:r w:rsidDel="00000000" w:rsidR="00000000" w:rsidRPr="00000000">
        <w:rPr>
          <w:shd w:fill="d9d9d9" w:val="clear"/>
          <w:rtl w:val="0"/>
        </w:rPr>
        <w:t xml:space="preserve">Population Size and Characteristics: proportion of the included population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shd w:fill="d9d9d9" w:val="clear"/>
        </w:rPr>
      </w:pPr>
      <w:r w:rsidDel="00000000" w:rsidR="00000000" w:rsidRPr="00000000">
        <w:rPr>
          <w:shd w:fill="d9d9d9" w:val="clear"/>
          <w:rtl w:val="0"/>
        </w:rPr>
        <w:t xml:space="preserve">Payment structures (e.g., capitation, fee-for-service).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u w:val="none"/>
          <w:shd w:fill="d9d9d9" w:val="clear"/>
        </w:rPr>
      </w:pPr>
      <w:r w:rsidDel="00000000" w:rsidR="00000000" w:rsidRPr="00000000">
        <w:rPr>
          <w:shd w:fill="d9d9d9" w:val="clear"/>
          <w:rtl w:val="0"/>
        </w:rPr>
        <w:t xml:space="preserve">Missing data components</w:t>
      </w: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F">
      <w:pPr>
        <w:pStyle w:val="Heading2"/>
        <w:rPr>
          <w:shd w:fill="d9d9d9" w:val="clear"/>
        </w:rPr>
      </w:pPr>
      <w:bookmarkStart w:colFirst="0" w:colLast="0" w:name="_5z0gdvu2a050" w:id="10"/>
      <w:bookmarkEnd w:id="10"/>
      <w:r w:rsidDel="00000000" w:rsidR="00000000" w:rsidRPr="00000000">
        <w:rPr>
          <w:rtl w:val="0"/>
        </w:rPr>
        <w:t xml:space="preserve">Data Source </w:t>
      </w:r>
      <w:r w:rsidDel="00000000" w:rsidR="00000000" w:rsidRPr="00000000">
        <w:rPr>
          <w:shd w:fill="d9d9d9" w:val="clear"/>
          <w:rtl w:val="0"/>
        </w:rPr>
        <w:t xml:space="preserve">[...]</w:t>
      </w:r>
    </w:p>
    <w:p w:rsidR="00000000" w:rsidDel="00000000" w:rsidP="00000000" w:rsidRDefault="00000000" w:rsidRPr="00000000" w14:paraId="00000030">
      <w:pPr>
        <w:pStyle w:val="Heading1"/>
        <w:rPr/>
      </w:pPr>
      <w:bookmarkStart w:colFirst="0" w:colLast="0" w:name="_vkrry26n6439" w:id="11"/>
      <w:bookmarkEnd w:id="11"/>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7gisdph920tc" w:id="12"/>
      <w:bookmarkEnd w:id="12"/>
      <w:r w:rsidDel="00000000" w:rsidR="00000000" w:rsidRPr="00000000">
        <w:rPr>
          <w:rtl w:val="0"/>
        </w:rPr>
        <w:t xml:space="preserve">Supplementary Table(s)</w:t>
      </w:r>
    </w:p>
    <w:p w:rsidR="00000000" w:rsidDel="00000000" w:rsidP="00000000" w:rsidRDefault="00000000" w:rsidRPr="00000000" w14:paraId="00000032">
      <w:pPr>
        <w:pStyle w:val="Heading2"/>
        <w:spacing w:line="360" w:lineRule="auto"/>
        <w:rPr>
          <w:shd w:fill="d9d9d9" w:val="clear"/>
        </w:rPr>
      </w:pPr>
      <w:bookmarkStart w:colFirst="0" w:colLast="0" w:name="_ewugt9of86ex" w:id="13"/>
      <w:bookmarkEnd w:id="13"/>
      <w:r w:rsidDel="00000000" w:rsidR="00000000" w:rsidRPr="00000000">
        <w:rPr>
          <w:rtl w:val="0"/>
        </w:rPr>
        <w:t xml:space="preserve">Table S</w:t>
      </w:r>
      <w:r w:rsidDel="00000000" w:rsidR="00000000" w:rsidRPr="00000000">
        <w:rPr>
          <w:shd w:fill="d9d9d9" w:val="clear"/>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{Add a table caption before the table.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Arrange variables in a logical order (e.g., as presented in Methods section).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Mention units of measurement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Explain any abbreviations in footnotes.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Only horizontal lines are allowed.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hd w:fill="d9d9d9" w:val="clear"/>
        </w:rPr>
      </w:pPr>
      <w:r w:rsidDel="00000000" w:rsidR="00000000" w:rsidRPr="00000000">
        <w:rPr>
          <w:shd w:fill="d9d9d9" w:val="clear"/>
          <w:rtl w:val="0"/>
        </w:rPr>
        <w:t xml:space="preserve">Standardize decimal cases.}</w:t>
      </w:r>
    </w:p>
    <w:p w:rsidR="00000000" w:rsidDel="00000000" w:rsidP="00000000" w:rsidRDefault="00000000" w:rsidRPr="00000000" w14:paraId="00000039">
      <w:pPr>
        <w:rPr>
          <w:rFonts w:ascii="Barlow Condensed Medium" w:cs="Barlow Condensed Medium" w:eastAsia="Barlow Condensed Medium" w:hAnsi="Barlow Condensed Medium"/>
          <w:color w:val="009fda"/>
          <w:sz w:val="32"/>
          <w:szCs w:val="32"/>
          <w:shd w:fill="d9d9d9" w:val="clea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Example:</w:t>
      </w:r>
    </w:p>
    <w:p w:rsidR="00000000" w:rsidDel="00000000" w:rsidP="00000000" w:rsidRDefault="00000000" w:rsidRPr="00000000" w14:paraId="0000003B">
      <w:pPr>
        <w:spacing w:after="0" w:line="360" w:lineRule="auto"/>
        <w:rPr>
          <w:rFonts w:ascii="Barlow Condensed Medium" w:cs="Barlow Condensed Medium" w:eastAsia="Barlow Condensed Medium" w:hAnsi="Barlow Condensed Medium"/>
          <w:color w:val="009fda"/>
          <w:sz w:val="32"/>
          <w:szCs w:val="32"/>
        </w:rPr>
      </w:pPr>
      <w:r w:rsidDel="00000000" w:rsidR="00000000" w:rsidRPr="00000000">
        <w:rPr>
          <w:rFonts w:ascii="Barlow Condensed Medium" w:cs="Barlow Condensed Medium" w:eastAsia="Barlow Condensed Medium" w:hAnsi="Barlow Condensed Medium"/>
          <w:color w:val="009fda"/>
          <w:sz w:val="32"/>
          <w:szCs w:val="32"/>
          <w:rtl w:val="0"/>
        </w:rPr>
        <w:t xml:space="preserve">Table S1</w:t>
      </w:r>
    </w:p>
    <w:p w:rsidR="00000000" w:rsidDel="00000000" w:rsidP="00000000" w:rsidRDefault="00000000" w:rsidRPr="00000000" w14:paraId="0000003C">
      <w:pPr>
        <w:spacing w:after="160" w:line="360" w:lineRule="auto"/>
        <w:rPr>
          <w:shd w:fill="d9d9d9" w:val="clear"/>
        </w:rPr>
      </w:pPr>
      <w:r w:rsidDel="00000000" w:rsidR="00000000" w:rsidRPr="00000000">
        <w:rPr>
          <w:shd w:fill="d9d9d9" w:val="clear"/>
          <w:rtl w:val="0"/>
        </w:rPr>
        <w:t xml:space="preserve">Baseline cohort characteristics (n=544).</w:t>
      </w:r>
    </w:p>
    <w:tbl>
      <w:tblPr>
        <w:tblStyle w:val="Table2"/>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620"/>
        <w:gridCol w:w="1620"/>
        <w:gridCol w:w="1620"/>
        <w:tblGridChange w:id="0">
          <w:tblGrid>
            <w:gridCol w:w="2685"/>
            <w:gridCol w:w="1620"/>
            <w:gridCol w:w="1620"/>
            <w:gridCol w:w="1620"/>
          </w:tblGrid>
        </w:tblGridChange>
      </w:tblGrid>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3D">
            <w:pPr>
              <w:spacing w:line="240" w:lineRule="auto"/>
              <w:rPr>
                <w:b w:val="1"/>
                <w:bCs w:val="1"/>
                <w:shd w:fill="d9d9d9" w:val="clear"/>
              </w:rPr>
            </w:pPr>
            <w:r w:rsidDel="00000000" w:rsidR="00000000" w:rsidRPr="00000000">
              <w:rPr>
                <w:b w:val="1"/>
                <w:bCs w:val="1"/>
                <w:shd w:fill="d9d9d9" w:val="clear"/>
                <w:rtl w:val="0"/>
              </w:rPr>
              <w:t xml:space="preserve">Patient Characteristics</w:t>
            </w:r>
          </w:p>
        </w:tc>
        <w:tc>
          <w:tcPr>
            <w:tcBorders>
              <w:top w:color="000000" w:space="0" w:sz="5" w:val="single"/>
              <w:left w:color="000000" w:space="0" w:sz="0" w:val="nil"/>
              <w:bottom w:color="000000" w:space="0" w:sz="5" w:val="single"/>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3E">
            <w:pPr>
              <w:spacing w:line="240" w:lineRule="auto"/>
              <w:rPr>
                <w:b w:val="1"/>
                <w:bCs w:val="1"/>
                <w:shd w:fill="d9d9d9" w:val="clear"/>
              </w:rPr>
            </w:pPr>
            <w:r w:rsidDel="00000000" w:rsidR="00000000" w:rsidRPr="00000000">
              <w:rPr>
                <w:b w:val="1"/>
                <w:bCs w:val="1"/>
                <w:shd w:fill="d9d9d9" w:val="clear"/>
                <w:rtl w:val="0"/>
              </w:rPr>
              <w:t xml:space="preserve">Total</w:t>
            </w:r>
          </w:p>
          <w:p w:rsidR="00000000" w:rsidDel="00000000" w:rsidP="00000000" w:rsidRDefault="00000000" w:rsidRPr="00000000" w14:paraId="0000003F">
            <w:pPr>
              <w:spacing w:line="240" w:lineRule="auto"/>
              <w:rPr>
                <w:b w:val="1"/>
                <w:bCs w:val="1"/>
                <w:shd w:fill="d9d9d9" w:val="clear"/>
              </w:rPr>
            </w:pPr>
            <w:r w:rsidDel="00000000" w:rsidR="00000000" w:rsidRPr="00000000">
              <w:rPr>
                <w:b w:val="1"/>
                <w:bCs w:val="1"/>
                <w:shd w:fill="d9d9d9" w:val="clear"/>
                <w:rtl w:val="0"/>
              </w:rPr>
              <w:t xml:space="preserve">n=544</w:t>
            </w:r>
          </w:p>
        </w:tc>
        <w:tc>
          <w:tcPr>
            <w:tcBorders>
              <w:top w:color="000000" w:space="0" w:sz="5" w:val="single"/>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40">
            <w:pPr>
              <w:spacing w:line="240" w:lineRule="auto"/>
              <w:rPr>
                <w:b w:val="1"/>
                <w:bCs w:val="1"/>
                <w:shd w:fill="d9d9d9" w:val="clear"/>
              </w:rPr>
            </w:pPr>
            <w:r w:rsidDel="00000000" w:rsidR="00000000" w:rsidRPr="00000000">
              <w:rPr>
                <w:b w:val="1"/>
                <w:bCs w:val="1"/>
                <w:shd w:fill="d9d9d9" w:val="clear"/>
                <w:rtl w:val="0"/>
              </w:rPr>
              <w:t xml:space="preserve">Male</w:t>
            </w:r>
          </w:p>
          <w:p w:rsidR="00000000" w:rsidDel="00000000" w:rsidP="00000000" w:rsidRDefault="00000000" w:rsidRPr="00000000" w14:paraId="00000041">
            <w:pPr>
              <w:spacing w:line="240" w:lineRule="auto"/>
              <w:rPr>
                <w:b w:val="1"/>
                <w:bCs w:val="1"/>
                <w:shd w:fill="d9d9d9" w:val="clear"/>
              </w:rPr>
            </w:pPr>
            <w:r w:rsidDel="00000000" w:rsidR="00000000" w:rsidRPr="00000000">
              <w:rPr>
                <w:b w:val="1"/>
                <w:bCs w:val="1"/>
                <w:shd w:fill="d9d9d9" w:val="clear"/>
                <w:rtl w:val="0"/>
              </w:rPr>
              <w:t xml:space="preserve">n=380</w:t>
            </w:r>
          </w:p>
        </w:tc>
        <w:tc>
          <w:tcPr>
            <w:tcBorders>
              <w:top w:color="000000" w:space="0" w:sz="5" w:val="single"/>
              <w:left w:color="000000" w:space="0" w:sz="0" w:val="nil"/>
              <w:bottom w:color="000000" w:space="0" w:sz="5" w:val="single"/>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42">
            <w:pPr>
              <w:spacing w:line="240" w:lineRule="auto"/>
              <w:rPr>
                <w:b w:val="1"/>
                <w:bCs w:val="1"/>
                <w:shd w:fill="d9d9d9" w:val="clear"/>
              </w:rPr>
            </w:pPr>
            <w:r w:rsidDel="00000000" w:rsidR="00000000" w:rsidRPr="00000000">
              <w:rPr>
                <w:b w:val="1"/>
                <w:bCs w:val="1"/>
                <w:shd w:fill="d9d9d9" w:val="clear"/>
                <w:rtl w:val="0"/>
              </w:rPr>
              <w:t xml:space="preserve">Female</w:t>
            </w:r>
          </w:p>
          <w:p w:rsidR="00000000" w:rsidDel="00000000" w:rsidP="00000000" w:rsidRDefault="00000000" w:rsidRPr="00000000" w14:paraId="00000043">
            <w:pPr>
              <w:spacing w:line="240" w:lineRule="auto"/>
              <w:rPr>
                <w:b w:val="1"/>
                <w:bCs w:val="1"/>
                <w:shd w:fill="d9d9d9" w:val="clear"/>
              </w:rPr>
            </w:pPr>
            <w:r w:rsidDel="00000000" w:rsidR="00000000" w:rsidRPr="00000000">
              <w:rPr>
                <w:b w:val="1"/>
                <w:bCs w:val="1"/>
                <w:shd w:fill="d9d9d9" w:val="clear"/>
                <w:rtl w:val="0"/>
              </w:rPr>
              <w:t xml:space="preserve">n=164</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44">
            <w:pPr>
              <w:spacing w:line="240" w:lineRule="auto"/>
              <w:rPr>
                <w:shd w:fill="d9d9d9" w:val="clear"/>
              </w:rPr>
            </w:pPr>
            <w:r w:rsidDel="00000000" w:rsidR="00000000" w:rsidRPr="00000000">
              <w:rPr>
                <w:shd w:fill="d9d9d9" w:val="clear"/>
                <w:rtl w:val="0"/>
              </w:rPr>
              <w:t xml:space="preserve">Female, n (%)</w:t>
            </w:r>
          </w:p>
        </w:tc>
        <w:tc>
          <w:tcPr>
            <w:tcBorders>
              <w:top w:color="000000" w:space="0" w:sz="0" w:val="nil"/>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45">
            <w:pPr>
              <w:spacing w:line="240" w:lineRule="auto"/>
              <w:rPr>
                <w:shd w:fill="d9d9d9" w:val="clear"/>
              </w:rPr>
            </w:pPr>
            <w:r w:rsidDel="00000000" w:rsidR="00000000" w:rsidRPr="00000000">
              <w:rPr>
                <w:shd w:fill="d9d9d9" w:val="clear"/>
                <w:rtl w:val="0"/>
              </w:rPr>
              <w:t xml:space="preserve">164 (30.1)</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46">
            <w:pPr>
              <w:spacing w:line="240" w:lineRule="auto"/>
              <w:rPr>
                <w:shd w:fill="d9d9d9" w:val="clear"/>
              </w:rPr>
            </w:pPr>
            <w:r w:rsidDel="00000000" w:rsidR="00000000" w:rsidRPr="00000000">
              <w:rPr>
                <w:shd w:fill="d9d9d9" w:val="clear"/>
                <w:rtl w:val="0"/>
              </w:rPr>
              <w:t xml:space="preserve">-</w:t>
            </w:r>
          </w:p>
        </w:tc>
        <w:tc>
          <w:tcPr>
            <w:tcBorders>
              <w:top w:color="000000" w:space="0" w:sz="0" w:val="nil"/>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47">
            <w:pPr>
              <w:spacing w:line="240" w:lineRule="auto"/>
              <w:rPr>
                <w:shd w:fill="d9d9d9" w:val="clear"/>
              </w:rPr>
            </w:pPr>
            <w:r w:rsidDel="00000000" w:rsidR="00000000" w:rsidRPr="00000000">
              <w:rPr>
                <w:shd w:fill="d9d9d9" w:val="clear"/>
                <w:rtl w:val="0"/>
              </w:rPr>
              <w:t xml:space="preserv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48">
            <w:pPr>
              <w:spacing w:line="240" w:lineRule="auto"/>
              <w:rPr>
                <w:shd w:fill="d9d9d9" w:val="clear"/>
              </w:rPr>
            </w:pPr>
            <w:r w:rsidDel="00000000" w:rsidR="00000000" w:rsidRPr="00000000">
              <w:rPr>
                <w:shd w:fill="d9d9d9" w:val="clear"/>
                <w:rtl w:val="0"/>
              </w:rPr>
              <w:t xml:space="preserve">Age (years)</w:t>
            </w:r>
          </w:p>
        </w:tc>
        <w:tc>
          <w:tcPr>
            <w:tcBorders>
              <w:top w:color="000000" w:space="0" w:sz="0" w:val="nil"/>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49">
            <w:pPr>
              <w:spacing w:line="240" w:lineRule="auto"/>
              <w:rPr>
                <w:shd w:fill="d9d9d9" w:val="clear"/>
              </w:rPr>
            </w:pPr>
            <w:r w:rsidDel="00000000" w:rsidR="00000000" w:rsidRPr="00000000">
              <w:rPr>
                <w:shd w:fill="d9d9d9" w:val="clear"/>
                <w:rtl w:val="0"/>
              </w:rPr>
              <w:t xml:space="preserve">65 (50-67)</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4A">
            <w:pPr>
              <w:spacing w:line="240" w:lineRule="auto"/>
              <w:rPr>
                <w:shd w:fill="d9d9d9" w:val="clear"/>
              </w:rPr>
            </w:pPr>
            <w:r w:rsidDel="00000000" w:rsidR="00000000" w:rsidRPr="00000000">
              <w:rPr>
                <w:shd w:fill="d9d9d9" w:val="clear"/>
                <w:rtl w:val="0"/>
              </w:rPr>
              <w:t xml:space="preserve">63 (49-65)</w:t>
            </w:r>
          </w:p>
        </w:tc>
        <w:tc>
          <w:tcPr>
            <w:tcBorders>
              <w:top w:color="000000" w:space="0" w:sz="0" w:val="nil"/>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4B">
            <w:pPr>
              <w:spacing w:line="240" w:lineRule="auto"/>
              <w:rPr>
                <w:shd w:fill="d9d9d9" w:val="clear"/>
              </w:rPr>
            </w:pPr>
            <w:r w:rsidDel="00000000" w:rsidR="00000000" w:rsidRPr="00000000">
              <w:rPr>
                <w:shd w:fill="d9d9d9" w:val="clear"/>
                <w:rtl w:val="0"/>
              </w:rPr>
              <w:t xml:space="preserve">68 (55-71)</w:t>
            </w:r>
          </w:p>
        </w:tc>
      </w:tr>
      <w:tr>
        <w:trPr>
          <w:cantSplit w:val="0"/>
          <w:trHeight w:val="375" w:hRule="atLeast"/>
          <w:tblHeader w:val="0"/>
        </w:trPr>
        <w:tc>
          <w:tcPr>
            <w:tcBorders>
              <w:top w:color="ffffff" w:space="0" w:sz="5" w:val="single"/>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4C">
            <w:pPr>
              <w:spacing w:line="240" w:lineRule="auto"/>
              <w:rPr>
                <w:shd w:fill="d9d9d9" w:val="clear"/>
              </w:rPr>
            </w:pPr>
            <w:r w:rsidDel="00000000" w:rsidR="00000000" w:rsidRPr="00000000">
              <w:rPr>
                <w:shd w:fill="d9d9d9" w:val="clear"/>
                <w:rtl w:val="0"/>
              </w:rPr>
              <w:t xml:space="preserve">LDL-C (mg/dL)</w:t>
            </w:r>
          </w:p>
        </w:tc>
        <w:tc>
          <w:tcPr>
            <w:tcBorders>
              <w:top w:color="ffffff" w:space="0" w:sz="5" w:val="single"/>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4D">
            <w:pPr>
              <w:spacing w:line="240" w:lineRule="auto"/>
              <w:rPr>
                <w:shd w:fill="d9d9d9" w:val="clear"/>
              </w:rPr>
            </w:pPr>
            <w:r w:rsidDel="00000000" w:rsidR="00000000" w:rsidRPr="00000000">
              <w:rPr>
                <w:shd w:fill="d9d9d9" w:val="clear"/>
                <w:rtl w:val="0"/>
              </w:rPr>
              <w:t xml:space="preserve">116 (71-120)</w:t>
            </w:r>
          </w:p>
        </w:tc>
        <w:tc>
          <w:tcPr>
            <w:tcBorders>
              <w:top w:color="ffffff" w:space="0" w:sz="5" w:val="single"/>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4E">
            <w:pPr>
              <w:spacing w:line="240" w:lineRule="auto"/>
              <w:rPr>
                <w:shd w:fill="d9d9d9" w:val="clear"/>
              </w:rPr>
            </w:pPr>
            <w:r w:rsidDel="00000000" w:rsidR="00000000" w:rsidRPr="00000000">
              <w:rPr>
                <w:shd w:fill="d9d9d9" w:val="clear"/>
                <w:rtl w:val="0"/>
              </w:rPr>
              <w:t xml:space="preserve">116 (70-125)</w:t>
            </w:r>
          </w:p>
        </w:tc>
        <w:tc>
          <w:tcPr>
            <w:tcBorders>
              <w:top w:color="ffffff" w:space="0" w:sz="5" w:val="single"/>
              <w:left w:color="000000" w:space="0" w:sz="0" w:val="nil"/>
              <w:bottom w:color="000000" w:space="0" w:sz="0" w:val="nil"/>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4F">
            <w:pPr>
              <w:spacing w:line="240" w:lineRule="auto"/>
              <w:rPr>
                <w:shd w:fill="d9d9d9" w:val="clear"/>
              </w:rPr>
            </w:pPr>
            <w:r w:rsidDel="00000000" w:rsidR="00000000" w:rsidRPr="00000000">
              <w:rPr>
                <w:shd w:fill="d9d9d9" w:val="clear"/>
                <w:rtl w:val="0"/>
              </w:rPr>
              <w:t xml:space="preserve">113 (65-130)</w:t>
            </w:r>
          </w:p>
        </w:tc>
      </w:tr>
      <w:tr>
        <w:trPr>
          <w:cantSplit w:val="0"/>
          <w:trHeight w:val="635.9999999999999" w:hRule="atLeast"/>
          <w:tblHeader w:val="0"/>
        </w:trPr>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50">
            <w:pPr>
              <w:spacing w:line="240" w:lineRule="auto"/>
              <w:rPr>
                <w:shd w:fill="d9d9d9" w:val="clear"/>
              </w:rPr>
            </w:pPr>
            <w:r w:rsidDel="00000000" w:rsidR="00000000" w:rsidRPr="00000000">
              <w:rPr>
                <w:shd w:fill="d9d9d9" w:val="clear"/>
                <w:rtl w:val="0"/>
              </w:rPr>
              <w:t xml:space="preserve">LDL-C Controlled, n (%)</w:t>
            </w:r>
          </w:p>
        </w:tc>
        <w:tc>
          <w:tcPr>
            <w:tcBorders>
              <w:top w:color="000000" w:space="0" w:sz="0" w:val="nil"/>
              <w:left w:color="000000" w:space="0" w:sz="0" w:val="nil"/>
              <w:bottom w:color="000000" w:space="0" w:sz="5" w:val="single"/>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51">
            <w:pPr>
              <w:spacing w:line="240" w:lineRule="auto"/>
              <w:rPr>
                <w:shd w:fill="d9d9d9" w:val="clear"/>
              </w:rPr>
            </w:pPr>
            <w:r w:rsidDel="00000000" w:rsidR="00000000" w:rsidRPr="00000000">
              <w:rPr>
                <w:shd w:fill="d9d9d9" w:val="clear"/>
                <w:rtl w:val="0"/>
              </w:rPr>
              <w:t xml:space="preserve">191 (35.1)</w:t>
            </w:r>
          </w:p>
        </w:tc>
        <w:tc>
          <w:tcPr>
            <w:tcBorders>
              <w:top w:color="000000" w:space="0" w:sz="0" w:val="nil"/>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52">
            <w:pPr>
              <w:spacing w:line="240" w:lineRule="auto"/>
              <w:rPr>
                <w:shd w:fill="d9d9d9" w:val="clear"/>
              </w:rPr>
            </w:pPr>
            <w:r w:rsidDel="00000000" w:rsidR="00000000" w:rsidRPr="00000000">
              <w:rPr>
                <w:shd w:fill="d9d9d9" w:val="clear"/>
                <w:rtl w:val="0"/>
              </w:rPr>
              <w:t xml:space="preserve">134 (35.3)</w:t>
            </w:r>
          </w:p>
        </w:tc>
        <w:tc>
          <w:tcPr>
            <w:tcBorders>
              <w:top w:color="000000" w:space="0" w:sz="0" w:val="nil"/>
              <w:left w:color="000000" w:space="0" w:sz="0" w:val="nil"/>
              <w:bottom w:color="000000" w:space="0" w:sz="5" w:val="single"/>
              <w:right w:color="ffffff" w:space="0" w:sz="5" w:val="single"/>
            </w:tcBorders>
            <w:tcMar>
              <w:top w:w="40.0" w:type="dxa"/>
              <w:left w:w="40.0" w:type="dxa"/>
              <w:bottom w:w="40.0" w:type="dxa"/>
              <w:right w:w="40.0" w:type="dxa"/>
            </w:tcMar>
            <w:vAlign w:val="top"/>
          </w:tcPr>
          <w:p w:rsidR="00000000" w:rsidDel="00000000" w:rsidP="00000000" w:rsidRDefault="00000000" w:rsidRPr="00000000" w14:paraId="00000053">
            <w:pPr>
              <w:spacing w:line="240" w:lineRule="auto"/>
              <w:rPr>
                <w:shd w:fill="d9d9d9" w:val="clear"/>
              </w:rPr>
            </w:pPr>
            <w:r w:rsidDel="00000000" w:rsidR="00000000" w:rsidRPr="00000000">
              <w:rPr>
                <w:shd w:fill="d9d9d9" w:val="clear"/>
                <w:rtl w:val="0"/>
              </w:rPr>
              <w:t xml:space="preserve">57 (34.8)</w:t>
            </w:r>
          </w:p>
        </w:tc>
      </w:tr>
    </w:tbl>
    <w:p w:rsidR="00000000" w:rsidDel="00000000" w:rsidP="00000000" w:rsidRDefault="00000000" w:rsidRPr="00000000" w14:paraId="00000054">
      <w:pPr>
        <w:spacing w:after="240" w:line="360" w:lineRule="auto"/>
        <w:rPr>
          <w:sz w:val="18"/>
          <w:szCs w:val="18"/>
          <w:shd w:fill="d9d9d9" w:val="clear"/>
        </w:rPr>
      </w:pPr>
      <w:r w:rsidDel="00000000" w:rsidR="00000000" w:rsidRPr="00000000">
        <w:rPr>
          <w:sz w:val="18"/>
          <w:szCs w:val="18"/>
          <w:shd w:fill="d9d9d9" w:val="clear"/>
          <w:rtl w:val="0"/>
        </w:rPr>
        <w:t xml:space="preserve">Data shown as P50 (P25-P75) unless otherwise indicated. Abbreviations: LDL-C, Low density lipoprotein - cholesterol.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m88jrwwbcg6j" w:id="14"/>
      <w:bookmarkEnd w:id="14"/>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41lwpwlfg30r" w:id="15"/>
      <w:bookmarkEnd w:id="15"/>
      <w:r w:rsidDel="00000000" w:rsidR="00000000" w:rsidRPr="00000000">
        <w:rPr>
          <w:rtl w:val="0"/>
        </w:rPr>
        <w:t xml:space="preserve">Supplementary Figure(s)</w:t>
      </w:r>
    </w:p>
    <w:p w:rsidR="00000000" w:rsidDel="00000000" w:rsidP="00000000" w:rsidRDefault="00000000" w:rsidRPr="00000000" w14:paraId="00000058">
      <w:pPr>
        <w:pStyle w:val="Heading2"/>
        <w:rPr>
          <w:shd w:fill="d9d9d9" w:val="clear"/>
        </w:rPr>
      </w:pPr>
      <w:bookmarkStart w:colFirst="0" w:colLast="0" w:name="_t4hhkg9oux8y" w:id="16"/>
      <w:bookmarkEnd w:id="16"/>
      <w:r w:rsidDel="00000000" w:rsidR="00000000" w:rsidRPr="00000000">
        <w:rPr>
          <w:rtl w:val="0"/>
        </w:rPr>
        <w:t xml:space="preserve">Figure S</w:t>
      </w:r>
      <w:r w:rsidDel="00000000" w:rsidR="00000000" w:rsidRPr="00000000">
        <w:rPr>
          <w:shd w:fill="d9d9d9" w:val="clear"/>
          <w:rtl w:val="0"/>
        </w:rPr>
        <w:t xml:space="preserve">[...]</w:t>
      </w:r>
    </w:p>
    <w:p w:rsidR="00000000" w:rsidDel="00000000" w:rsidP="00000000" w:rsidRDefault="00000000" w:rsidRPr="00000000" w14:paraId="00000059">
      <w:pPr>
        <w:spacing w:line="360" w:lineRule="auto"/>
        <w:rPr>
          <w:shd w:fill="d9d9d9" w:val="clear"/>
        </w:rPr>
      </w:pPr>
      <w:r w:rsidDel="00000000" w:rsidR="00000000" w:rsidRPr="00000000">
        <w:rPr>
          <w:shd w:fill="d9d9d9" w:val="clear"/>
          <w:rtl w:val="0"/>
        </w:rPr>
        <w:t xml:space="preserve">{Add a caption after the figure.</w:t>
      </w:r>
    </w:p>
    <w:p w:rsidR="00000000" w:rsidDel="00000000" w:rsidP="00000000" w:rsidRDefault="00000000" w:rsidRPr="00000000" w14:paraId="0000005A">
      <w:pPr>
        <w:spacing w:line="360" w:lineRule="auto"/>
        <w:rPr>
          <w:shd w:fill="d9d9d9" w:val="clear"/>
        </w:rPr>
      </w:pPr>
      <w:r w:rsidDel="00000000" w:rsidR="00000000" w:rsidRPr="00000000">
        <w:rPr>
          <w:shd w:fill="d9d9d9" w:val="clear"/>
          <w:rtl w:val="0"/>
        </w:rPr>
        <w:t xml:space="preserve">Mention units of measurement </w:t>
      </w:r>
    </w:p>
    <w:p w:rsidR="00000000" w:rsidDel="00000000" w:rsidP="00000000" w:rsidRDefault="00000000" w:rsidRPr="00000000" w14:paraId="0000005B">
      <w:pPr>
        <w:spacing w:line="360" w:lineRule="auto"/>
        <w:rPr>
          <w:shd w:fill="d9d9d9" w:val="clear"/>
        </w:rPr>
      </w:pPr>
      <w:r w:rsidDel="00000000" w:rsidR="00000000" w:rsidRPr="00000000">
        <w:rPr>
          <w:shd w:fill="d9d9d9" w:val="clear"/>
          <w:rtl w:val="0"/>
        </w:rPr>
        <w:t xml:space="preserve">Explain any abbreviations in footnotes.</w:t>
      </w:r>
    </w:p>
    <w:p w:rsidR="00000000" w:rsidDel="00000000" w:rsidP="00000000" w:rsidRDefault="00000000" w:rsidRPr="00000000" w14:paraId="0000005C">
      <w:pPr>
        <w:spacing w:line="360" w:lineRule="auto"/>
        <w:rPr>
          <w:shd w:fill="d9d9d9" w:val="clear"/>
        </w:rPr>
      </w:pPr>
      <w:r w:rsidDel="00000000" w:rsidR="00000000" w:rsidRPr="00000000">
        <w:rPr>
          <w:shd w:fill="d9d9d9" w:val="clear"/>
          <w:rtl w:val="0"/>
        </w:rPr>
        <w:t xml:space="preserve">Standardize decimal cases.}</w:t>
      </w:r>
    </w:p>
    <w:p w:rsidR="00000000" w:rsidDel="00000000" w:rsidP="00000000" w:rsidRDefault="00000000" w:rsidRPr="00000000" w14:paraId="0000005D">
      <w:pPr>
        <w:spacing w:line="360" w:lineRule="auto"/>
        <w:rPr>
          <w:shd w:fill="d9d9d9" w:val="clear"/>
        </w:rPr>
      </w:pPr>
      <w:r w:rsidDel="00000000" w:rsidR="00000000" w:rsidRPr="00000000">
        <w:rPr>
          <w:shd w:fill="d9d9d9" w:val="clear"/>
          <w:rtl w:val="0"/>
        </w:rPr>
        <w:t xml:space="preserve">Example: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60" w:line="360" w:lineRule="auto"/>
        <w:rPr/>
      </w:pPr>
      <w:r w:rsidDel="00000000" w:rsidR="00000000" w:rsidRPr="00000000">
        <w:rPr/>
        <w:drawing>
          <wp:inline distB="114300" distT="114300" distL="114300" distR="114300">
            <wp:extent cx="3214688" cy="2648806"/>
            <wp:effectExtent b="0" l="0" r="0" t="0"/>
            <wp:docPr id="1" name="image1.png"/>
            <a:graphic>
              <a:graphicData uri="http://schemas.openxmlformats.org/drawingml/2006/picture">
                <pic:pic>
                  <pic:nvPicPr>
                    <pic:cNvPr id="0" name="image1.png"/>
                    <pic:cNvPicPr preferRelativeResize="0"/>
                  </pic:nvPicPr>
                  <pic:blipFill>
                    <a:blip r:embed="rId8"/>
                    <a:srcRect b="12926" l="27724" r="29487" t="33252"/>
                    <a:stretch>
                      <a:fillRect/>
                    </a:stretch>
                  </pic:blipFill>
                  <pic:spPr>
                    <a:xfrm>
                      <a:off x="0" y="0"/>
                      <a:ext cx="3214688" cy="264880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360" w:lineRule="auto"/>
        <w:rPr/>
      </w:pPr>
      <w:r w:rsidDel="00000000" w:rsidR="00000000" w:rsidRPr="00000000">
        <w:rPr>
          <w:shd w:fill="d9d9d9" w:val="clear"/>
          <w:rtl w:val="0"/>
        </w:rPr>
        <w:t xml:space="preserve">Kaplan-Meier plots for the 10-year follow-up for the various endpoints, according to the cardiovascular (CV) risk category. (A) Kaplan-Meier plot for the composite endpoint of CV death or hospitalization for atherosclerotic cardiovascular disease (ASCVD). (B) Kaplan-Meier plot for the endpoint of CV death. (C) Kaplan-Meier plot for the endpoint of all-cause death.</w:t>
      </w:r>
      <w:r w:rsidDel="00000000" w:rsidR="00000000" w:rsidRPr="00000000">
        <w:rPr>
          <w:rtl w:val="0"/>
        </w:rPr>
      </w:r>
    </w:p>
    <w:p w:rsidR="00000000" w:rsidDel="00000000" w:rsidP="00000000" w:rsidRDefault="00000000" w:rsidRPr="00000000" w14:paraId="00000061">
      <w:pPr>
        <w:pStyle w:val="Heading1"/>
        <w:rPr/>
      </w:pPr>
      <w:bookmarkStart w:colFirst="0" w:colLast="0" w:name="_gwlqb81upajo" w:id="17"/>
      <w:bookmarkEnd w:id="17"/>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9dbw80j5xh0o" w:id="18"/>
      <w:bookmarkEnd w:id="18"/>
      <w:r w:rsidDel="00000000" w:rsidR="00000000" w:rsidRPr="00000000">
        <w:rPr>
          <w:rtl w:val="0"/>
        </w:rPr>
        <w:t xml:space="preserve">References</w:t>
      </w:r>
    </w:p>
    <w:p w:rsidR="00000000" w:rsidDel="00000000" w:rsidP="00000000" w:rsidRDefault="00000000" w:rsidRPr="00000000" w14:paraId="00000063">
      <w:pPr>
        <w:spacing w:after="160" w:line="360" w:lineRule="auto"/>
        <w:rPr/>
      </w:pPr>
      <w:r w:rsidDel="00000000" w:rsidR="00000000" w:rsidRPr="00000000">
        <w:rPr>
          <w:shd w:fill="d9d9d9" w:val="clear"/>
          <w:rtl w:val="0"/>
        </w:rPr>
        <w:t xml:space="preserve">{Ensure that reference formatting aligns with the chosen citation style of the journal. Confirm that references to digital reports/websites include the URLs along with the date of access. Check for any omissions regarding the volume number or page range in scientific papers, as these are crucial for proper citation.}</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Condense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tabs>
        <w:tab w:val="right" w:leader="none" w:pos="8993"/>
      </w:tabs>
      <w:spacing w:line="240" w:lineRule="auto"/>
      <w:ind w:right="33"/>
      <w:rPr>
        <w:rFonts w:ascii="Lato" w:cs="Lato" w:eastAsia="Lato" w:hAnsi="Lato"/>
        <w:color w:val="666666"/>
        <w:sz w:val="18"/>
        <w:szCs w:val="18"/>
      </w:rPr>
    </w:pPr>
    <w:r w:rsidDel="00000000" w:rsidR="00000000" w:rsidRPr="00000000">
      <w:rPr>
        <w:rFonts w:ascii="Lato" w:cs="Lato" w:eastAsia="Lato" w:hAnsi="Lato"/>
        <w:color w:val="666666"/>
        <w:sz w:val="18"/>
        <w:szCs w:val="18"/>
        <w:rtl w:val="0"/>
      </w:rPr>
      <w:t xml:space="preserve">MTG Research and Development Lab</w:t>
    </w:r>
  </w:p>
  <w:p w:rsidR="00000000" w:rsidDel="00000000" w:rsidP="00000000" w:rsidRDefault="00000000" w:rsidRPr="00000000" w14:paraId="00000065">
    <w:pPr>
      <w:tabs>
        <w:tab w:val="right" w:leader="none" w:pos="8993"/>
      </w:tabs>
      <w:spacing w:line="240" w:lineRule="auto"/>
      <w:ind w:right="33"/>
      <w:rPr/>
    </w:pPr>
    <w:hyperlink r:id="rId1">
      <w:r w:rsidDel="00000000" w:rsidR="00000000" w:rsidRPr="00000000">
        <w:rPr>
          <w:rFonts w:ascii="Lato" w:cs="Lato" w:eastAsia="Lato" w:hAnsi="Lato"/>
          <w:color w:val="0000ff"/>
          <w:sz w:val="18"/>
          <w:szCs w:val="18"/>
          <w:u w:val="single"/>
          <w:rtl w:val="0"/>
        </w:rPr>
        <w:t xml:space="preserve">academic@mtg.pt</w:t>
      </w:r>
    </w:hyperlink>
    <w:r w:rsidDel="00000000" w:rsidR="00000000" w:rsidRPr="00000000">
      <w:rPr>
        <w:rFonts w:ascii="Lato" w:cs="Lato" w:eastAsia="Lato" w:hAnsi="Lato"/>
        <w:color w:val="666666"/>
        <w:sz w:val="18"/>
        <w:szCs w:val="18"/>
        <w:rtl w:val="0"/>
      </w:rPr>
      <w:t xml:space="preserve"> | MTG-TPL-038 v1.0.0</w:t>
    </w:r>
    <w:r w:rsidDel="00000000" w:rsidR="00000000" w:rsidRPr="00000000">
      <w:rPr>
        <w:rFonts w:ascii="Lato" w:cs="Lato" w:eastAsia="Lato" w:hAnsi="Lato"/>
        <w:rtl w:val="0"/>
      </w:rPr>
      <w:tab/>
    </w:r>
    <w:r w:rsidDel="00000000" w:rsidR="00000000" w:rsidRPr="00000000">
      <w:rPr>
        <w:rFonts w:ascii="Lato" w:cs="Lato" w:eastAsia="Lato" w:hAnsi="La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tabs>
        <w:tab w:val="left" w:leader="none" w:pos="7554"/>
        <w:tab w:val="left" w:leader="none" w:pos="6024"/>
        <w:tab w:val="left" w:leader="none" w:pos="4674"/>
        <w:tab w:val="left" w:leader="none" w:pos="2244"/>
      </w:tabs>
      <w:spacing w:after="3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after="240" w:before="240" w:lineRule="auto"/>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line="360" w:lineRule="auto"/>
      <w:jc w:val="left"/>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LlJrSTn0PiiXSvs2z742WDDPpQJKNFnojhDGzoAJvjs/edit?tab=t.0#heading=h.tv28e73ssnvj" TargetMode="External"/><Relationship Id="rId7" Type="http://schemas.openxmlformats.org/officeDocument/2006/relationships/hyperlink" Target="mailto:cristina.jacome@mtg.p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BarlowCondensedMedium-regular.ttf"/><Relationship Id="rId6" Type="http://schemas.openxmlformats.org/officeDocument/2006/relationships/font" Target="fonts/BarlowCondensedMedium-bold.ttf"/><Relationship Id="rId7" Type="http://schemas.openxmlformats.org/officeDocument/2006/relationships/font" Target="fonts/BarlowCondensedMedium-italic.ttf"/><Relationship Id="rId8" Type="http://schemas.openxmlformats.org/officeDocument/2006/relationships/font" Target="fonts/BarlowCondensedMedium-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academic@m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