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jc w:val="right"/>
        <w:rPr/>
      </w:pPr>
      <w:r w:rsidDel="00000000" w:rsidR="00000000" w:rsidRPr="00000000">
        <w:rPr>
          <w:rtl w:val="0"/>
        </w:rPr>
      </w:r>
    </w:p>
    <w:p w:rsidR="00000000" w:rsidDel="00000000" w:rsidP="00000000" w:rsidRDefault="00000000" w:rsidRPr="00000000" w14:paraId="00000002">
      <w:pPr>
        <w:spacing w:after="0" w:line="240" w:lineRule="auto"/>
        <w:jc w:val="right"/>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2850" cy="10710863"/>
                <wp:effectExtent b="0" l="0" r="0" t="0"/>
                <wp:wrapNone/>
                <wp:docPr id="1" name=""/>
                <a:graphic>
                  <a:graphicData uri="http://schemas.microsoft.com/office/word/2010/wordprocessingShape">
                    <wps:wsp>
                      <wps:cNvSpPr/>
                      <wps:cNvPr id="2" name="Shape 2"/>
                      <wps:spPr>
                        <a:xfrm>
                          <a:off x="1156550" y="411000"/>
                          <a:ext cx="4731300" cy="7120800"/>
                        </a:xfrm>
                        <a:prstGeom prst="rect">
                          <a:avLst/>
                        </a:prstGeom>
                        <a:solidFill>
                          <a:srgbClr val="01334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2850" cy="10710863"/>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2850" cy="107108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right"/>
        <w:rPr/>
      </w:pPr>
      <w:r w:rsidDel="00000000" w:rsidR="00000000" w:rsidRPr="00000000">
        <w:rPr/>
        <w:drawing>
          <wp:anchor allowOverlap="1" behindDoc="1" distB="114300" distT="114300" distL="114300" distR="114300" hidden="0" layoutInCell="1" locked="0" relativeHeight="0" simplePos="0">
            <wp:simplePos x="0" y="0"/>
            <wp:positionH relativeFrom="margin">
              <wp:posOffset>-2057399</wp:posOffset>
            </wp:positionH>
            <wp:positionV relativeFrom="margin">
              <wp:posOffset>481013</wp:posOffset>
            </wp:positionV>
            <wp:extent cx="4835470" cy="8739188"/>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35470" cy="87391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238125</wp:posOffset>
            </wp:positionH>
            <wp:positionV relativeFrom="page">
              <wp:posOffset>246099</wp:posOffset>
            </wp:positionV>
            <wp:extent cx="3643659" cy="896901"/>
            <wp:effectExtent b="0" l="0" r="0" t="0"/>
            <wp:wrapNone/>
            <wp:docPr id="3" name="image3.png"/>
            <a:graphic>
              <a:graphicData uri="http://schemas.openxmlformats.org/drawingml/2006/picture">
                <pic:pic>
                  <pic:nvPicPr>
                    <pic:cNvPr id="0" name="image3.png"/>
                    <pic:cNvPicPr preferRelativeResize="0"/>
                  </pic:nvPicPr>
                  <pic:blipFill>
                    <a:blip r:embed="rId8"/>
                    <a:srcRect b="26007" l="8980" r="1983" t="25641"/>
                    <a:stretch>
                      <a:fillRect/>
                    </a:stretch>
                  </pic:blipFill>
                  <pic:spPr>
                    <a:xfrm>
                      <a:off x="0" y="0"/>
                      <a:ext cx="3643659" cy="896901"/>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spacing w:after="0" w:line="240" w:lineRule="auto"/>
        <w:jc w:val="right"/>
        <w:rPr/>
      </w:pPr>
      <w:r w:rsidDel="00000000" w:rsidR="00000000" w:rsidRPr="00000000">
        <w:rPr>
          <w:rtl w:val="0"/>
        </w:rPr>
      </w:r>
    </w:p>
    <w:p w:rsidR="00000000" w:rsidDel="00000000" w:rsidP="00000000" w:rsidRDefault="00000000" w:rsidRPr="00000000" w14:paraId="00000005">
      <w:pPr>
        <w:spacing w:after="0" w:line="240" w:lineRule="auto"/>
        <w:jc w:val="right"/>
        <w:rPr/>
      </w:pPr>
      <w:r w:rsidDel="00000000" w:rsidR="00000000" w:rsidRPr="00000000">
        <w:rPr>
          <w:rtl w:val="0"/>
        </w:rPr>
      </w:r>
    </w:p>
    <w:p w:rsidR="00000000" w:rsidDel="00000000" w:rsidP="00000000" w:rsidRDefault="00000000" w:rsidRPr="00000000" w14:paraId="00000006">
      <w:pPr>
        <w:spacing w:after="0" w:line="240" w:lineRule="auto"/>
        <w:jc w:val="right"/>
        <w:rPr/>
      </w:pPr>
      <w:r w:rsidDel="00000000" w:rsidR="00000000" w:rsidRPr="00000000">
        <w:rPr>
          <w:rtl w:val="0"/>
        </w:rPr>
      </w:r>
    </w:p>
    <w:p w:rsidR="00000000" w:rsidDel="00000000" w:rsidP="00000000" w:rsidRDefault="00000000" w:rsidRPr="00000000" w14:paraId="00000007">
      <w:pPr>
        <w:spacing w:after="0" w:line="240" w:lineRule="auto"/>
        <w:jc w:val="left"/>
        <w:rPr/>
      </w:pPr>
      <w:r w:rsidDel="00000000" w:rsidR="00000000" w:rsidRPr="00000000">
        <w:rPr>
          <w:rtl w:val="0"/>
        </w:rPr>
      </w:r>
    </w:p>
    <w:p w:rsidR="00000000" w:rsidDel="00000000" w:rsidP="00000000" w:rsidRDefault="00000000" w:rsidRPr="00000000" w14:paraId="00000008">
      <w:pPr>
        <w:spacing w:after="0" w:line="240" w:lineRule="auto"/>
        <w:jc w:val="right"/>
        <w:rPr>
          <w:rFonts w:ascii="Barlow Condensed" w:cs="Barlow Condensed" w:eastAsia="Barlow Condensed" w:hAnsi="Barlow Condensed"/>
          <w:color w:val="ffffff"/>
          <w:sz w:val="100"/>
          <w:szCs w:val="100"/>
        </w:rPr>
      </w:pPr>
      <w:r w:rsidDel="00000000" w:rsidR="00000000" w:rsidRPr="00000000">
        <w:rPr>
          <w:rFonts w:ascii="Barlow Condensed" w:cs="Barlow Condensed" w:eastAsia="Barlow Condensed" w:hAnsi="Barlow Condensed"/>
          <w:color w:val="178ecb"/>
          <w:sz w:val="58"/>
          <w:szCs w:val="58"/>
          <w:rtl w:val="0"/>
        </w:rPr>
        <w:t xml:space="preserve"> </w:t>
      </w:r>
      <w:r w:rsidDel="00000000" w:rsidR="00000000" w:rsidRPr="00000000">
        <w:rPr>
          <w:rFonts w:ascii="Barlow Condensed" w:cs="Barlow Condensed" w:eastAsia="Barlow Condensed" w:hAnsi="Barlow Condensed"/>
          <w:color w:val="178ecb"/>
          <w:sz w:val="58"/>
          <w:szCs w:val="58"/>
          <w:rtl w:val="0"/>
        </w:rPr>
        <w:t xml:space="preserve">PROPOSAL</w:t>
      </w:r>
      <w:r w:rsidDel="00000000" w:rsidR="00000000" w:rsidRPr="00000000">
        <w:rPr>
          <w:rtl w:val="0"/>
        </w:rPr>
      </w:r>
    </w:p>
    <w:p w:rsidR="00000000" w:rsidDel="00000000" w:rsidP="00000000" w:rsidRDefault="00000000" w:rsidRPr="00000000" w14:paraId="00000009">
      <w:pPr>
        <w:pageBreakBefore w:val="0"/>
        <w:ind w:left="3330" w:right="-60" w:firstLine="0"/>
        <w:jc w:val="right"/>
        <w:rPr>
          <w:rFonts w:ascii="Lato Light" w:cs="Lato Light" w:eastAsia="Lato Light" w:hAnsi="Lato Light"/>
          <w:color w:val="ffffff"/>
          <w:sz w:val="38"/>
          <w:szCs w:val="38"/>
        </w:rPr>
      </w:pPr>
      <w:r w:rsidDel="00000000" w:rsidR="00000000" w:rsidRPr="00000000">
        <w:rPr>
          <w:rFonts w:ascii="Lato Light" w:cs="Lato Light" w:eastAsia="Lato Light" w:hAnsi="Lato Light"/>
          <w:color w:val="ffffff"/>
          <w:sz w:val="38"/>
          <w:szCs w:val="38"/>
          <w:rtl w:val="0"/>
        </w:rPr>
        <w:t xml:space="preserve">Expert Recommendations and Clinical Profiling for the Management of Atypical Hemolytic Uremic Syndrome (aHUS) in Spain: Adapted Delphi for Small Groups</w:t>
      </w:r>
    </w:p>
    <w:p w:rsidR="00000000" w:rsidDel="00000000" w:rsidP="00000000" w:rsidRDefault="00000000" w:rsidRPr="00000000" w14:paraId="0000000A">
      <w:pPr>
        <w:pageBreakBefore w:val="0"/>
        <w:jc w:val="right"/>
        <w:rPr>
          <w:rFonts w:ascii="Lato Light" w:cs="Lato Light" w:eastAsia="Lato Light" w:hAnsi="Lato Light"/>
          <w:color w:val="ffffff"/>
          <w:sz w:val="26"/>
          <w:szCs w:val="26"/>
        </w:rPr>
      </w:pPr>
      <w:r w:rsidDel="00000000" w:rsidR="00000000" w:rsidRPr="00000000">
        <w:rPr>
          <w:rtl w:val="0"/>
        </w:rPr>
      </w:r>
    </w:p>
    <w:p w:rsidR="00000000" w:rsidDel="00000000" w:rsidP="00000000" w:rsidRDefault="00000000" w:rsidRPr="00000000" w14:paraId="0000000B">
      <w:pPr>
        <w:pageBreakBefore w:val="0"/>
        <w:jc w:val="right"/>
        <w:rPr>
          <w:rFonts w:ascii="Lato Light" w:cs="Lato Light" w:eastAsia="Lato Light" w:hAnsi="Lato Light"/>
          <w:color w:val="ffffff"/>
          <w:sz w:val="26"/>
          <w:szCs w:val="26"/>
        </w:rPr>
      </w:pPr>
      <w:r w:rsidDel="00000000" w:rsidR="00000000" w:rsidRPr="00000000">
        <w:rPr>
          <w:rFonts w:ascii="Lato Light" w:cs="Lato Light" w:eastAsia="Lato Light" w:hAnsi="Lato Light"/>
          <w:color w:val="ffffff"/>
          <w:sz w:val="26"/>
          <w:szCs w:val="26"/>
          <w:rtl w:val="0"/>
        </w:rPr>
        <w:t xml:space="preserve">Version </w:t>
      </w:r>
      <w:r w:rsidDel="00000000" w:rsidR="00000000" w:rsidRPr="00000000">
        <w:rPr>
          <w:rFonts w:ascii="Lato Light" w:cs="Lato Light" w:eastAsia="Lato Light" w:hAnsi="Lato Light"/>
          <w:color w:val="ffffff"/>
          <w:sz w:val="26"/>
          <w:szCs w:val="26"/>
          <w:rtl w:val="0"/>
        </w:rPr>
        <w:t xml:space="preserve">0.3</w:t>
      </w:r>
      <w:r w:rsidDel="00000000" w:rsidR="00000000" w:rsidRPr="00000000">
        <w:rPr>
          <w:rFonts w:ascii="Lato Light" w:cs="Lato Light" w:eastAsia="Lato Light" w:hAnsi="Lato Light"/>
          <w:color w:val="ffffff"/>
          <w:sz w:val="26"/>
          <w:szCs w:val="26"/>
          <w:rtl w:val="0"/>
        </w:rPr>
        <w:br w:type="textWrapping"/>
      </w:r>
      <w:r w:rsidDel="00000000" w:rsidR="00000000" w:rsidRPr="00000000">
        <w:rPr>
          <w:rFonts w:ascii="Lato Light" w:cs="Lato Light" w:eastAsia="Lato Light" w:hAnsi="Lato Light"/>
          <w:color w:val="ffffff"/>
          <w:sz w:val="26"/>
          <w:szCs w:val="26"/>
          <w:rtl w:val="0"/>
        </w:rPr>
        <w:t xml:space="preserve">11</w:t>
      </w:r>
      <w:r w:rsidDel="00000000" w:rsidR="00000000" w:rsidRPr="00000000">
        <w:rPr>
          <w:rFonts w:ascii="Lato Light" w:cs="Lato Light" w:eastAsia="Lato Light" w:hAnsi="Lato Light"/>
          <w:color w:val="ffffff"/>
          <w:sz w:val="26"/>
          <w:szCs w:val="26"/>
          <w:vertAlign w:val="superscript"/>
          <w:rtl w:val="0"/>
        </w:rPr>
        <w:t xml:space="preserve">th</w:t>
      </w:r>
      <w:r w:rsidDel="00000000" w:rsidR="00000000" w:rsidRPr="00000000">
        <w:rPr>
          <w:rFonts w:ascii="Lato Light" w:cs="Lato Light" w:eastAsia="Lato Light" w:hAnsi="Lato Light"/>
          <w:color w:val="ffffff"/>
          <w:sz w:val="26"/>
          <w:szCs w:val="26"/>
          <w:rtl w:val="0"/>
        </w:rPr>
        <w:t xml:space="preserve"> February 2026</w:t>
      </w:r>
    </w:p>
    <w:p w:rsidR="00000000" w:rsidDel="00000000" w:rsidP="00000000" w:rsidRDefault="00000000" w:rsidRPr="00000000" w14:paraId="0000000C">
      <w:pPr>
        <w:pageBreakBefore w:val="0"/>
        <w:jc w:val="right"/>
        <w:rPr>
          <w:rFonts w:ascii="Lato Light" w:cs="Lato Light" w:eastAsia="Lato Light" w:hAnsi="Lato Light"/>
          <w:color w:val="ffffff"/>
          <w:sz w:val="28"/>
          <w:szCs w:val="28"/>
        </w:rPr>
      </w:pPr>
      <w:r w:rsidDel="00000000" w:rsidR="00000000" w:rsidRPr="00000000">
        <w:rPr>
          <w:rFonts w:ascii="Lato Light" w:cs="Lato Light" w:eastAsia="Lato Light" w:hAnsi="Lato Light"/>
          <w:color w:val="ffffff"/>
          <w:sz w:val="28"/>
          <w:szCs w:val="28"/>
          <w:rtl w:val="0"/>
        </w:rPr>
        <w:t xml:space="preserve">--</w:t>
      </w:r>
    </w:p>
    <w:p w:rsidR="00000000" w:rsidDel="00000000" w:rsidP="00000000" w:rsidRDefault="00000000" w:rsidRPr="00000000" w14:paraId="0000000D">
      <w:pPr>
        <w:pageBreakBefore w:val="0"/>
        <w:jc w:val="right"/>
        <w:rPr>
          <w:b w:val="1"/>
          <w:bCs w:val="1"/>
          <w:color w:val="ffffff"/>
          <w:sz w:val="26"/>
          <w:szCs w:val="26"/>
          <w:shd w:fill="741b47" w:val="clear"/>
        </w:rPr>
      </w:pPr>
      <w:r w:rsidDel="00000000" w:rsidR="00000000" w:rsidRPr="00000000">
        <w:rPr>
          <w:rtl w:val="0"/>
        </w:rPr>
      </w:r>
    </w:p>
    <w:p w:rsidR="00000000" w:rsidDel="00000000" w:rsidP="00000000" w:rsidRDefault="00000000" w:rsidRPr="00000000" w14:paraId="0000000E">
      <w:pPr>
        <w:pageBreakBefore w:val="0"/>
        <w:jc w:val="right"/>
        <w:rPr>
          <w:rFonts w:ascii="Nunito" w:cs="Nunito" w:eastAsia="Nunito" w:hAnsi="Nunito"/>
          <w:sz w:val="18"/>
          <w:szCs w:val="18"/>
        </w:rPr>
      </w:pPr>
      <w:r w:rsidDel="00000000" w:rsidR="00000000" w:rsidRPr="00000000">
        <w:rPr>
          <w:b w:val="1"/>
          <w:bCs w:val="1"/>
          <w:color w:val="ffffff"/>
          <w:sz w:val="26"/>
          <w:szCs w:val="26"/>
        </w:rPr>
        <w:drawing>
          <wp:anchor allowOverlap="1" behindDoc="1" distB="114300" distT="114300" distL="114300" distR="114300" hidden="0" layoutInCell="1" locked="0" relativeHeight="0" simplePos="0">
            <wp:simplePos x="0" y="0"/>
            <wp:positionH relativeFrom="page">
              <wp:posOffset>2438400</wp:posOffset>
            </wp:positionH>
            <wp:positionV relativeFrom="page">
              <wp:posOffset>7689215</wp:posOffset>
            </wp:positionV>
            <wp:extent cx="5334000" cy="3114675"/>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4000" cy="3114675"/>
                    </a:xfrm>
                    <a:prstGeom prst="rect"/>
                    <a:ln/>
                  </pic:spPr>
                </pic:pic>
              </a:graphicData>
            </a:graphic>
          </wp:anchor>
        </w:drawing>
      </w:r>
      <w:r w:rsidDel="00000000" w:rsidR="00000000" w:rsidRPr="00000000">
        <w:rPr>
          <w:rFonts w:ascii="Lato" w:cs="Lato" w:eastAsia="Lato" w:hAnsi="Lato"/>
          <w:b w:val="1"/>
          <w:bCs w:val="1"/>
          <w:color w:val="ffffff"/>
          <w:sz w:val="26"/>
          <w:szCs w:val="26"/>
          <w:rtl w:val="0"/>
        </w:rPr>
        <w:t xml:space="preserve">CONFIDENTIAL</w:t>
      </w: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Barlow Condensed Medium" w:cs="Barlow Condensed Medium" w:eastAsia="Barlow Condensed Medium" w:hAnsi="Barlow Condensed Medium"/>
          <w:color w:val="005172"/>
          <w:sz w:val="40"/>
          <w:szCs w:val="40"/>
        </w:rPr>
      </w:pPr>
      <w:r w:rsidDel="00000000" w:rsidR="00000000" w:rsidRPr="00000000">
        <w:rPr>
          <w:rFonts w:ascii="Barlow Condensed Medium" w:cs="Barlow Condensed Medium" w:eastAsia="Barlow Condensed Medium" w:hAnsi="Barlow Condensed Medium"/>
          <w:color w:val="005172"/>
          <w:sz w:val="40"/>
          <w:szCs w:val="40"/>
          <w:rtl w:val="0"/>
        </w:rPr>
        <w:t xml:space="preserve">Table of Contents</w:t>
      </w:r>
    </w:p>
    <w:sdt>
      <w:sdtPr>
        <w:id w:val="331289998"/>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l15urp8jyffw">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Change Log</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v19g48ur8n">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Objectives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ajwsmmbm3b">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Primary Objective</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ee7wrc9em8">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Secondary Objectives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2wh1l66qsk">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Project Details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em9bsi663t">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Patient Population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m5nwu9fjs9">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Methodological Considerations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ng5mgxpjpt">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Methods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qvz8915dba2">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Deliverables and Timelines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0uvm3tl4bp7">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Budget</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grp4fsbfoaq">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Payment Schedule</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hn7s8b93fhz">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Organization background</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6xrwpaom4k">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Key Company Facts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qdgrxznhkm">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Project Head</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kdnvsh8ifw">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Team Members</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rh9qv39ztl">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Key Contacts</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bemxjlnv2oy">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Additional Notes</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l7i4ok21mt">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Deliverable access, transfer and availability</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5iv54u01ht">
            <w:r w:rsidDel="00000000" w:rsidR="00000000" w:rsidRPr="00000000">
              <w:rPr>
                <w:rFonts w:ascii="Lato" w:cs="Lato" w:eastAsia="Lato" w:hAnsi="Lato"/>
                <w:b w:val="0"/>
                <w:bCs w:val="0"/>
                <w:i w:val="0"/>
                <w:iCs w:val="0"/>
                <w:smallCaps w:val="0"/>
                <w:strike w:val="0"/>
                <w:color w:val="000000"/>
                <w:sz w:val="18"/>
                <w:szCs w:val="18"/>
                <w:u w:val="none"/>
                <w:shd w:fill="auto" w:val="clear"/>
                <w:vertAlign w:val="baseline"/>
                <w:rtl w:val="0"/>
              </w:rPr>
              <w:t xml:space="preserve">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rFonts w:ascii="Lato" w:cs="Lato" w:eastAsia="Lato" w:hAnsi="Lato"/>
          <w:sz w:val="16"/>
          <w:szCs w:val="16"/>
        </w:rPr>
      </w:pPr>
      <w:bookmarkStart w:colFirst="0" w:colLast="0" w:name="_v6z57wgxcldv" w:id="0"/>
      <w:bookmarkEnd w:id="0"/>
      <w:r w:rsidDel="00000000" w:rsidR="00000000" w:rsidRPr="00000000">
        <w:rPr>
          <w:rtl w:val="0"/>
        </w:rPr>
      </w:r>
    </w:p>
    <w:p w:rsidR="00000000" w:rsidDel="00000000" w:rsidP="00000000" w:rsidRDefault="00000000" w:rsidRPr="00000000" w14:paraId="00000024">
      <w:pPr>
        <w:pStyle w:val="Heading1"/>
        <w:pageBreakBefore w:val="0"/>
        <w:rPr/>
      </w:pPr>
      <w:bookmarkStart w:colFirst="0" w:colLast="0" w:name="_9it53v43q9ww" w:id="1"/>
      <w:bookmarkEnd w:id="1"/>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Barlow Condensed Medium" w:cs="Barlow Condensed Medium" w:eastAsia="Barlow Condensed Medium" w:hAnsi="Barlow Condensed Medium"/>
          <w:color w:val="005172"/>
          <w:sz w:val="40"/>
          <w:szCs w:val="40"/>
          <w:rtl w:val="0"/>
        </w:rPr>
        <w:t xml:space="preserve">Scope</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Client</w:t>
      </w:r>
      <w:r w:rsidDel="00000000" w:rsidR="00000000" w:rsidRPr="00000000">
        <w:rPr>
          <w:rtl w:val="0"/>
        </w:rPr>
        <w:tab/>
        <w:tab/>
      </w:r>
      <w:r w:rsidDel="00000000" w:rsidR="00000000" w:rsidRPr="00000000">
        <w:rPr>
          <w:rtl w:val="0"/>
        </w:rPr>
        <w:t xml:space="preserve">ALEXION</w:t>
      </w:r>
    </w:p>
    <w:p w:rsidR="00000000" w:rsidDel="00000000" w:rsidP="00000000" w:rsidRDefault="00000000" w:rsidRPr="00000000" w14:paraId="00000027">
      <w:pPr>
        <w:rPr/>
      </w:pPr>
      <w:r w:rsidDel="00000000" w:rsidR="00000000" w:rsidRPr="00000000">
        <w:rPr>
          <w:b w:val="1"/>
          <w:bCs w:val="1"/>
          <w:rtl w:val="0"/>
        </w:rPr>
        <w:t xml:space="preserve">Author</w:t>
      </w:r>
      <w:r w:rsidDel="00000000" w:rsidR="00000000" w:rsidRPr="00000000">
        <w:rPr>
          <w:rtl w:val="0"/>
        </w:rPr>
        <w:tab/>
      </w:r>
      <w:r w:rsidDel="00000000" w:rsidR="00000000" w:rsidRPr="00000000">
        <w:rPr>
          <w:rtl w:val="0"/>
        </w:rPr>
        <w:t xml:space="preserve">Daniela Antunes, Tiago Taveira-Gomes</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Recipient</w:t>
      </w:r>
      <w:r w:rsidDel="00000000" w:rsidR="00000000" w:rsidRPr="00000000">
        <w:rPr>
          <w:rtl w:val="0"/>
        </w:rPr>
        <w:tab/>
      </w:r>
      <w:r w:rsidDel="00000000" w:rsidR="00000000" w:rsidRPr="00000000">
        <w:rPr>
          <w:rtl w:val="0"/>
        </w:rPr>
        <w:t xml:space="preserve">Torcuato Fernández</w:t>
      </w:r>
    </w:p>
    <w:p w:rsidR="00000000" w:rsidDel="00000000" w:rsidP="00000000" w:rsidRDefault="00000000" w:rsidRPr="00000000" w14:paraId="00000029">
      <w:pPr>
        <w:rPr>
          <w:highlight w:val="yellow"/>
        </w:rPr>
      </w:pPr>
      <w:r w:rsidDel="00000000" w:rsidR="00000000" w:rsidRPr="00000000">
        <w:rPr>
          <w:rtl w:val="0"/>
        </w:rPr>
      </w:r>
    </w:p>
    <w:p w:rsidR="00000000" w:rsidDel="00000000" w:rsidP="00000000" w:rsidRDefault="00000000" w:rsidRPr="00000000" w14:paraId="0000002A">
      <w:pPr>
        <w:pStyle w:val="Heading1"/>
        <w:pageBreakBefore w:val="0"/>
        <w:rPr>
          <w:sz w:val="32"/>
          <w:szCs w:val="32"/>
        </w:rPr>
      </w:pPr>
      <w:bookmarkStart w:colFirst="0" w:colLast="0" w:name="_l15urp8jyffw" w:id="2"/>
      <w:bookmarkEnd w:id="2"/>
      <w:r w:rsidDel="00000000" w:rsidR="00000000" w:rsidRPr="00000000">
        <w:rPr>
          <w:rtl w:val="0"/>
        </w:rPr>
        <w:t xml:space="preserve">Change Log</w:t>
      </w:r>
      <w:r w:rsidDel="00000000" w:rsidR="00000000" w:rsidRPr="00000000">
        <w:rPr>
          <w:rtl w:val="0"/>
        </w:rPr>
      </w:r>
    </w:p>
    <w:p w:rsidR="00000000" w:rsidDel="00000000" w:rsidP="00000000" w:rsidRDefault="00000000" w:rsidRPr="00000000" w14:paraId="0000002B">
      <w:pPr>
        <w:pStyle w:val="Heading4"/>
        <w:rPr/>
      </w:pPr>
      <w:bookmarkStart w:colFirst="0" w:colLast="0" w:name="_jveq89wjfvva" w:id="3"/>
      <w:bookmarkEnd w:id="3"/>
      <w:r w:rsidDel="00000000" w:rsidR="00000000" w:rsidRPr="00000000">
        <w:rPr>
          <w:rtl w:val="0"/>
        </w:rPr>
        <w:t xml:space="preserve">Version 0.3</w:t>
      </w:r>
    </w:p>
    <w:p w:rsidR="00000000" w:rsidDel="00000000" w:rsidP="00000000" w:rsidRDefault="00000000" w:rsidRPr="00000000" w14:paraId="0000002C">
      <w:pPr>
        <w:rPr/>
      </w:pPr>
      <w:r w:rsidDel="00000000" w:rsidR="00000000" w:rsidRPr="00000000">
        <w:rPr>
          <w:rtl w:val="0"/>
        </w:rPr>
        <w:t xml:space="preserve">Updated methodology, timeline (Feb-Jun), inclusion of HCP management fees (PTC), and poster deliverable. Verification of scope.</w:t>
      </w:r>
      <w:r w:rsidDel="00000000" w:rsidR="00000000" w:rsidRPr="00000000">
        <w:rPr>
          <w:rtl w:val="0"/>
        </w:rPr>
      </w:r>
    </w:p>
    <w:p w:rsidR="00000000" w:rsidDel="00000000" w:rsidP="00000000" w:rsidRDefault="00000000" w:rsidRPr="00000000" w14:paraId="0000002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sz w:val="40"/>
          <w:szCs w:val="40"/>
        </w:rPr>
      </w:pPr>
      <w:bookmarkStart w:colFirst="0" w:colLast="0" w:name="_1r3h9fiqx072" w:id="4"/>
      <w:bookmarkEnd w:id="4"/>
      <w:r w:rsidDel="00000000" w:rsidR="00000000" w:rsidRPr="00000000">
        <w:rPr>
          <w:sz w:val="40"/>
          <w:szCs w:val="40"/>
          <w:rtl w:val="0"/>
        </w:rPr>
        <w:t xml:space="preserve">Executive Summary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MTG Research and Development Lab, Lda</w:t>
      </w:r>
      <w:r w:rsidDel="00000000" w:rsidR="00000000" w:rsidRPr="00000000">
        <w:rPr>
          <w:rtl w:val="0"/>
        </w:rPr>
        <w:t xml:space="preserve"> proposes to collaborate with Alexion to design and facilitate an Expert Panel project focused on evaluating clinical perceptions and generating expert-level recommendations regarding the specific patient profiles where Ravulizumab is the treatment of choice.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Adhering to a robust scientific framework, this initiative will utilize the Standard Clinical Recommendation Methodology (Adapted Delphi for Small Groups). This approach is specifically optimized for high-level expertise panels to quantify agreement and mitigate group bias. It combines a comprehensive targeted narrative review with a high-touch engagement model: initial alignment, in-depth one-to-one interviews (capturing both qualitative nuances and quantitative scoring), and a final plenary session to harmonize views.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The project will convene a panel of six distinguished Key Opinion Leaders (KOLs) in Nephrology and Renal Transplantation, selected to ensure geographical representativeness across key Spanish regions (Madrid, Catalonia, Valencia, Galicia, Canary Islands, and Andalusia). The process is designed to start in February with protocol definition and conclude with the development of a unified set of clinical recommendations based on measured levels of agreement, a scientific publication (English &amp; Spanish), and a conference poster.</w:t>
      </w:r>
    </w:p>
    <w:p w:rsidR="00000000" w:rsidDel="00000000" w:rsidP="00000000" w:rsidRDefault="00000000" w:rsidRPr="00000000" w14:paraId="00000031">
      <w:pPr>
        <w:pStyle w:val="Heading3"/>
        <w:spacing w:after="80" w:before="280" w:line="240" w:lineRule="auto"/>
        <w:rPr>
          <w:b w:val="1"/>
          <w:bCs w:val="1"/>
          <w:sz w:val="26"/>
          <w:szCs w:val="26"/>
        </w:rPr>
      </w:pPr>
      <w:bookmarkStart w:colFirst="0" w:colLast="0" w:name="_pywliov5qh7z" w:id="5"/>
      <w:bookmarkEnd w:id="5"/>
      <w:r w:rsidDel="00000000" w:rsidR="00000000" w:rsidRPr="00000000">
        <w:rPr>
          <w:sz w:val="40"/>
          <w:szCs w:val="40"/>
          <w:rtl w:val="0"/>
        </w:rPr>
        <w:t xml:space="preserve">Scientific Hypothesis &amp; Key Objectives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To ensure scientific rigor and compliance with TARC requirements, this project is grounded in a specific research framework: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Research Question: To what extent is there clinical alignment among Nephrology experts regarding the optimal patient profiles for Ravulizumab initiation versus standard therapies, specifically considering complex scenarios (e.g., active lifestyle, poor vascular access, transplant candidates)?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Scientific Hypothesis: We hypothesize that despite the lack of specific harmonized guidelines, there is a measurable underlying agreement among experts that specific high-risk patient phenotypes benefit from Ravulizumab to optimize outcomes and reduce hospital burden.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This project aims to achieve the following primary objectives:</w:t>
      </w:r>
    </w:p>
    <w:p w:rsidR="00000000" w:rsidDel="00000000" w:rsidP="00000000" w:rsidRDefault="00000000" w:rsidRPr="00000000" w14:paraId="000000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To define specific patient profiles and clinical criteria where Ravulizumab is the treatment of choice for adult patients with aHUS in Spain.</w:t>
      </w:r>
    </w:p>
    <w:p w:rsidR="00000000" w:rsidDel="00000000" w:rsidP="00000000" w:rsidRDefault="00000000" w:rsidRPr="00000000" w14:paraId="000000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To generate a unified set of clinical practice recommendations that promote equitable access to the best available treatment, harmonizing criteria across different Autonomous Communities.</w:t>
      </w:r>
    </w:p>
    <w:p w:rsidR="00000000" w:rsidDel="00000000" w:rsidP="00000000" w:rsidRDefault="00000000" w:rsidRPr="00000000" w14:paraId="000000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To execute a rigorous mixed-methods methodology (Adapted Delphi for Small Groups) involving a selected panel of KOLs to validate recommendations and mitigate bias.</w:t>
      </w:r>
    </w:p>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To synthesize the findings into a peer-reviewed publication and a congress poster, establishing a formal scientific reference that reflects the measured expert opinion to guide clinical decision-making.</w:t>
      </w:r>
      <w:r w:rsidDel="00000000" w:rsidR="00000000" w:rsidRPr="00000000">
        <w:rPr>
          <w:rtl w:val="0"/>
        </w:rPr>
      </w:r>
    </w:p>
    <w:p w:rsidR="00000000" w:rsidDel="00000000" w:rsidP="00000000" w:rsidRDefault="00000000" w:rsidRPr="00000000" w14:paraId="0000003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sz w:val="40"/>
          <w:szCs w:val="40"/>
        </w:rPr>
      </w:pPr>
      <w:bookmarkStart w:colFirst="0" w:colLast="0" w:name="_wt7r2sda41pt" w:id="6"/>
      <w:bookmarkEnd w:id="6"/>
      <w:r w:rsidDel="00000000" w:rsidR="00000000" w:rsidRPr="00000000">
        <w:rPr>
          <w:sz w:val="40"/>
          <w:szCs w:val="40"/>
          <w:rtl w:val="0"/>
        </w:rPr>
        <w:t xml:space="preserve">Commercial Model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tl w:val="0"/>
        </w:rPr>
        <w:t xml:space="preserve">MTG </w:t>
      </w:r>
      <w:r w:rsidDel="00000000" w:rsidR="00000000" w:rsidRPr="00000000">
        <w:rPr>
          <w:rFonts w:ascii="Lato" w:cs="Lato" w:eastAsia="Lato" w:hAnsi="Lato"/>
          <w:color w:val="000000"/>
          <w:sz w:val="24"/>
          <w:szCs w:val="24"/>
          <w:rtl w:val="0"/>
        </w:rPr>
        <w:t xml:space="preserve">aims to partner with Alexion to generate robust, expert-led evidence regarding the positioning of Ravulizumab in the management of aHUS. In this engagement, </w:t>
      </w:r>
      <w:r w:rsidDel="00000000" w:rsidR="00000000" w:rsidRPr="00000000">
        <w:rPr>
          <w:rtl w:val="0"/>
        </w:rPr>
        <w:t xml:space="preserve">MTG </w:t>
      </w:r>
      <w:r w:rsidDel="00000000" w:rsidR="00000000" w:rsidRPr="00000000">
        <w:rPr>
          <w:rFonts w:ascii="Lato" w:cs="Lato" w:eastAsia="Lato" w:hAnsi="Lato"/>
          <w:color w:val="000000"/>
          <w:sz w:val="24"/>
          <w:szCs w:val="24"/>
          <w:rtl w:val="0"/>
        </w:rPr>
        <w:t xml:space="preserve">acts as the Independent Scientific Consultant, providing the methodological rigor, medical writing expertise, and project management necessary to transform expert opinion into a validated scientific consensus. While Alexion sets the strategic imperative, </w:t>
      </w:r>
      <w:r w:rsidDel="00000000" w:rsidR="00000000" w:rsidRPr="00000000">
        <w:rPr>
          <w:rtl w:val="0"/>
        </w:rPr>
        <w:t xml:space="preserve">MTG </w:t>
      </w:r>
      <w:r w:rsidDel="00000000" w:rsidR="00000000" w:rsidRPr="00000000">
        <w:rPr>
          <w:rFonts w:ascii="Lato" w:cs="Lato" w:eastAsia="Lato" w:hAnsi="Lato"/>
          <w:color w:val="000000"/>
          <w:sz w:val="24"/>
          <w:szCs w:val="24"/>
          <w:rtl w:val="0"/>
        </w:rPr>
        <w:t xml:space="preserve">ensures the independence and scientific integrity of the process.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The commercial relationship is defined by the delivery of four critical outcomes: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Establishment of a Scientific Evidence Base: Execution of a targeted narrative review and gap analysis to support the development of a robust interview guide, identifying areas of clinical variability.</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Management of Expert Engagement: End-to-end coordination of the 6-member KOL panel, including the independent moderation of the Kick-off, individual interviews, and the Final Plenary meeting.</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Execution of the Consensus Methodology: Implementation of the "Adapted Delphi for Small Groups" mechanism to collect, analyze, and synthesize expert opinions, defining clear patient profiles for treatment prioritization.</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Delivery of a Peer-Reviewed Scientific Publication: Production of a high-quality manuscript, encompassing the full medical writing process from drafting to submission.</w:t>
      </w:r>
    </w:p>
    <w:p w:rsidR="00000000" w:rsidDel="00000000" w:rsidP="00000000" w:rsidRDefault="00000000" w:rsidRPr="00000000" w14:paraId="000000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sz w:val="40"/>
          <w:szCs w:val="40"/>
        </w:rPr>
      </w:pPr>
      <w:bookmarkStart w:colFirst="0" w:colLast="0" w:name="_i5dlt1pftzt5" w:id="7"/>
      <w:bookmarkEnd w:id="7"/>
      <w:r w:rsidDel="00000000" w:rsidR="00000000" w:rsidRPr="00000000">
        <w:rPr>
          <w:sz w:val="40"/>
          <w:szCs w:val="40"/>
          <w:rtl w:val="0"/>
        </w:rPr>
        <w:t xml:space="preserve">Detailed Scientific Methodology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Framework: Standard Clinical Recommendation Methodology (Adapted Delphi for Small Groups)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To ensure the highest level of scientific rigor with a specialized panel (N=6), </w:t>
      </w:r>
      <w:r w:rsidDel="00000000" w:rsidR="00000000" w:rsidRPr="00000000">
        <w:rPr>
          <w:rtl w:val="0"/>
        </w:rPr>
        <w:t xml:space="preserve">MTG </w:t>
      </w:r>
      <w:r w:rsidDel="00000000" w:rsidR="00000000" w:rsidRPr="00000000">
        <w:rPr>
          <w:rFonts w:ascii="Lato" w:cs="Lato" w:eastAsia="Lato" w:hAnsi="Lato"/>
          <w:color w:val="000000"/>
          <w:sz w:val="24"/>
          <w:szCs w:val="24"/>
          <w:rtl w:val="0"/>
        </w:rPr>
        <w:t xml:space="preserve">proposes a methodology adapted for small groups. This approach allows for the statistical measurement of agreement while maintaining the depth of face-to-face interaction required for complex clinical scenarios.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Step 1: Evidence Baseline &amp; Protocol Definition (Phase 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We begin with a targeted narrative review of existing guidelines and literature to inform the development of the interview guide.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Step 2: Individual In-Depth Inquiry (Qualitative &amp; Quantitative)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Instead of a generic remote survey, we will conduct semi-structured 1:1 In-Depth Interviews with each expert.</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Qualitative: Experts provide detailed reasoning for their clinical decisions, identifying specific barriers and regional discrepancies.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Quantitative Scoring: During the interview, experts rate their agreement with proposed clinical statements using a 5-point Likert Scale (1=Strongly Disagree to 5=Strongly Agree).</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Analysis: The scientific team analyzes the results to flag "Provisionally Validated" statements (High Consensus) versus areas of divergence.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Step 3: Plenary Harmonization (Real-Time Consensus)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The results from the interviews are presented in a live virtual/hybrid plenary session.</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Consensus Criteria: Agreement is defined as scores of 4 or 5.</w:t>
      </w:r>
    </w:p>
    <w:p w:rsidR="00000000" w:rsidDel="00000000" w:rsidP="00000000" w:rsidRDefault="00000000" w:rsidRPr="00000000" w14:paraId="0000004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Unanimity: 100% agreement (6/6 experts).</w:t>
      </w:r>
    </w:p>
    <w:p w:rsidR="00000000" w:rsidDel="00000000" w:rsidP="00000000" w:rsidRDefault="00000000" w:rsidRPr="00000000" w14:paraId="0000004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Strong Agreement: $\ge$ 83% agreement (5/6 experts).</w:t>
      </w:r>
    </w:p>
    <w:p w:rsidR="00000000" w:rsidDel="00000000" w:rsidP="00000000" w:rsidRDefault="00000000" w:rsidRPr="00000000" w14:paraId="0000005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Discrepancy: &lt; 80% agreement (4 or fewer experts).</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Process: "Borderline" or "Non-consensus" items are debated in real-time (Nominal Group Discussion). A final vote is conducted during the session to validate the definitive clinical recommendations.</w:t>
      </w:r>
    </w:p>
    <w:p w:rsidR="00000000" w:rsidDel="00000000" w:rsidP="00000000" w:rsidRDefault="00000000" w:rsidRPr="00000000" w14:paraId="00000052">
      <w:pPr>
        <w:pStyle w:val="Heading1"/>
        <w:spacing w:after="80" w:before="280" w:line="240" w:lineRule="auto"/>
        <w:rPr/>
      </w:pPr>
      <w:bookmarkStart w:colFirst="0" w:colLast="0" w:name="_eavjw1w3p5a9" w:id="8"/>
      <w:bookmarkEnd w:id="8"/>
      <w:r w:rsidDel="00000000" w:rsidR="00000000" w:rsidRPr="00000000">
        <w:rPr>
          <w:rtl w:val="0"/>
        </w:rPr>
        <w:t xml:space="preserve">Operational Model &amp; Phasing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To accommodate the internal approval timelines and ensure project momentum, the proposal is structured into two distinct operational parts: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Part 1: Protocol &amp; Governance (February) Immediate initiation of the study design, protocol drafting, and narrative review. This phase prepares the groundwork before fieldwork begins.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Milestones: Study kick-off, Governance setup (M1), Literature review start.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Part 2: Execution &amp; Engagement (March – June) Implementation of the meetings with doctors and medical writing.</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Milestones:</w:t>
      </w:r>
    </w:p>
    <w:p w:rsidR="00000000" w:rsidDel="00000000" w:rsidP="00000000" w:rsidRDefault="00000000" w:rsidRPr="00000000" w14:paraId="0000005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March: Interview guide conceptualization &amp; Evidence synthesis (M2).</w:t>
      </w:r>
    </w:p>
    <w:p w:rsidR="00000000" w:rsidDel="00000000" w:rsidP="00000000" w:rsidRDefault="00000000" w:rsidRPr="00000000" w14:paraId="0000005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April: Fieldwork (Expert Interviews) &amp; Drafted statements (M3).</w:t>
      </w:r>
    </w:p>
    <w:p w:rsidR="00000000" w:rsidDel="00000000" w:rsidP="00000000" w:rsidRDefault="00000000" w:rsidRPr="00000000" w14:paraId="0000005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May: Plenary Session (Nominal discussion) &amp; Final Report (M4).</w:t>
      </w:r>
    </w:p>
    <w:p w:rsidR="00000000" w:rsidDel="00000000" w:rsidP="00000000" w:rsidRDefault="00000000" w:rsidRPr="00000000" w14:paraId="0000005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June: Scientific Manuscript development &amp; Poster creation (M5).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HCP Management (Pass-Through Costs): </w:t>
      </w:r>
      <w:r w:rsidDel="00000000" w:rsidR="00000000" w:rsidRPr="00000000">
        <w:rPr>
          <w:rtl w:val="0"/>
        </w:rPr>
        <w:t xml:space="preserve">MTG </w:t>
      </w:r>
      <w:r w:rsidDel="00000000" w:rsidR="00000000" w:rsidRPr="00000000">
        <w:rPr>
          <w:rFonts w:ascii="Lato" w:cs="Lato" w:eastAsia="Lato" w:hAnsi="Lato"/>
          <w:color w:val="000000"/>
          <w:sz w:val="24"/>
          <w:szCs w:val="24"/>
          <w:rtl w:val="0"/>
        </w:rPr>
        <w:t xml:space="preserve">will handle the complete administrative lifecycle for the Health Care Professionals (HCPs), including contracting, compliance, and FMV honoraria payments.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Estimation: We estimate a workload of 8 to 12 hours per clinician for the full project.</w:t>
      </w:r>
    </w:p>
    <w:p w:rsidR="00000000" w:rsidDel="00000000" w:rsidP="00000000" w:rsidRDefault="00000000" w:rsidRPr="00000000" w14:paraId="0000005E">
      <w:pPr>
        <w:pStyle w:val="Heading1"/>
        <w:rPr/>
      </w:pPr>
      <w:bookmarkStart w:colFirst="0" w:colLast="0" w:name="_diyyn9go63vs" w:id="9"/>
      <w:bookmarkEnd w:id="9"/>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color w:val="005172"/>
          <w:sz w:val="40"/>
          <w:szCs w:val="40"/>
        </w:rPr>
      </w:pPr>
      <w:bookmarkStart w:colFirst="0" w:colLast="0" w:name="_8gydfanvw7td" w:id="10"/>
      <w:bookmarkEnd w:id="10"/>
      <w:r w:rsidDel="00000000" w:rsidR="00000000" w:rsidRPr="00000000">
        <w:rPr>
          <w:color w:val="005172"/>
          <w:sz w:val="40"/>
          <w:szCs w:val="40"/>
          <w:rtl w:val="0"/>
        </w:rPr>
        <w:t xml:space="preserve">Cost Structure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i w:val="1"/>
          <w:iCs w:val="1"/>
        </w:rPr>
      </w:pPr>
      <w:r w:rsidDel="00000000" w:rsidR="00000000" w:rsidRPr="00000000">
        <w:rPr>
          <w:i w:val="1"/>
          <w:iCs w:val="1"/>
          <w:rtl w:val="0"/>
        </w:rPr>
        <w:t xml:space="preserve">(All values exclude VAT)</w:t>
      </w:r>
    </w:p>
    <w:p w:rsidR="00000000" w:rsidDel="00000000" w:rsidP="00000000" w:rsidRDefault="00000000" w:rsidRPr="00000000" w14:paraId="00000061">
      <w:pPr>
        <w:pStyle w:val="Heading2"/>
        <w:spacing w:after="120" w:before="120" w:lineRule="auto"/>
        <w:rPr/>
      </w:pPr>
      <w:bookmarkStart w:colFirst="0" w:colLast="0" w:name="_ipqbjcq8apf5" w:id="11"/>
      <w:bookmarkEnd w:id="11"/>
      <w:r w:rsidDel="00000000" w:rsidR="00000000" w:rsidRPr="00000000">
        <w:rPr>
          <w:rtl w:val="0"/>
        </w:rPr>
        <w:t xml:space="preserve">PART 1: Protocol &amp; Scientific Foundation (February)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This phase focuses on the development of the full study protocol that defines the project’s governance, research questions, and the specific "Modified Delphi-based" methodology. Crucially, this includes the design of the Quantitative Analysis Plan and the structured scoring sheets. Besides that, it includes a targeted narrative review to map existing evidence and identify specific data gaps. This output serves as the scientific baseline for the project and provides the essential pre-read materials to focus the experts' discussion.</w:t>
      </w:r>
    </w:p>
    <w:tbl>
      <w:tblPr>
        <w:tblStyle w:val="Table1"/>
        <w:tblW w:w="9060.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4080"/>
        <w:gridCol w:w="975"/>
        <w:gridCol w:w="2115"/>
        <w:gridCol w:w="720"/>
        <w:gridCol w:w="1170"/>
        <w:tblGridChange w:id="0">
          <w:tblGrid>
            <w:gridCol w:w="4080"/>
            <w:gridCol w:w="975"/>
            <w:gridCol w:w="2115"/>
            <w:gridCol w:w="720"/>
            <w:gridCol w:w="1170"/>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rFonts w:ascii="PT Mono" w:cs="PT Mono" w:eastAsia="PT Mono" w:hAnsi="PT Mono"/>
                <w:color w:val="005172"/>
                <w:sz w:val="18"/>
                <w:szCs w:val="18"/>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5172"/>
                <w:sz w:val="18"/>
                <w:szCs w:val="18"/>
              </w:rPr>
            </w:pPr>
            <w:r w:rsidDel="00000000" w:rsidR="00000000" w:rsidRPr="00000000">
              <w:rPr>
                <w:rFonts w:ascii="PT Mono" w:cs="PT Mono" w:eastAsia="PT Mono" w:hAnsi="PT Mono"/>
                <w:color w:val="005172"/>
                <w:sz w:val="18"/>
                <w:szCs w:val="18"/>
                <w:rtl w:val="0"/>
              </w:rPr>
              <w:t xml:space="preserve">Total (€) </w:t>
            </w:r>
          </w:p>
        </w:tc>
      </w:tr>
      <w:tr>
        <w:trPr>
          <w:cantSplit w:val="0"/>
          <w:trHeight w:val="431.99999999999994" w:hRule="atLeast"/>
          <w:tblHeader w:val="0"/>
        </w:trPr>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Study Protocol &amp; Methodology Design</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3,500</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One-time for project</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1</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3,500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Narrative Review &amp; Gap Analysis</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3,000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3,000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Project Management (Phase 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750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750</w:t>
            </w:r>
          </w:p>
        </w:tc>
      </w:tr>
      <w:tr>
        <w:trPr>
          <w:cantSplit w:val="0"/>
          <w:trHeight w:val="431.99999999999994" w:hRule="atLeast"/>
          <w:tblHeader w:val="0"/>
        </w:trPr>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Total</w:t>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005172"/>
                <w:sz w:val="18"/>
                <w:szCs w:val="18"/>
              </w:rPr>
            </w:pPr>
            <w:r w:rsidDel="00000000" w:rsidR="00000000" w:rsidRPr="00000000">
              <w:rPr>
                <w:b w:val="1"/>
                <w:bCs w:val="1"/>
                <w:color w:val="005172"/>
                <w:sz w:val="18"/>
                <w:szCs w:val="18"/>
                <w:rtl w:val="0"/>
              </w:rPr>
              <w:t xml:space="preserve">7,250</w:t>
            </w:r>
          </w:p>
        </w:tc>
      </w:tr>
    </w:tbl>
    <w:p w:rsidR="00000000" w:rsidDel="00000000" w:rsidP="00000000" w:rsidRDefault="00000000" w:rsidRPr="00000000" w14:paraId="0000007C">
      <w:pPr>
        <w:pStyle w:val="Heading3"/>
        <w:spacing w:after="120" w:before="360" w:line="276" w:lineRule="auto"/>
        <w:rPr>
          <w:rFonts w:ascii="Rubik Medium" w:cs="Rubik Medium" w:eastAsia="Rubik Medium" w:hAnsi="Rubik Medium"/>
          <w:color w:val="172e42"/>
          <w:sz w:val="24"/>
          <w:szCs w:val="24"/>
        </w:rPr>
      </w:pPr>
      <w:bookmarkStart w:colFirst="0" w:colLast="0" w:name="_4iycqgbyln1u" w:id="12"/>
      <w:bookmarkEnd w:id="12"/>
      <w:r w:rsidDel="00000000" w:rsidR="00000000" w:rsidRPr="00000000">
        <w:rPr>
          <w:rFonts w:ascii="Rubik Light" w:cs="Rubik Light" w:eastAsia="Rubik Light" w:hAnsi="Rubik Light"/>
          <w:color w:val="000000"/>
          <w:sz w:val="20"/>
          <w:szCs w:val="20"/>
          <w:rtl w:val="0"/>
        </w:rPr>
        <w:t xml:space="preserve">*Includes stakeholder management and progress reporting.</w:t>
      </w:r>
      <w:r w:rsidDel="00000000" w:rsidR="00000000" w:rsidRPr="00000000">
        <w:rPr>
          <w:rtl w:val="0"/>
        </w:rPr>
      </w:r>
    </w:p>
    <w:p w:rsidR="00000000" w:rsidDel="00000000" w:rsidP="00000000" w:rsidRDefault="00000000" w:rsidRPr="00000000" w14:paraId="0000007D">
      <w:pPr>
        <w:pStyle w:val="Heading2"/>
        <w:spacing w:after="120" w:before="360" w:line="276" w:lineRule="auto"/>
        <w:rPr/>
      </w:pPr>
      <w:bookmarkStart w:colFirst="0" w:colLast="0" w:name="_w4f4icqv2bqr" w:id="13"/>
      <w:bookmarkEnd w:id="13"/>
      <w:r w:rsidDel="00000000" w:rsidR="00000000" w:rsidRPr="00000000">
        <w:rPr>
          <w:rtl w:val="0"/>
        </w:rPr>
        <w:t xml:space="preserve">PART 2: Execution, Fieldwork &amp; Dissemination (March - July)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This phase encompasses the active engagement with the Expert Panel and the production of all final deliverables. It begins with a virtual Kick-off meeting to align objectives, followed by in-depth one-to-one interviews. Subsequently, a Quantitative Scoring Phase is executed, where experts rate the clinical statements to measure agreement levels. Findings are synthesized into a Consensus &amp; Scoring Report and discussed in a final plenary meeting. The final recommendations are then transformed into a high-quality scientific manuscript (written in English and translated to Spanish) and a congress poster/presentation. MTG manages the entire process, including the editorial submission.</w:t>
      </w:r>
      <w:r w:rsidDel="00000000" w:rsidR="00000000" w:rsidRPr="00000000">
        <w:rPr>
          <w:rtl w:val="0"/>
        </w:rPr>
      </w:r>
    </w:p>
    <w:p w:rsidR="00000000" w:rsidDel="00000000" w:rsidP="00000000" w:rsidRDefault="00000000" w:rsidRPr="00000000" w14:paraId="0000007F">
      <w:pPr>
        <w:spacing w:after="120" w:before="120" w:lineRule="auto"/>
        <w:rPr>
          <w:rFonts w:ascii="Rubik Light" w:cs="Rubik Light" w:eastAsia="Rubik Light" w:hAnsi="Rubik Light"/>
          <w:highlight w:val="yellow"/>
        </w:rPr>
      </w:pPr>
      <w:r w:rsidDel="00000000" w:rsidR="00000000" w:rsidRPr="00000000">
        <w:rPr>
          <w:rtl w:val="0"/>
        </w:rPr>
      </w:r>
    </w:p>
    <w:tbl>
      <w:tblPr>
        <w:tblStyle w:val="Table2"/>
        <w:tblW w:w="9045.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4605"/>
        <w:gridCol w:w="990"/>
        <w:gridCol w:w="1875"/>
        <w:gridCol w:w="600"/>
        <w:gridCol w:w="975"/>
        <w:tblGridChange w:id="0">
          <w:tblGrid>
            <w:gridCol w:w="4605"/>
            <w:gridCol w:w="990"/>
            <w:gridCol w:w="1875"/>
            <w:gridCol w:w="600"/>
            <w:gridCol w:w="97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Item</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rFonts w:ascii="PT Mono" w:cs="PT Mono" w:eastAsia="PT Mono" w:hAnsi="PT Mono"/>
                <w:color w:val="005172"/>
                <w:sz w:val="18"/>
                <w:szCs w:val="18"/>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5172"/>
                <w:sz w:val="18"/>
                <w:szCs w:val="18"/>
              </w:rPr>
            </w:pPr>
            <w:r w:rsidDel="00000000" w:rsidR="00000000" w:rsidRPr="00000000">
              <w:rPr>
                <w:rFonts w:ascii="PT Mono" w:cs="PT Mono" w:eastAsia="PT Mono" w:hAnsi="PT Mono"/>
                <w:color w:val="005172"/>
                <w:sz w:val="18"/>
                <w:szCs w:val="18"/>
                <w:rtl w:val="0"/>
              </w:rPr>
              <w:t xml:space="preserve">Total (€) </w:t>
            </w:r>
          </w:p>
        </w:tc>
      </w:tr>
      <w:tr>
        <w:trPr>
          <w:cantSplit w:val="0"/>
          <w:trHeight w:val="431.99999999999994" w:hRule="atLeast"/>
          <w:tblHeader w:val="0"/>
        </w:trPr>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Virtual Expert Meetings (Logistics &amp; Moderation): Kick-off Meeting and Final Alignment Meeting</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2,000</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Per session</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2</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3,600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One-to-One Expert Interviews with each of the 6 KOLs</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850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Per session</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6</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5,100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Medical Writing (Manuscript - English)</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6,200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6,200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Scientific Poster </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1,800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1,800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Project Management (Phase 2)</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2,600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2,600</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Total for first year</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005172"/>
                <w:sz w:val="18"/>
                <w:szCs w:val="18"/>
              </w:rPr>
            </w:pPr>
            <w:r w:rsidDel="00000000" w:rsidR="00000000" w:rsidRPr="00000000">
              <w:rPr>
                <w:b w:val="1"/>
                <w:bCs w:val="1"/>
                <w:color w:val="005172"/>
                <w:sz w:val="18"/>
                <w:szCs w:val="18"/>
                <w:rtl w:val="0"/>
              </w:rPr>
              <w:t xml:space="preserve">19,300</w:t>
            </w:r>
          </w:p>
        </w:tc>
      </w:tr>
    </w:tbl>
    <w:p w:rsidR="00000000" w:rsidDel="00000000" w:rsidP="00000000" w:rsidRDefault="00000000" w:rsidRPr="00000000" w14:paraId="000000A3">
      <w:pPr>
        <w:pStyle w:val="Heading6"/>
        <w:spacing w:after="120" w:before="120" w:lineRule="auto"/>
        <w:rPr/>
      </w:pPr>
      <w:bookmarkStart w:colFirst="0" w:colLast="0" w:name="_rlsyfwy0ymg1" w:id="14"/>
      <w:bookmarkEnd w:id="14"/>
      <w:r w:rsidDel="00000000" w:rsidR="00000000" w:rsidRPr="00000000">
        <w:rPr>
          <w:rtl w:val="0"/>
        </w:rPr>
        <w:t xml:space="preserve">*Publication fees, Open Access fees, and Article Processing Charges (APCs) are NOT included in this budget and will be invoiced separately (at cost) or paid directly by Alexion.</w:t>
      </w:r>
    </w:p>
    <w:p w:rsidR="00000000" w:rsidDel="00000000" w:rsidP="00000000" w:rsidRDefault="00000000" w:rsidRPr="00000000" w14:paraId="000000A4">
      <w:pPr>
        <w:pStyle w:val="Heading3"/>
        <w:spacing w:after="120" w:before="360" w:line="276" w:lineRule="auto"/>
        <w:rPr>
          <w:rFonts w:ascii="Rubik Medium" w:cs="Rubik Medium" w:eastAsia="Rubik Medium" w:hAnsi="Rubik Medium"/>
          <w:color w:val="172e42"/>
          <w:sz w:val="24"/>
          <w:szCs w:val="24"/>
        </w:rPr>
      </w:pPr>
      <w:bookmarkStart w:colFirst="0" w:colLast="0" w:name="_mk799is4whgg" w:id="15"/>
      <w:bookmarkEnd w:id="15"/>
      <w:r w:rsidDel="00000000" w:rsidR="00000000" w:rsidRPr="00000000">
        <w:rPr>
          <w:rtl w:val="0"/>
        </w:rPr>
      </w:r>
    </w:p>
    <w:p w:rsidR="00000000" w:rsidDel="00000000" w:rsidP="00000000" w:rsidRDefault="00000000" w:rsidRPr="00000000" w14:paraId="000000A5">
      <w:pPr>
        <w:pStyle w:val="Heading2"/>
        <w:spacing w:after="120" w:before="120" w:lineRule="auto"/>
        <w:rPr/>
      </w:pPr>
      <w:bookmarkStart w:colFirst="0" w:colLast="0" w:name="_p9e331jcm0dn" w:id="16"/>
      <w:bookmarkEnd w:id="16"/>
      <w:r w:rsidDel="00000000" w:rsidR="00000000" w:rsidRPr="00000000">
        <w:rPr>
          <w:rtl w:val="0"/>
        </w:rPr>
        <w:t xml:space="preserve">HCP Management Fees (Pass-Through Handling)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MTG </w:t>
      </w:r>
      <w:r w:rsidDel="00000000" w:rsidR="00000000" w:rsidRPr="00000000">
        <w:rPr>
          <w:rtl w:val="0"/>
        </w:rPr>
        <w:t xml:space="preserve">assumes full responsibility for the administrative and financial management of the participating HCPs. This service includes handling all contracting compliance documentation and processing the honoraria payments on behalf of Alexion, ensuring a seamless interface with the experts.</w:t>
      </w:r>
    </w:p>
    <w:tbl>
      <w:tblPr>
        <w:tblStyle w:val="Table3"/>
        <w:tblW w:w="9045.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3900"/>
        <w:gridCol w:w="1350"/>
        <w:gridCol w:w="1830"/>
        <w:gridCol w:w="840"/>
        <w:gridCol w:w="1125"/>
        <w:tblGridChange w:id="0">
          <w:tblGrid>
            <w:gridCol w:w="3900"/>
            <w:gridCol w:w="1350"/>
            <w:gridCol w:w="1830"/>
            <w:gridCol w:w="840"/>
            <w:gridCol w:w="112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rFonts w:ascii="PT Mono" w:cs="PT Mono" w:eastAsia="PT Mono" w:hAnsi="PT Mono"/>
                <w:color w:val="005172"/>
                <w:sz w:val="18"/>
                <w:szCs w:val="18"/>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5172"/>
                <w:sz w:val="18"/>
                <w:szCs w:val="18"/>
              </w:rPr>
            </w:pPr>
            <w:r w:rsidDel="00000000" w:rsidR="00000000" w:rsidRPr="00000000">
              <w:rPr>
                <w:rFonts w:ascii="PT Mono" w:cs="PT Mono" w:eastAsia="PT Mono" w:hAnsi="PT Mono"/>
                <w:color w:val="005172"/>
                <w:sz w:val="18"/>
                <w:szCs w:val="18"/>
                <w:rtl w:val="0"/>
              </w:rPr>
              <w:t xml:space="preserve">Total (€) </w:t>
            </w:r>
          </w:p>
        </w:tc>
      </w:tr>
      <w:tr>
        <w:trPr>
          <w:cantSplit w:val="0"/>
          <w:trHeight w:val="431.99999999999994" w:hRule="atLeast"/>
          <w:tblHeader w:val="0"/>
        </w:trPr>
        <w:tc>
          <w:tcPr>
            <w:tcBorders>
              <w:top w:color="000000" w:space="0" w:sz="0" w:val="nil"/>
              <w:left w:color="000000" w:space="0" w:sz="0" w:val="nil"/>
              <w:bottom w:color="cccccc"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Estimated HCP Honoraria (Pass-Through)</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350</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Per hour (6 experts for 12 h) </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sz w:val="18"/>
                <w:szCs w:val="18"/>
                <w:rtl w:val="0"/>
              </w:rPr>
              <w:t xml:space="preserve">72</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25,200</w:t>
            </w:r>
          </w:p>
        </w:tc>
      </w:tr>
      <w:tr>
        <w:trPr>
          <w:cantSplit w:val="0"/>
          <w:trHeight w:val="431.99999999999994" w:hRule="atLeast"/>
          <w:tblHeader w:val="0"/>
        </w:trPr>
        <w:tc>
          <w:tcPr>
            <w:tcBorders>
              <w:top w:color="cccccc"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Administrative fee (3%)</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753</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Total </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005172"/>
                <w:sz w:val="18"/>
                <w:szCs w:val="18"/>
              </w:rPr>
            </w:pPr>
            <w:r w:rsidDel="00000000" w:rsidR="00000000" w:rsidRPr="00000000">
              <w:rPr>
                <w:b w:val="1"/>
                <w:bCs w:val="1"/>
                <w:color w:val="005172"/>
                <w:sz w:val="18"/>
                <w:szCs w:val="18"/>
                <w:rtl w:val="0"/>
              </w:rPr>
              <w:t xml:space="preserve">25,952</w:t>
            </w:r>
          </w:p>
        </w:tc>
      </w:tr>
    </w:tbl>
    <w:p w:rsidR="00000000" w:rsidDel="00000000" w:rsidP="00000000" w:rsidRDefault="00000000" w:rsidRPr="00000000" w14:paraId="000000BB">
      <w:pPr>
        <w:pStyle w:val="Heading5"/>
        <w:spacing w:after="120" w:before="120" w:line="240" w:lineRule="auto"/>
        <w:rPr>
          <w:rFonts w:ascii="Rubik Light" w:cs="Rubik Light" w:eastAsia="Rubik Light" w:hAnsi="Rubik Light"/>
        </w:rPr>
      </w:pPr>
      <w:bookmarkStart w:colFirst="0" w:colLast="0" w:name="_h9om3pd7t3v4" w:id="17"/>
      <w:bookmarkEnd w:id="17"/>
      <w:r w:rsidDel="00000000" w:rsidR="00000000" w:rsidRPr="00000000">
        <w:rPr>
          <w:rFonts w:ascii="Rubik" w:cs="Rubik" w:eastAsia="Rubik" w:hAnsi="Rubik"/>
          <w:b w:val="1"/>
          <w:bCs w:val="1"/>
          <w:rtl w:val="0"/>
        </w:rPr>
        <w:t xml:space="preserve">Remarks:</w:t>
      </w:r>
      <w:r w:rsidDel="00000000" w:rsidR="00000000" w:rsidRPr="00000000">
        <w:rPr>
          <w:rFonts w:ascii="Rubik Light" w:cs="Rubik Light" w:eastAsia="Rubik Light" w:hAnsi="Rubik Light"/>
          <w:i w:val="1"/>
          <w:iCs w:val="1"/>
          <w:rtl w:val="0"/>
        </w:rPr>
        <w:t xml:space="preserve"> </w:t>
      </w:r>
      <w:r w:rsidDel="00000000" w:rsidR="00000000" w:rsidRPr="00000000">
        <w:rPr>
          <w:rFonts w:ascii="Rubik Light" w:cs="Rubik Light" w:eastAsia="Rubik Light" w:hAnsi="Rubik Light"/>
          <w:rtl w:val="0"/>
        </w:rPr>
        <w:t xml:space="preserve">To assist Alexion in internal Fair Market Value (FMV) calculations, MTG estimates the following time commitment per expert:</w:t>
      </w:r>
    </w:p>
    <w:p w:rsidR="00000000" w:rsidDel="00000000" w:rsidP="00000000" w:rsidRDefault="00000000" w:rsidRPr="00000000" w14:paraId="000000BC">
      <w:pPr>
        <w:pStyle w:val="Heading5"/>
        <w:numPr>
          <w:ilvl w:val="0"/>
          <w:numId w:val="8"/>
        </w:numPr>
        <w:spacing w:after="0" w:before="120" w:line="240" w:lineRule="auto"/>
        <w:ind w:left="720" w:hanging="360"/>
        <w:rPr/>
      </w:pPr>
      <w:bookmarkStart w:colFirst="0" w:colLast="0" w:name="_i8ius8rp4xgh" w:id="18"/>
      <w:bookmarkEnd w:id="18"/>
      <w:r w:rsidDel="00000000" w:rsidR="00000000" w:rsidRPr="00000000">
        <w:rPr>
          <w:rtl w:val="0"/>
        </w:rPr>
        <w:t xml:space="preserve">Preparation / Pre-read: 1.0 Hour</w:t>
      </w:r>
    </w:p>
    <w:p w:rsidR="00000000" w:rsidDel="00000000" w:rsidP="00000000" w:rsidRDefault="00000000" w:rsidRPr="00000000" w14:paraId="000000BD">
      <w:pPr>
        <w:pStyle w:val="Heading5"/>
        <w:numPr>
          <w:ilvl w:val="0"/>
          <w:numId w:val="8"/>
        </w:numPr>
        <w:spacing w:after="0" w:line="240" w:lineRule="auto"/>
        <w:ind w:left="720" w:hanging="360"/>
        <w:rPr/>
      </w:pPr>
      <w:bookmarkStart w:colFirst="0" w:colLast="0" w:name="_wr6nz6qltg6u" w:id="19"/>
      <w:bookmarkEnd w:id="19"/>
      <w:r w:rsidDel="00000000" w:rsidR="00000000" w:rsidRPr="00000000">
        <w:rPr>
          <w:rtl w:val="0"/>
        </w:rPr>
        <w:t xml:space="preserve">Kick-off Meeting: 1.5 Hours</w:t>
      </w:r>
    </w:p>
    <w:p w:rsidR="00000000" w:rsidDel="00000000" w:rsidP="00000000" w:rsidRDefault="00000000" w:rsidRPr="00000000" w14:paraId="000000BE">
      <w:pPr>
        <w:pStyle w:val="Heading5"/>
        <w:numPr>
          <w:ilvl w:val="0"/>
          <w:numId w:val="8"/>
        </w:numPr>
        <w:spacing w:after="0" w:line="240" w:lineRule="auto"/>
        <w:ind w:left="720" w:hanging="360"/>
        <w:rPr/>
      </w:pPr>
      <w:bookmarkStart w:colFirst="0" w:colLast="0" w:name="_2c72zd28mts" w:id="20"/>
      <w:bookmarkEnd w:id="20"/>
      <w:r w:rsidDel="00000000" w:rsidR="00000000" w:rsidRPr="00000000">
        <w:rPr>
          <w:rtl w:val="0"/>
        </w:rPr>
        <w:t xml:space="preserve">One-to-One Interview: 1.5 Hours</w:t>
      </w:r>
    </w:p>
    <w:p w:rsidR="00000000" w:rsidDel="00000000" w:rsidP="00000000" w:rsidRDefault="00000000" w:rsidRPr="00000000" w14:paraId="000000BF">
      <w:pPr>
        <w:pStyle w:val="Heading5"/>
        <w:numPr>
          <w:ilvl w:val="0"/>
          <w:numId w:val="8"/>
        </w:numPr>
        <w:spacing w:after="0" w:line="240" w:lineRule="auto"/>
        <w:ind w:left="720" w:hanging="360"/>
        <w:rPr/>
      </w:pPr>
      <w:bookmarkStart w:colFirst="0" w:colLast="0" w:name="_v0qyk5m89hyz" w:id="21"/>
      <w:bookmarkEnd w:id="21"/>
      <w:r w:rsidDel="00000000" w:rsidR="00000000" w:rsidRPr="00000000">
        <w:rPr>
          <w:rtl w:val="0"/>
        </w:rPr>
        <w:t xml:space="preserve">Final Plenary Meeting: 1.5 Hours</w:t>
      </w:r>
    </w:p>
    <w:p w:rsidR="00000000" w:rsidDel="00000000" w:rsidP="00000000" w:rsidRDefault="00000000" w:rsidRPr="00000000" w14:paraId="000000C0">
      <w:pPr>
        <w:pStyle w:val="Heading5"/>
        <w:numPr>
          <w:ilvl w:val="0"/>
          <w:numId w:val="8"/>
        </w:numPr>
        <w:spacing w:after="120" w:line="240" w:lineRule="auto"/>
        <w:ind w:left="720" w:hanging="360"/>
        <w:rPr/>
      </w:pPr>
      <w:bookmarkStart w:colFirst="0" w:colLast="0" w:name="_vqwj21y64npb" w:id="22"/>
      <w:bookmarkEnd w:id="22"/>
      <w:r w:rsidDel="00000000" w:rsidR="00000000" w:rsidRPr="00000000">
        <w:rPr>
          <w:rtl w:val="0"/>
        </w:rPr>
        <w:t xml:space="preserve">Review of Manuscript/Materials: 2.5 - 6.5 Hours (variable)</w:t>
      </w:r>
    </w:p>
    <w:p w:rsidR="00000000" w:rsidDel="00000000" w:rsidP="00000000" w:rsidRDefault="00000000" w:rsidRPr="00000000" w14:paraId="000000C1">
      <w:pPr>
        <w:pStyle w:val="Heading5"/>
        <w:spacing w:after="120" w:before="120" w:line="240" w:lineRule="auto"/>
        <w:rPr/>
      </w:pPr>
      <w:bookmarkStart w:colFirst="0" w:colLast="0" w:name="_qfrqk8bb60jo" w:id="23"/>
      <w:bookmarkEnd w:id="23"/>
      <w:r w:rsidDel="00000000" w:rsidR="00000000" w:rsidRPr="00000000">
        <w:rPr>
          <w:rtl w:val="0"/>
        </w:rPr>
        <w:t xml:space="preserve">Total Estimated Workload per Expert: 8 to 12 Hours</w:t>
      </w:r>
    </w:p>
    <w:p w:rsidR="00000000" w:rsidDel="00000000" w:rsidP="00000000" w:rsidRDefault="00000000" w:rsidRPr="00000000" w14:paraId="000000C2">
      <w:pPr>
        <w:pStyle w:val="Heading5"/>
        <w:spacing w:after="120" w:before="120" w:line="240" w:lineRule="auto"/>
        <w:rPr/>
      </w:pPr>
      <w:bookmarkStart w:colFirst="0" w:colLast="0" w:name="_8pglrlmatjwm" w:id="24"/>
      <w:bookmarkEnd w:id="24"/>
      <w:r w:rsidDel="00000000" w:rsidR="00000000" w:rsidRPr="00000000">
        <w:rPr>
          <w:rtl w:val="0"/>
        </w:rPr>
        <w:t xml:space="preserve">A 3% administrative fee will be applied to the total volume of managed Pass-Through Costs to cover banking, compliance, and processing overheads.</w:t>
      </w:r>
    </w:p>
    <w:p w:rsidR="00000000" w:rsidDel="00000000" w:rsidP="00000000" w:rsidRDefault="00000000" w:rsidRPr="00000000" w14:paraId="000000C3">
      <w:pPr>
        <w:spacing w:after="120" w:before="120" w:line="240" w:lineRule="auto"/>
        <w:rPr>
          <w:rFonts w:ascii="Rubik Light" w:cs="Rubik Light" w:eastAsia="Rubik Light" w:hAnsi="Rubik Light"/>
          <w:sz w:val="20"/>
          <w:szCs w:val="20"/>
        </w:rPr>
      </w:pPr>
      <w:r w:rsidDel="00000000" w:rsidR="00000000" w:rsidRPr="00000000">
        <w:rPr>
          <w:rtl w:val="0"/>
        </w:rPr>
      </w:r>
    </w:p>
    <w:p w:rsidR="00000000" w:rsidDel="00000000" w:rsidP="00000000" w:rsidRDefault="00000000" w:rsidRPr="00000000" w14:paraId="000000C4">
      <w:pPr>
        <w:pStyle w:val="Heading2"/>
        <w:spacing w:after="120" w:before="360" w:line="276" w:lineRule="auto"/>
        <w:rPr/>
      </w:pPr>
      <w:bookmarkStart w:colFirst="0" w:colLast="0" w:name="_pdnhcwpim6vp" w:id="25"/>
      <w:bookmarkEnd w:id="25"/>
      <w:r w:rsidDel="00000000" w:rsidR="00000000" w:rsidRPr="00000000">
        <w:rPr>
          <w:rtl w:val="0"/>
        </w:rPr>
        <w:t xml:space="preserve">Budget Summary</w:t>
      </w:r>
    </w:p>
    <w:tbl>
      <w:tblPr>
        <w:tblStyle w:val="Table4"/>
        <w:tblW w:w="9030.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4185"/>
        <w:gridCol w:w="1230"/>
        <w:gridCol w:w="1650"/>
        <w:gridCol w:w="1965"/>
        <w:tblGridChange w:id="0">
          <w:tblGrid>
            <w:gridCol w:w="4185"/>
            <w:gridCol w:w="1230"/>
            <w:gridCol w:w="1650"/>
            <w:gridCol w:w="196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rtl w:val="0"/>
              </w:rPr>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rtl w:val="0"/>
              </w:rPr>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5172"/>
                <w:sz w:val="18"/>
                <w:szCs w:val="18"/>
              </w:rPr>
            </w:pPr>
            <w:r w:rsidDel="00000000" w:rsidR="00000000" w:rsidRPr="00000000">
              <w:rPr>
                <w:rFonts w:ascii="PT Mono" w:cs="PT Mono" w:eastAsia="PT Mono" w:hAnsi="PT Mono"/>
                <w:color w:val="005172"/>
                <w:sz w:val="18"/>
                <w:szCs w:val="18"/>
                <w:rtl w:val="0"/>
              </w:rPr>
              <w:t xml:space="preserve">Price (€)</w:t>
            </w:r>
          </w:p>
        </w:tc>
      </w:tr>
      <w:tr>
        <w:trPr>
          <w:cantSplit w:val="0"/>
          <w:trHeight w:val="431.99999999999994"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PART 1 Protocol &amp; Scientific Foundation (February)</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7,250</w:t>
            </w:r>
          </w:p>
        </w:tc>
      </w:tr>
      <w:tr>
        <w:trPr>
          <w:cantSplit w:val="0"/>
          <w:trHeight w:val="431.99999999999994" w:hRule="atLeast"/>
          <w:tblHeader w:val="0"/>
        </w:trPr>
        <w:tc>
          <w:tcPr>
            <w:gridSpan w:val="3"/>
            <w:tcBorders>
              <w:top w:color="cccccc" w:space="0" w:sz="8" w:val="single"/>
              <w:left w:color="000000" w:space="0" w:sz="0" w:val="nil"/>
              <w:bottom w:color="cccccc" w:space="0" w:sz="4" w:val="single"/>
              <w:right w:color="000000" w:space="0" w:sz="0" w:val="nil"/>
            </w:tcBorders>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PART 2 Execution, Fieldwork &amp; Dissemination (March - July)</w:t>
            </w:r>
          </w:p>
        </w:tc>
        <w:tc>
          <w:tcPr>
            <w:tcBorders>
              <w:top w:color="cccccc" w:space="0" w:sz="8" w:val="single"/>
              <w:left w:color="000000" w:space="0" w:sz="0" w:val="nil"/>
              <w:bottom w:color="cccccc" w:space="0" w:sz="4" w:val="single"/>
              <w:right w:color="000000" w:space="0" w:sz="0" w:val="nil"/>
            </w:tcBorders>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19,300</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Total Services </w:t>
            </w:r>
            <w:r w:rsidDel="00000000" w:rsidR="00000000" w:rsidRPr="00000000">
              <w:rPr>
                <w:color w:val="005172"/>
                <w:sz w:val="18"/>
                <w:szCs w:val="18"/>
                <w:rtl w:val="0"/>
              </w:rPr>
              <w:t xml:space="preserve">(Excluding VAT)</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005172"/>
                <w:sz w:val="18"/>
                <w:szCs w:val="18"/>
              </w:rPr>
            </w:pPr>
            <w:r w:rsidDel="00000000" w:rsidR="00000000" w:rsidRPr="00000000">
              <w:rPr>
                <w:b w:val="1"/>
                <w:bCs w:val="1"/>
                <w:color w:val="005172"/>
                <w:sz w:val="18"/>
                <w:szCs w:val="18"/>
                <w:rtl w:val="0"/>
              </w:rPr>
              <w:t xml:space="preserve">26,550</w:t>
            </w:r>
          </w:p>
        </w:tc>
      </w:tr>
      <w:tr>
        <w:trPr>
          <w:cantSplit w:val="0"/>
          <w:trHeight w:val="450" w:hRule="atLeast"/>
          <w:tblHeader w:val="0"/>
        </w:trPr>
        <w:tc>
          <w:tcPr>
            <w:gridSpan w:val="3"/>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18"/>
                <w:szCs w:val="18"/>
              </w:rPr>
            </w:pPr>
            <w:r w:rsidDel="00000000" w:rsidR="00000000" w:rsidRPr="00000000">
              <w:rPr>
                <w:b w:val="0"/>
                <w:bCs w:val="0"/>
                <w:sz w:val="18"/>
                <w:szCs w:val="18"/>
                <w:rtl w:val="0"/>
              </w:rPr>
              <w:t xml:space="preserve">Pass-Through (</w:t>
            </w:r>
            <w:r w:rsidDel="00000000" w:rsidR="00000000" w:rsidRPr="00000000">
              <w:rPr>
                <w:b w:val="0"/>
                <w:bCs w:val="0"/>
                <w:sz w:val="18"/>
                <w:szCs w:val="18"/>
                <w:rtl w:val="0"/>
              </w:rPr>
              <w:t xml:space="preserve">Estimated HCP Honoraria (To be invoiced as incurred)</w:t>
            </w:r>
            <w:r w:rsidDel="00000000" w:rsidR="00000000" w:rsidRPr="00000000">
              <w:rPr>
                <w:b w:val="0"/>
                <w:bCs w:val="0"/>
                <w:sz w:val="18"/>
                <w:szCs w:val="18"/>
                <w:rtl w:val="0"/>
              </w:rPr>
              <w:t xml:space="preserve">)</w:t>
            </w:r>
            <w:r w:rsidDel="00000000" w:rsidR="00000000" w:rsidRPr="00000000">
              <w:rPr>
                <w:rtl w:val="0"/>
              </w:rPr>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z w:val="18"/>
                <w:szCs w:val="18"/>
              </w:rPr>
            </w:pPr>
            <w:r w:rsidDel="00000000" w:rsidR="00000000" w:rsidRPr="00000000">
              <w:rPr>
                <w:sz w:val="18"/>
                <w:szCs w:val="18"/>
                <w:rtl w:val="0"/>
              </w:rPr>
              <w:t xml:space="preserve">25,952</w:t>
            </w:r>
          </w:p>
        </w:tc>
      </w:tr>
      <w:tr>
        <w:trPr>
          <w:cantSplit w:val="0"/>
          <w:trHeight w:val="420" w:hRule="atLeast"/>
          <w:tblHeader w:val="0"/>
        </w:trPr>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5172"/>
                <w:sz w:val="18"/>
                <w:szCs w:val="18"/>
              </w:rPr>
            </w:pPr>
            <w:r w:rsidDel="00000000" w:rsidR="00000000" w:rsidRPr="00000000">
              <w:rPr>
                <w:color w:val="005172"/>
                <w:sz w:val="18"/>
                <w:szCs w:val="18"/>
                <w:rtl w:val="0"/>
              </w:rPr>
              <w:t xml:space="preserve">TOTAL PROJECT </w:t>
            </w:r>
            <w:r w:rsidDel="00000000" w:rsidR="00000000" w:rsidRPr="00000000">
              <w:rPr>
                <w:color w:val="005172"/>
                <w:sz w:val="18"/>
                <w:szCs w:val="18"/>
                <w:rtl w:val="0"/>
              </w:rPr>
              <w:t xml:space="preserve">(Excluding VAT)</w:t>
            </w: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172"/>
                <w:sz w:val="18"/>
                <w:szCs w:val="18"/>
              </w:rPr>
            </w:pP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005172"/>
                <w:sz w:val="18"/>
                <w:szCs w:val="18"/>
              </w:rPr>
            </w:pPr>
            <w:r w:rsidDel="00000000" w:rsidR="00000000" w:rsidRPr="00000000">
              <w:rPr>
                <w:b w:val="1"/>
                <w:bCs w:val="1"/>
                <w:color w:val="005172"/>
                <w:sz w:val="18"/>
                <w:szCs w:val="18"/>
                <w:rtl w:val="0"/>
              </w:rPr>
              <w:t xml:space="preserve">52,502</w:t>
            </w:r>
          </w:p>
        </w:tc>
      </w:tr>
    </w:tbl>
    <w:p w:rsidR="00000000" w:rsidDel="00000000" w:rsidP="00000000" w:rsidRDefault="00000000" w:rsidRPr="00000000" w14:paraId="000000DD">
      <w:pPr>
        <w:spacing w:after="120" w:before="120" w:lineRule="auto"/>
        <w:rPr>
          <w:rFonts w:ascii="Rubik Light" w:cs="Rubik Light" w:eastAsia="Rubik Light" w:hAnsi="Rubik Light"/>
          <w:sz w:val="20"/>
          <w:szCs w:val="20"/>
        </w:rPr>
      </w:pPr>
      <w:r w:rsidDel="00000000" w:rsidR="00000000" w:rsidRPr="00000000">
        <w:rPr>
          <w:rtl w:val="0"/>
        </w:rPr>
      </w:r>
    </w:p>
    <w:p w:rsidR="00000000" w:rsidDel="00000000" w:rsidP="00000000" w:rsidRDefault="00000000" w:rsidRPr="00000000" w14:paraId="000000DE">
      <w:pPr>
        <w:spacing w:after="120" w:before="120" w:lineRule="auto"/>
        <w:rPr>
          <w:rFonts w:ascii="Rubik Light" w:cs="Rubik Light" w:eastAsia="Rubik Light" w:hAnsi="Rubik Light"/>
          <w:sz w:val="20"/>
          <w:szCs w:val="20"/>
        </w:rPr>
      </w:pPr>
      <w:r w:rsidDel="00000000" w:rsidR="00000000" w:rsidRPr="00000000">
        <w:rPr>
          <w:rtl w:val="0"/>
        </w:rPr>
      </w:r>
    </w:p>
    <w:p w:rsidR="00000000" w:rsidDel="00000000" w:rsidP="00000000" w:rsidRDefault="00000000" w:rsidRPr="00000000" w14:paraId="000000DF">
      <w:pPr>
        <w:pStyle w:val="Heading2"/>
        <w:spacing w:after="120" w:line="276" w:lineRule="auto"/>
        <w:rPr>
          <w:rFonts w:ascii="Rubik Medium" w:cs="Rubik Medium" w:eastAsia="Rubik Medium" w:hAnsi="Rubik Medium"/>
          <w:color w:val="172e42"/>
        </w:rPr>
      </w:pPr>
      <w:bookmarkStart w:colFirst="0" w:colLast="0" w:name="_99d7h2p2urvq" w:id="26"/>
      <w:bookmarkEnd w:id="26"/>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120" w:line="276" w:lineRule="auto"/>
        <w:rPr/>
      </w:pPr>
      <w:bookmarkStart w:colFirst="0" w:colLast="0" w:name="_xpt6fe7sph7f" w:id="27"/>
      <w:bookmarkEnd w:id="27"/>
      <w:r w:rsidDel="00000000" w:rsidR="00000000" w:rsidRPr="00000000">
        <w:rPr>
          <w:rtl w:val="0"/>
        </w:rPr>
        <w:t xml:space="preserve">Timeline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The project is designed to deliver the final manuscript by July (before the summer break), with acceptance and publication occurring subsequently.</w:t>
      </w:r>
    </w:p>
    <w:p w:rsidR="00000000" w:rsidDel="00000000" w:rsidP="00000000" w:rsidRDefault="00000000" w:rsidRPr="00000000" w14:paraId="000000E2">
      <w:pPr>
        <w:pStyle w:val="Heading3"/>
        <w:spacing w:before="120" w:line="240" w:lineRule="auto"/>
        <w:rPr/>
      </w:pPr>
      <w:bookmarkStart w:colFirst="0" w:colLast="0" w:name="_74ft8ijb5h7t" w:id="28"/>
      <w:bookmarkEnd w:id="28"/>
      <w:r w:rsidDel="00000000" w:rsidR="00000000" w:rsidRPr="00000000">
        <w:rPr>
          <w:rtl w:val="0"/>
        </w:rPr>
        <w:t xml:space="preserve">February (Part 1):</w:t>
      </w:r>
    </w:p>
    <w:p w:rsidR="00000000" w:rsidDel="00000000" w:rsidP="00000000" w:rsidRDefault="00000000" w:rsidRPr="00000000" w14:paraId="000000E3">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Protocol Initiation: Drafting the scientific protocol and methodology.</w:t>
      </w:r>
    </w:p>
    <w:p w:rsidR="00000000" w:rsidDel="00000000" w:rsidP="00000000" w:rsidRDefault="00000000" w:rsidRPr="00000000" w14:paraId="000000E4">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Committee Submission: Preparation of materials for internal/external compliance review.</w:t>
      </w:r>
    </w:p>
    <w:p w:rsidR="00000000" w:rsidDel="00000000" w:rsidP="00000000" w:rsidRDefault="00000000" w:rsidRPr="00000000" w14:paraId="000000E5">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Narrative Review: Analyzing existing data to frame the discussion.</w:t>
      </w:r>
    </w:p>
    <w:p w:rsidR="00000000" w:rsidDel="00000000" w:rsidP="00000000" w:rsidRDefault="00000000" w:rsidRPr="00000000" w14:paraId="000000E6">
      <w:pPr>
        <w:pStyle w:val="Heading3"/>
        <w:spacing w:before="120" w:line="240" w:lineRule="auto"/>
        <w:rPr/>
      </w:pPr>
      <w:bookmarkStart w:colFirst="0" w:colLast="0" w:name="_n1bak7pn1k0l" w:id="29"/>
      <w:bookmarkEnd w:id="29"/>
      <w:r w:rsidDel="00000000" w:rsidR="00000000" w:rsidRPr="00000000">
        <w:rPr>
          <w:rtl w:val="0"/>
        </w:rPr>
        <w:t xml:space="preserve">March (Part 2 Start):</w:t>
      </w:r>
    </w:p>
    <w:p w:rsidR="00000000" w:rsidDel="00000000" w:rsidP="00000000" w:rsidRDefault="00000000" w:rsidRPr="00000000" w14:paraId="000000E7">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Kick-off Meeting (Group): Aligning the panel on objectives and scope.</w:t>
      </w:r>
    </w:p>
    <w:p w:rsidR="00000000" w:rsidDel="00000000" w:rsidP="00000000" w:rsidRDefault="00000000" w:rsidRPr="00000000" w14:paraId="000000E8">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Materials Preparation: Sending pre-reads to doctors (approximately 1 hour of preparation time for them).</w:t>
      </w:r>
    </w:p>
    <w:p w:rsidR="00000000" w:rsidDel="00000000" w:rsidP="00000000" w:rsidRDefault="00000000" w:rsidRPr="00000000" w14:paraId="000000E9">
      <w:pPr>
        <w:pStyle w:val="Heading3"/>
        <w:spacing w:before="120" w:line="240" w:lineRule="auto"/>
        <w:rPr/>
      </w:pPr>
      <w:bookmarkStart w:colFirst="0" w:colLast="0" w:name="_mtjdigneg3op" w:id="30"/>
      <w:bookmarkEnd w:id="30"/>
      <w:r w:rsidDel="00000000" w:rsidR="00000000" w:rsidRPr="00000000">
        <w:rPr>
          <w:rtl w:val="0"/>
        </w:rPr>
        <w:t xml:space="preserve">April - May:</w:t>
      </w:r>
    </w:p>
    <w:p w:rsidR="00000000" w:rsidDel="00000000" w:rsidP="00000000" w:rsidRDefault="00000000" w:rsidRPr="00000000" w14:paraId="000000EA">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One-to-One Interviews: Individual sessions with each doctor to gather deep insights.</w:t>
      </w:r>
    </w:p>
    <w:p w:rsidR="00000000" w:rsidDel="00000000" w:rsidP="00000000" w:rsidRDefault="00000000" w:rsidRPr="00000000" w14:paraId="000000EB">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Analysis: Synthesis of interview findings.</w:t>
      </w:r>
    </w:p>
    <w:p w:rsidR="00000000" w:rsidDel="00000000" w:rsidP="00000000" w:rsidRDefault="00000000" w:rsidRPr="00000000" w14:paraId="000000E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bookmarkStart w:colFirst="0" w:colLast="0" w:name="_75jwwqjmlz5x" w:id="31"/>
      <w:bookmarkEnd w:id="31"/>
      <w:r w:rsidDel="00000000" w:rsidR="00000000" w:rsidRPr="00000000">
        <w:rPr>
          <w:rtl w:val="0"/>
        </w:rPr>
        <w:t xml:space="preserve">June</w:t>
      </w:r>
      <w:r w:rsidDel="00000000" w:rsidR="00000000" w:rsidRPr="00000000">
        <w:rPr>
          <w:rtl w:val="0"/>
        </w:rPr>
        <w:t xml:space="preserve">:</w:t>
      </w:r>
    </w:p>
    <w:p w:rsidR="00000000" w:rsidDel="00000000" w:rsidP="00000000" w:rsidRDefault="00000000" w:rsidRPr="00000000" w14:paraId="000000ED">
      <w:pPr>
        <w:numPr>
          <w:ilvl w:val="0"/>
          <w:numId w:val="13"/>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Plenary Meeting: Presentation of synthesized findings and voting/agreement on final recommendations.</w:t>
      </w:r>
    </w:p>
    <w:p w:rsidR="00000000" w:rsidDel="00000000" w:rsidP="00000000" w:rsidRDefault="00000000" w:rsidRPr="00000000" w14:paraId="000000EE">
      <w:pPr>
        <w:pStyle w:val="Heading3"/>
        <w:spacing w:before="120" w:line="240" w:lineRule="auto"/>
        <w:rPr/>
      </w:pPr>
      <w:bookmarkStart w:colFirst="0" w:colLast="0" w:name="_t377vjmydo76" w:id="32"/>
      <w:bookmarkEnd w:id="32"/>
      <w:r w:rsidDel="00000000" w:rsidR="00000000" w:rsidRPr="00000000">
        <w:rPr>
          <w:rtl w:val="0"/>
        </w:rPr>
        <w:t xml:space="preserve">July/August:</w:t>
      </w:r>
    </w:p>
    <w:p w:rsidR="00000000" w:rsidDel="00000000" w:rsidP="00000000" w:rsidRDefault="00000000" w:rsidRPr="00000000" w14:paraId="000000EF">
      <w:pPr>
        <w:numPr>
          <w:ilvl w:val="0"/>
          <w:numId w:val="15"/>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Manuscript Finalization: Delivery of the full paper in English and Spanish.</w:t>
      </w:r>
    </w:p>
    <w:p w:rsidR="00000000" w:rsidDel="00000000" w:rsidP="00000000" w:rsidRDefault="00000000" w:rsidRPr="00000000" w14:paraId="000000F0">
      <w:pPr>
        <w:numPr>
          <w:ilvl w:val="0"/>
          <w:numId w:val="15"/>
        </w:numPr>
        <w:spacing w:after="0" w:before="120" w:line="240" w:lineRule="auto"/>
        <w:ind w:left="720" w:hanging="360"/>
        <w:rPr>
          <w:rFonts w:ascii="Rubik Light" w:cs="Rubik Light" w:eastAsia="Rubik Light" w:hAnsi="Rubik Light"/>
          <w:color w:val="000000"/>
          <w:sz w:val="24"/>
          <w:szCs w:val="24"/>
        </w:rPr>
      </w:pPr>
      <w:r w:rsidDel="00000000" w:rsidR="00000000" w:rsidRPr="00000000">
        <w:rPr>
          <w:rFonts w:ascii="Rubik Light" w:cs="Rubik Light" w:eastAsia="Rubik Light" w:hAnsi="Rubik Light"/>
          <w:rtl w:val="0"/>
        </w:rPr>
        <w:t xml:space="preserve">Poster Creation: Delivery of the conference asset.</w:t>
      </w:r>
    </w:p>
    <w:p w:rsidR="00000000" w:rsidDel="00000000" w:rsidP="00000000" w:rsidRDefault="00000000" w:rsidRPr="00000000" w14:paraId="000000F1">
      <w:pPr>
        <w:spacing w:after="120" w:lineRule="auto"/>
        <w:ind w:left="720" w:firstLine="0"/>
        <w:rPr>
          <w:rFonts w:ascii="Rubik Light" w:cs="Rubik Light" w:eastAsia="Rubik Light" w:hAnsi="Rubik Light"/>
        </w:rPr>
      </w:pPr>
      <w:r w:rsidDel="00000000" w:rsidR="00000000" w:rsidRPr="00000000">
        <w:rPr>
          <w:rtl w:val="0"/>
        </w:rPr>
      </w:r>
    </w:p>
    <w:p w:rsidR="00000000" w:rsidDel="00000000" w:rsidP="00000000" w:rsidRDefault="00000000" w:rsidRPr="00000000" w14:paraId="000000F2">
      <w:pPr>
        <w:pStyle w:val="Heading1"/>
        <w:spacing w:after="120" w:line="276" w:lineRule="auto"/>
        <w:rPr/>
      </w:pPr>
      <w:bookmarkStart w:colFirst="0" w:colLast="0" w:name="_7yc3dtwkh43j" w:id="33"/>
      <w:bookmarkEnd w:id="33"/>
      <w:r w:rsidDel="00000000" w:rsidR="00000000" w:rsidRPr="00000000">
        <w:rPr>
          <w:rtl w:val="0"/>
        </w:rPr>
        <w:t xml:space="preserve">Partnership Position</w:t>
      </w:r>
    </w:p>
    <w:p w:rsidR="00000000" w:rsidDel="00000000" w:rsidP="00000000" w:rsidRDefault="00000000" w:rsidRPr="00000000" w14:paraId="000000F3">
      <w:pPr>
        <w:rPr/>
      </w:pPr>
      <w:r w:rsidDel="00000000" w:rsidR="00000000" w:rsidRPr="00000000">
        <w:rPr>
          <w:rtl w:val="0"/>
        </w:rPr>
        <w:t xml:space="preserve">This endeavor presents a unique opportunity to co-develop a robust expert consensus framework, moving beyond general clinical assumptions to address specific evidence gaps through rigorous scientific methodology. </w:t>
      </w:r>
    </w:p>
    <w:p w:rsidR="00000000" w:rsidDel="00000000" w:rsidP="00000000" w:rsidRDefault="00000000" w:rsidRPr="00000000" w14:paraId="000000F4">
      <w:pPr>
        <w:rPr/>
      </w:pPr>
      <w:r w:rsidDel="00000000" w:rsidR="00000000" w:rsidRPr="00000000">
        <w:rPr>
          <w:rtl w:val="0"/>
        </w:rPr>
        <w:t xml:space="preserve">To ensure the highest standards of clinical and methodological rigor, the project’s scientific execution will be delivered by MTG Research and Development Lab, a specialized entity within Real-World Evidence. MTG serves as the specialized scientific arm, bringing a multidisciplinary team of physicians, biomedical scientists, and researchers. Their track record includes expertise in over 10 clinical domains and multiple peer-reviewed publications in prestigious journals, ensuring that the final consensus meets the highest standards of scientific integrity.</w:t>
      </w:r>
    </w:p>
    <w:p w:rsidR="00000000" w:rsidDel="00000000" w:rsidP="00000000" w:rsidRDefault="00000000" w:rsidRPr="00000000" w14:paraId="000000F5">
      <w:pPr>
        <w:rPr/>
      </w:pPr>
      <w:r w:rsidDel="00000000" w:rsidR="00000000" w:rsidRPr="00000000">
        <w:rPr>
          <w:rtl w:val="0"/>
        </w:rPr>
        <w:t xml:space="preserve">To lead this initiative, MTG assigns two senior profiles with extensive experience in clinical strategy and healthcare implementation:</w:t>
      </w:r>
    </w:p>
    <w:p w:rsidR="00000000" w:rsidDel="00000000" w:rsidP="00000000" w:rsidRDefault="00000000" w:rsidRPr="00000000" w14:paraId="000000F6">
      <w:pPr>
        <w:pStyle w:val="Heading4"/>
        <w:rPr/>
      </w:pPr>
      <w:bookmarkStart w:colFirst="0" w:colLast="0" w:name="_3odc1aabjna0" w:id="34"/>
      <w:bookmarkEnd w:id="34"/>
      <w:r w:rsidDel="00000000" w:rsidR="00000000" w:rsidRPr="00000000">
        <w:rPr>
          <w:rtl w:val="0"/>
        </w:rPr>
        <w:t xml:space="preserve">Tiago Taveira-Gomes, MD, PhD Project Strategic Lead</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Founder &amp; CEO | OPVANCE / MTG / SIGIL Scientific Enterprises </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Physician, data scientist, and serial entrepreneur with over 10 years of experience delivering large healthcare technology projects. He bridges the gap between clinical needs and technological execution, ensuring the project aligns with scientific best practices.</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Core Expertise: Real World Evidence &amp; Implementation Science, Data Science &amp; Machine Learning, AI in Healthcare.</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Education:</w:t>
      </w:r>
    </w:p>
    <w:p w:rsidR="00000000" w:rsidDel="00000000" w:rsidP="00000000" w:rsidRDefault="00000000" w:rsidRPr="00000000" w14:paraId="000000FB">
      <w:pPr>
        <w:numPr>
          <w:ilvl w:val="1"/>
          <w:numId w:val="3"/>
        </w:numPr>
        <w:ind w:left="1440" w:hanging="360"/>
      </w:pPr>
      <w:r w:rsidDel="00000000" w:rsidR="00000000" w:rsidRPr="00000000">
        <w:rPr>
          <w:rtl w:val="0"/>
        </w:rPr>
        <w:t xml:space="preserve">PhD in Medicine - Medical Education &amp; Medical Informatics, University of Porto.</w:t>
      </w:r>
    </w:p>
    <w:p w:rsidR="00000000" w:rsidDel="00000000" w:rsidP="00000000" w:rsidRDefault="00000000" w:rsidRPr="00000000" w14:paraId="000000FC">
      <w:pPr>
        <w:numPr>
          <w:ilvl w:val="1"/>
          <w:numId w:val="3"/>
        </w:numPr>
        <w:ind w:left="1440" w:hanging="360"/>
      </w:pPr>
      <w:r w:rsidDel="00000000" w:rsidR="00000000" w:rsidRPr="00000000">
        <w:rPr>
          <w:rtl w:val="0"/>
        </w:rPr>
        <w:t xml:space="preserve">MSc in Information Engineering - University of Porto.</w:t>
      </w:r>
    </w:p>
    <w:p w:rsidR="00000000" w:rsidDel="00000000" w:rsidP="00000000" w:rsidRDefault="00000000" w:rsidRPr="00000000" w14:paraId="000000FD">
      <w:pPr>
        <w:numPr>
          <w:ilvl w:val="1"/>
          <w:numId w:val="3"/>
        </w:numPr>
        <w:ind w:left="1440" w:hanging="360"/>
      </w:pPr>
      <w:r w:rsidDel="00000000" w:rsidR="00000000" w:rsidRPr="00000000">
        <w:rPr>
          <w:rtl w:val="0"/>
        </w:rPr>
        <w:t xml:space="preserve">MD - University of Porto Faculty of Medicine.</w:t>
      </w:r>
    </w:p>
    <w:p w:rsidR="00000000" w:rsidDel="00000000" w:rsidP="00000000" w:rsidRDefault="00000000" w:rsidRPr="00000000" w14:paraId="000000FE">
      <w:pPr>
        <w:pStyle w:val="Heading4"/>
        <w:rPr/>
      </w:pPr>
      <w:bookmarkStart w:colFirst="0" w:colLast="0" w:name="_732zb0mvx1ls" w:id="35"/>
      <w:bookmarkEnd w:id="35"/>
      <w:r w:rsidDel="00000000" w:rsidR="00000000" w:rsidRPr="00000000">
        <w:rPr>
          <w:rtl w:val="0"/>
        </w:rPr>
        <w:t xml:space="preserve">João Gancho Figueiredo, MD Senior Clinical Lead</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Senior Clinical Consultant </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Medical Doctor with extensive experience in clinical strategy and medical evidence generation. He brings a deep understanding of clinical decision-making processes and health data interoperability, ensuring that the expert recommendations are practical, clinically relevant, and implementable in real-world settings.</w:t>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Core Expertise: Clinical Strategy, Medical Evidence Generation, Healthcare Interoperability.</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Education:</w:t>
      </w:r>
    </w:p>
    <w:p w:rsidR="00000000" w:rsidDel="00000000" w:rsidP="00000000" w:rsidRDefault="00000000" w:rsidRPr="00000000" w14:paraId="00000103">
      <w:pPr>
        <w:numPr>
          <w:ilvl w:val="1"/>
          <w:numId w:val="1"/>
        </w:numPr>
        <w:ind w:left="1440" w:hanging="360"/>
      </w:pPr>
      <w:r w:rsidDel="00000000" w:rsidR="00000000" w:rsidRPr="00000000">
        <w:rPr>
          <w:rtl w:val="0"/>
        </w:rPr>
        <w:t xml:space="preserve">Postgraduate Specialization in Healthcare Management – Nova School of Business and Economics.</w:t>
      </w:r>
    </w:p>
    <w:p w:rsidR="00000000" w:rsidDel="00000000" w:rsidP="00000000" w:rsidRDefault="00000000" w:rsidRPr="00000000" w14:paraId="00000104">
      <w:pPr>
        <w:numPr>
          <w:ilvl w:val="1"/>
          <w:numId w:val="1"/>
        </w:numPr>
        <w:ind w:left="1440" w:hanging="360"/>
      </w:pPr>
      <w:r w:rsidDel="00000000" w:rsidR="00000000" w:rsidRPr="00000000">
        <w:rPr>
          <w:rtl w:val="0"/>
        </w:rPr>
        <w:t xml:space="preserve">Specialization in Occupational Medicine – National School of Public Health.</w:t>
      </w:r>
    </w:p>
    <w:p w:rsidR="00000000" w:rsidDel="00000000" w:rsidP="00000000" w:rsidRDefault="00000000" w:rsidRPr="00000000" w14:paraId="00000105">
      <w:pPr>
        <w:numPr>
          <w:ilvl w:val="1"/>
          <w:numId w:val="1"/>
        </w:numPr>
        <w:ind w:left="1440" w:hanging="360"/>
      </w:pPr>
      <w:r w:rsidDel="00000000" w:rsidR="00000000" w:rsidRPr="00000000">
        <w:rPr>
          <w:rtl w:val="0"/>
        </w:rPr>
        <w:t xml:space="preserve">Master’s Degree in Medicine – University of Lisbon.</w:t>
      </w:r>
    </w:p>
    <w:p w:rsidR="00000000" w:rsidDel="00000000" w:rsidP="00000000" w:rsidRDefault="00000000" w:rsidRPr="00000000" w14:paraId="00000106">
      <w:pPr>
        <w:rPr/>
      </w:pPr>
      <w:r w:rsidDel="00000000" w:rsidR="00000000" w:rsidRPr="00000000">
        <w:rPr>
          <w:rtl w:val="0"/>
        </w:rPr>
        <w:t xml:space="preserve">To be Assigned (TBA) Senior Medical Writer (PhD)</w:t>
      </w:r>
    </w:p>
    <w:p w:rsidR="00000000" w:rsidDel="00000000" w:rsidP="00000000" w:rsidRDefault="00000000" w:rsidRPr="00000000" w14:paraId="00000107">
      <w:pPr>
        <w:rPr/>
      </w:pPr>
      <w:r w:rsidDel="00000000" w:rsidR="00000000" w:rsidRPr="00000000">
        <w:rPr>
          <w:rtl w:val="0"/>
        </w:rPr>
        <w:t xml:space="preserve">Profile: A senior scientific researcher with a PhD in Biomedical Sciences or a related field, with a proven track record of peer-reviewed publications in high-impact journals. This profile will be responsible for the medical writing, ensuring the manuscript meets the highest editorial standards.</w:t>
      </w:r>
    </w:p>
    <w:p w:rsidR="00000000" w:rsidDel="00000000" w:rsidP="00000000" w:rsidRDefault="00000000" w:rsidRPr="00000000" w14:paraId="00000108">
      <w:pPr>
        <w:pStyle w:val="Heading1"/>
        <w:spacing w:after="120" w:line="276" w:lineRule="auto"/>
        <w:rPr/>
      </w:pPr>
      <w:bookmarkStart w:colFirst="0" w:colLast="0" w:name="_ts3p1versih1" w:id="36"/>
      <w:bookmarkEnd w:id="36"/>
      <w:r w:rsidDel="00000000" w:rsidR="00000000" w:rsidRPr="00000000">
        <w:rPr>
          <w:rtl w:val="0"/>
        </w:rPr>
        <w:t xml:space="preserve">Payment Plan</w:t>
      </w:r>
    </w:p>
    <w:p w:rsidR="00000000" w:rsidDel="00000000" w:rsidP="00000000" w:rsidRDefault="00000000" w:rsidRPr="00000000" w14:paraId="00000109">
      <w:pPr>
        <w:rPr/>
      </w:pPr>
      <w:r w:rsidDel="00000000" w:rsidR="00000000" w:rsidRPr="00000000">
        <w:rPr>
          <w:rtl w:val="0"/>
        </w:rPr>
        <w:t xml:space="preserve">The specific payment schedule is to be defined together with Alexion to ensure alignment with the institution's procurement procedures. However, considering the phased nature of this proposal, we suggest the following structure:</w:t>
      </w:r>
    </w:p>
    <w:p w:rsidR="00000000" w:rsidDel="00000000" w:rsidP="00000000" w:rsidRDefault="00000000" w:rsidRPr="00000000" w14:paraId="0000010A">
      <w:pPr>
        <w:numPr>
          <w:ilvl w:val="0"/>
          <w:numId w:val="6"/>
        </w:numPr>
        <w:ind w:left="720" w:hanging="360"/>
      </w:pPr>
      <w:r w:rsidDel="00000000" w:rsidR="00000000" w:rsidRPr="00000000">
        <w:rPr>
          <w:rtl w:val="0"/>
        </w:rPr>
        <w:t xml:space="preserve">Part 1 Fees (Protocol &amp; Setup): Invoiced upon contract signing.</w:t>
      </w:r>
    </w:p>
    <w:p w:rsidR="00000000" w:rsidDel="00000000" w:rsidP="00000000" w:rsidRDefault="00000000" w:rsidRPr="00000000" w14:paraId="0000010B">
      <w:pPr>
        <w:numPr>
          <w:ilvl w:val="0"/>
          <w:numId w:val="6"/>
        </w:numPr>
        <w:ind w:left="720" w:hanging="360"/>
      </w:pPr>
      <w:r w:rsidDel="00000000" w:rsidR="00000000" w:rsidRPr="00000000">
        <w:rPr>
          <w:rtl w:val="0"/>
        </w:rPr>
        <w:t xml:space="preserve">Part 2 Fees (Execution): We suggest a milestone-based approach, where the final balance is directly linked to the successful delivery of the primary scientific output, specifically the submission of the expert recommendation manuscript to the target peer-reviewed journal.</w:t>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Pass-Through Costs (HCP Honoraria): As MTG will handle the payments to the experts, these costs (including the administrative management fee) shall be invoiced separately, at the end of the project development, to ensure fair remuneration of the healthcare professionals.</w:t>
      </w:r>
    </w:p>
    <w:p w:rsidR="00000000" w:rsidDel="00000000" w:rsidP="00000000" w:rsidRDefault="00000000" w:rsidRPr="00000000" w14:paraId="0000010D">
      <w:pPr>
        <w:spacing w:after="120" w:before="120" w:lineRule="auto"/>
        <w:rPr>
          <w:rFonts w:ascii="Rubik Light" w:cs="Rubik Light" w:eastAsia="Rubik Light" w:hAnsi="Rubik Light"/>
        </w:rPr>
      </w:pPr>
      <w:r w:rsidDel="00000000" w:rsidR="00000000" w:rsidRPr="00000000">
        <w:rPr>
          <w:rtl w:val="0"/>
        </w:rPr>
      </w:r>
    </w:p>
    <w:p w:rsidR="00000000" w:rsidDel="00000000" w:rsidP="00000000" w:rsidRDefault="00000000" w:rsidRPr="00000000" w14:paraId="0000010E">
      <w:pPr>
        <w:spacing w:after="120" w:before="120" w:lineRule="auto"/>
        <w:rPr>
          <w:rFonts w:ascii="Rubik Light" w:cs="Rubik Light" w:eastAsia="Rubik Light" w:hAnsi="Rubik Light"/>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120" w:line="276" w:lineRule="auto"/>
        <w:rPr/>
      </w:pPr>
      <w:bookmarkStart w:colFirst="0" w:colLast="0" w:name="_ky4zvama79nz" w:id="37"/>
      <w:bookmarkEnd w:id="37"/>
      <w:r w:rsidDel="00000000" w:rsidR="00000000" w:rsidRPr="00000000">
        <w:rPr>
          <w:rtl w:val="0"/>
        </w:rPr>
        <w:t xml:space="preserve">Terms &amp; Conditions</w:t>
      </w:r>
    </w:p>
    <w:p w:rsidR="00000000" w:rsidDel="00000000" w:rsidP="00000000" w:rsidRDefault="00000000" w:rsidRPr="00000000" w14:paraId="00000110">
      <w:pPr>
        <w:rPr/>
      </w:pPr>
      <w:r w:rsidDel="00000000" w:rsidR="00000000" w:rsidRPr="00000000">
        <w:rPr>
          <w:rtl w:val="0"/>
        </w:rPr>
        <w:t xml:space="preserve">1. This proposal is valid for acceptance for a period of 60 days from the date of submission. After this period, MTG Research reserves the right to review the resource availability and cost structure.</w:t>
      </w:r>
    </w:p>
    <w:p w:rsidR="00000000" w:rsidDel="00000000" w:rsidP="00000000" w:rsidRDefault="00000000" w:rsidRPr="00000000" w14:paraId="00000111">
      <w:pPr>
        <w:rPr/>
      </w:pPr>
      <w:r w:rsidDel="00000000" w:rsidR="00000000" w:rsidRPr="00000000">
        <w:rPr>
          <w:rtl w:val="0"/>
        </w:rPr>
        <w:t xml:space="preserve">3. Expert Honoraria and Independence</w:t>
      </w:r>
    </w:p>
    <w:p w:rsidR="00000000" w:rsidDel="00000000" w:rsidP="00000000" w:rsidRDefault="00000000" w:rsidRPr="00000000" w14:paraId="00000112">
      <w:pPr>
        <w:numPr>
          <w:ilvl w:val="0"/>
          <w:numId w:val="11"/>
        </w:numPr>
        <w:ind w:left="720" w:hanging="360"/>
      </w:pPr>
      <w:r w:rsidDel="00000000" w:rsidR="00000000" w:rsidRPr="00000000">
        <w:rPr>
          <w:rtl w:val="0"/>
        </w:rPr>
        <w:t xml:space="preserve">Pass-Through Costs: Fair Market Value (FMV) honoraria for the participating KOLs are excluded from the professional service fees and are treated as Pass-Through Costs. These amounts will be invoiced to the Client (at the end of the project).</w:t>
      </w:r>
    </w:p>
    <w:p w:rsidR="00000000" w:rsidDel="00000000" w:rsidP="00000000" w:rsidRDefault="00000000" w:rsidRPr="00000000" w14:paraId="00000113">
      <w:pPr>
        <w:numPr>
          <w:ilvl w:val="0"/>
          <w:numId w:val="11"/>
        </w:numPr>
        <w:ind w:left="720" w:hanging="360"/>
      </w:pPr>
      <w:r w:rsidDel="00000000" w:rsidR="00000000" w:rsidRPr="00000000">
        <w:rPr>
          <w:rtl w:val="0"/>
        </w:rPr>
        <w:t xml:space="preserve">Administrative Fee: A 3% administrative fee will be applied to the total volume of managed Pass-Through Costs to cover banking, compliance, and processing overheads.</w:t>
      </w:r>
    </w:p>
    <w:p w:rsidR="00000000" w:rsidDel="00000000" w:rsidP="00000000" w:rsidRDefault="00000000" w:rsidRPr="00000000" w14:paraId="00000114">
      <w:pPr>
        <w:numPr>
          <w:ilvl w:val="0"/>
          <w:numId w:val="11"/>
        </w:numPr>
        <w:ind w:left="720" w:hanging="360"/>
      </w:pPr>
      <w:r w:rsidDel="00000000" w:rsidR="00000000" w:rsidRPr="00000000">
        <w:rPr>
          <w:rtl w:val="0"/>
        </w:rPr>
        <w:t xml:space="preserve">Independence: The Client acknowledges that the participation of experts is voluntary. MTG cannot guarantee the participation of specific individuals, nor be held liable for delays caused by expert unresponsiveness.</w:t>
      </w:r>
    </w:p>
    <w:p w:rsidR="00000000" w:rsidDel="00000000" w:rsidP="00000000" w:rsidRDefault="00000000" w:rsidRPr="00000000" w14:paraId="00000115">
      <w:pPr>
        <w:rPr/>
      </w:pPr>
      <w:r w:rsidDel="00000000" w:rsidR="00000000" w:rsidRPr="00000000">
        <w:rPr>
          <w:rtl w:val="0"/>
        </w:rPr>
        <w:t xml:space="preserve">4. Project Timeline and Governance</w:t>
      </w:r>
    </w:p>
    <w:p w:rsidR="00000000" w:rsidDel="00000000" w:rsidP="00000000" w:rsidRDefault="00000000" w:rsidRPr="00000000" w14:paraId="00000116">
      <w:pPr>
        <w:numPr>
          <w:ilvl w:val="0"/>
          <w:numId w:val="12"/>
        </w:numPr>
        <w:ind w:left="720" w:hanging="360"/>
      </w:pPr>
      <w:r w:rsidDel="00000000" w:rsidR="00000000" w:rsidRPr="00000000">
        <w:rPr>
          <w:rtl w:val="0"/>
        </w:rPr>
        <w:t xml:space="preserve">Estimates: The proposed timeline is an estimate based on standard response times. MTG shall not be held responsible for delays caused by factors beyond its reasonable control.</w:t>
      </w:r>
    </w:p>
    <w:p w:rsidR="00000000" w:rsidDel="00000000" w:rsidP="00000000" w:rsidRDefault="00000000" w:rsidRPr="00000000" w14:paraId="00000117">
      <w:pPr>
        <w:numPr>
          <w:ilvl w:val="0"/>
          <w:numId w:val="12"/>
        </w:numPr>
        <w:ind w:left="720" w:hanging="360"/>
      </w:pPr>
      <w:r w:rsidDel="00000000" w:rsidR="00000000" w:rsidRPr="00000000">
        <w:rPr>
          <w:rtl w:val="0"/>
        </w:rPr>
        <w:t xml:space="preserve">Review Cycles: To ensure the project meets the target publication date, the Client shall have a maximum of fifteen (15) business days to provide consolidated feedback on deliverables.</w:t>
      </w:r>
    </w:p>
    <w:p w:rsidR="00000000" w:rsidDel="00000000" w:rsidP="00000000" w:rsidRDefault="00000000" w:rsidRPr="00000000" w14:paraId="00000118">
      <w:pPr>
        <w:numPr>
          <w:ilvl w:val="0"/>
          <w:numId w:val="12"/>
        </w:numPr>
        <w:ind w:left="720" w:hanging="360"/>
      </w:pPr>
      <w:r w:rsidDel="00000000" w:rsidR="00000000" w:rsidRPr="00000000">
        <w:rPr>
          <w:rtl w:val="0"/>
        </w:rPr>
        <w:t xml:space="preserve">Deemed Approval: If no written feedback is received within this period, the deliverable shall be considered approved by default, allowing the project to proceed to the next phase.</w:t>
      </w:r>
    </w:p>
    <w:p w:rsidR="00000000" w:rsidDel="00000000" w:rsidP="00000000" w:rsidRDefault="00000000" w:rsidRPr="00000000" w14:paraId="00000119">
      <w:pPr>
        <w:rPr/>
      </w:pPr>
      <w:r w:rsidDel="00000000" w:rsidR="00000000" w:rsidRPr="00000000">
        <w:rPr>
          <w:rtl w:val="0"/>
        </w:rPr>
        <w:t xml:space="preserve">7. To avoid ambiguity, the following are excluded from this agreement:</w:t>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MTG is not responsible for sourcing or securing direct access to patient clinical data from hospitals (EMR extraction).</w:t>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Expert Engagement Liability: MTG cannot be held liable for delays caused by the unresponsiveness of the Medical Experts.</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Journal Fees: Article Processing Charges (APCs) and Open Access fees are not included in the budget.</w:t>
      </w:r>
    </w:p>
    <w:p w:rsidR="00000000" w:rsidDel="00000000" w:rsidP="00000000" w:rsidRDefault="00000000" w:rsidRPr="00000000" w14:paraId="0000011D">
      <w:pPr>
        <w:rPr/>
      </w:pPr>
      <w:r w:rsidDel="00000000" w:rsidR="00000000" w:rsidRPr="00000000">
        <w:rPr>
          <w:rtl w:val="0"/>
        </w:rPr>
        <w:t xml:space="preserve">8. Cancellation Policy In the event of project cancellation by the Client:</w:t>
      </w:r>
    </w:p>
    <w:p w:rsidR="00000000" w:rsidDel="00000000" w:rsidP="00000000" w:rsidRDefault="00000000" w:rsidRPr="00000000" w14:paraId="0000011E">
      <w:pPr>
        <w:numPr>
          <w:ilvl w:val="0"/>
          <w:numId w:val="14"/>
        </w:numPr>
        <w:ind w:left="720" w:hanging="360"/>
      </w:pPr>
      <w:r w:rsidDel="00000000" w:rsidR="00000000" w:rsidRPr="00000000">
        <w:rPr>
          <w:rtl w:val="0"/>
        </w:rPr>
        <w:t xml:space="preserve">Cancellation after Kick-off: 40% of the total project fee is due.</w:t>
      </w:r>
    </w:p>
    <w:p w:rsidR="00000000" w:rsidDel="00000000" w:rsidP="00000000" w:rsidRDefault="00000000" w:rsidRPr="00000000" w14:paraId="0000011F">
      <w:pPr>
        <w:numPr>
          <w:ilvl w:val="0"/>
          <w:numId w:val="14"/>
        </w:numPr>
        <w:ind w:left="720" w:hanging="360"/>
      </w:pPr>
      <w:r w:rsidDel="00000000" w:rsidR="00000000" w:rsidRPr="00000000">
        <w:rPr>
          <w:rtl w:val="0"/>
        </w:rPr>
        <w:t xml:space="preserve">Cancellation after Questionnaire Development/Fieldwork start: 70% of the total project fee is due.</w:t>
      </w:r>
    </w:p>
    <w:p w:rsidR="00000000" w:rsidDel="00000000" w:rsidP="00000000" w:rsidRDefault="00000000" w:rsidRPr="00000000" w14:paraId="00000120">
      <w:pPr>
        <w:numPr>
          <w:ilvl w:val="0"/>
          <w:numId w:val="14"/>
        </w:numPr>
        <w:ind w:left="720" w:hanging="360"/>
      </w:pPr>
      <w:r w:rsidDel="00000000" w:rsidR="00000000" w:rsidRPr="00000000">
        <w:rPr>
          <w:rtl w:val="0"/>
        </w:rPr>
        <w:t xml:space="preserve">Cancellation after Draft Delivery: 100% of the total project fee is due.</w:t>
      </w:r>
    </w:p>
    <w:p w:rsidR="00000000" w:rsidDel="00000000" w:rsidP="00000000" w:rsidRDefault="00000000" w:rsidRPr="00000000" w14:paraId="00000121">
      <w:pPr>
        <w:numPr>
          <w:ilvl w:val="0"/>
          <w:numId w:val="14"/>
        </w:numPr>
        <w:ind w:left="720" w:hanging="360"/>
      </w:pPr>
      <w:r w:rsidDel="00000000" w:rsidR="00000000" w:rsidRPr="00000000">
        <w:rPr>
          <w:rtl w:val="0"/>
        </w:rPr>
        <w:t xml:space="preserve">Pass-Through Costs: Any non-recoverable costs incurred with third parties are fully reimbursable by the Client.</w:t>
      </w:r>
    </w:p>
    <w:sectPr>
      <w:headerReference r:id="rId10" w:type="default"/>
      <w:headerReference r:id="rId11" w:type="first"/>
      <w:footerReference r:id="rId12" w:type="default"/>
      <w:footerReference r:id="rId13" w:type="first"/>
      <w:pgSz w:h="16838" w:w="11906" w:orient="portrait"/>
      <w:pgMar w:bottom="1440" w:top="18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Barlow Condensed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Barlow Condense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Lato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Rubik">
    <w:embedRegular w:fontKey="{00000000-0000-0000-0000-000000000000}" r:id="rId29" w:subsetted="0"/>
    <w:embedBold w:fontKey="{00000000-0000-0000-0000-000000000000}" r:id="rId30" w:subsetted="0"/>
    <w:embedItalic w:fontKey="{00000000-0000-0000-0000-000000000000}" r:id="rId31" w:subsetted="0"/>
    <w:embedBoldItalic w:fontKey="{00000000-0000-0000-0000-000000000000}" r:id="rId32" w:subsetted="0"/>
  </w:font>
  <w:font w:name="PT Mono">
    <w:embedRegular w:fontKey="{00000000-0000-0000-0000-000000000000}" r:id="rId3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ageBreakBefore w:val="0"/>
      <w:tabs>
        <w:tab w:val="right" w:leader="none" w:pos="8993"/>
      </w:tabs>
      <w:spacing w:after="0" w:line="240" w:lineRule="auto"/>
      <w:ind w:left="0" w:right="33" w:firstLine="0"/>
      <w:jc w:val="left"/>
      <w:rPr>
        <w:color w:val="999999"/>
        <w:sz w:val="16"/>
        <w:szCs w:val="16"/>
      </w:rPr>
    </w:pPr>
    <w:r w:rsidDel="00000000" w:rsidR="00000000" w:rsidRPr="00000000">
      <w:rPr>
        <w:color w:val="999999"/>
        <w:sz w:val="16"/>
        <w:szCs w:val="16"/>
        <w:rtl w:val="0"/>
      </w:rPr>
      <w:t xml:space="preserve">MTG Research and Development Lab Proposal</w:t>
    </w:r>
    <w:r w:rsidDel="00000000" w:rsidR="00000000" w:rsidRPr="00000000">
      <w:rPr>
        <w:color w:val="999999"/>
        <w:sz w:val="16"/>
        <w:szCs w:val="16"/>
        <w:rtl w:val="0"/>
      </w:rPr>
      <w:tab/>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ageBreakBefore w:val="0"/>
      <w:tabs>
        <w:tab w:val="left" w:leader="none" w:pos="3240"/>
        <w:tab w:val="right" w:leader="none" w:pos="9000"/>
        <w:tab w:val="left" w:leader="none" w:pos="6376"/>
        <w:tab w:val="left" w:leader="none" w:pos="5040"/>
        <w:tab w:val="left" w:leader="none" w:pos="2340"/>
      </w:tabs>
      <w:spacing w:after="0" w:line="276" w:lineRule="auto"/>
      <w:rPr>
        <w:b w:val="1"/>
        <w:bCs w:val="1"/>
        <w:color w:val="005172"/>
        <w:sz w:val="16"/>
        <w:szCs w:val="16"/>
      </w:rPr>
    </w:pPr>
    <w:r w:rsidDel="00000000" w:rsidR="00000000" w:rsidRPr="00000000">
      <w:rPr>
        <w:b w:val="1"/>
        <w:bCs w:val="1"/>
        <w:color w:val="005172"/>
        <w:sz w:val="16"/>
        <w:szCs w:val="16"/>
        <w:rtl w:val="0"/>
      </w:rPr>
      <w:t xml:space="preserve">Project                                         Project Type</w:t>
      <w:tab/>
    </w:r>
    <w:r w:rsidDel="00000000" w:rsidR="00000000" w:rsidRPr="00000000">
      <w:rPr>
        <w:b w:val="1"/>
        <w:bCs w:val="1"/>
        <w:color w:val="005172"/>
        <w:sz w:val="16"/>
        <w:szCs w:val="16"/>
        <w:rtl w:val="0"/>
      </w:rPr>
      <w:t xml:space="preserve">Document Type</w:t>
    </w:r>
    <w:r w:rsidDel="00000000" w:rsidR="00000000" w:rsidRPr="00000000">
      <w:rPr>
        <w:b w:val="1"/>
        <w:bCs w:val="1"/>
        <w:color w:val="005172"/>
        <w:sz w:val="16"/>
        <w:szCs w:val="16"/>
        <w:rtl w:val="0"/>
      </w:rPr>
      <w:tab/>
      <w:t xml:space="preserve">Version</w:t>
      <w:tab/>
      <w:t xml:space="preserve">Class</w:t>
      <w:tab/>
      <w:t xml:space="preserve">Date</w:t>
    </w:r>
  </w:p>
  <w:p w:rsidR="00000000" w:rsidDel="00000000" w:rsidP="00000000" w:rsidRDefault="00000000" w:rsidRPr="00000000" w14:paraId="00000123">
    <w:pPr>
      <w:pageBreakBefore w:val="0"/>
      <w:tabs>
        <w:tab w:val="left" w:leader="none" w:pos="3240"/>
        <w:tab w:val="right" w:leader="none" w:pos="9000"/>
        <w:tab w:val="left" w:leader="none" w:pos="6376"/>
        <w:tab w:val="left" w:leader="none" w:pos="5040"/>
        <w:tab w:val="left" w:leader="none" w:pos="2340"/>
      </w:tabs>
      <w:spacing w:after="0" w:line="276" w:lineRule="auto"/>
      <w:rPr>
        <w:sz w:val="16"/>
        <w:szCs w:val="16"/>
      </w:rPr>
    </w:pPr>
    <w:r w:rsidDel="00000000" w:rsidR="00000000" w:rsidRPr="00000000">
      <w:rPr>
        <w:color w:val="434343"/>
        <w:sz w:val="16"/>
        <w:szCs w:val="16"/>
        <w:rtl w:val="0"/>
      </w:rPr>
      <w:t xml:space="preserve">aHUS Recomm Spain          EDGE</w:t>
      <w:tab/>
      <w:tab/>
      <w:t xml:space="preserve">Proposal</w:t>
      <w:tab/>
      <w:t xml:space="preserve">0.3</w:t>
      <w:tab/>
      <w:t xml:space="preserve">Confidential</w:t>
      <w:tab/>
      <w:t xml:space="preserve">11 Feb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line="240"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Barlow Condensed Medium" w:cs="Barlow Condensed Medium" w:eastAsia="Barlow Condensed Medium" w:hAnsi="Barlow Condensed Medium"/>
      <w:color w:val="005172"/>
      <w:sz w:val="28"/>
      <w:szCs w:val="28"/>
    </w:rPr>
  </w:style>
  <w:style w:type="paragraph" w:styleId="Heading4">
    <w:name w:val="heading 4"/>
    <w:basedOn w:val="Normal"/>
    <w:next w:val="Normal"/>
    <w:pPr>
      <w:keepNext w:val="1"/>
      <w:keepLines w:val="1"/>
      <w:spacing w:after="0" w:lineRule="auto"/>
    </w:pPr>
    <w:rPr>
      <w:b w:val="1"/>
      <w:bCs w:val="1"/>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BarlowCondensedMedium-boldItalic.ttf"/><Relationship Id="rId22" Type="http://schemas.openxmlformats.org/officeDocument/2006/relationships/font" Target="fonts/BarlowCondensed-bold.ttf"/><Relationship Id="rId21" Type="http://schemas.openxmlformats.org/officeDocument/2006/relationships/font" Target="fonts/BarlowCondensed-regular.ttf"/><Relationship Id="rId24" Type="http://schemas.openxmlformats.org/officeDocument/2006/relationships/font" Target="fonts/BarlowCondensed-boldItalic.ttf"/><Relationship Id="rId23" Type="http://schemas.openxmlformats.org/officeDocument/2006/relationships/font" Target="fonts/BarlowCondensed-italic.ttf"/><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9" Type="http://schemas.openxmlformats.org/officeDocument/2006/relationships/font" Target="fonts/Nunito-regular.ttf"/><Relationship Id="rId26" Type="http://schemas.openxmlformats.org/officeDocument/2006/relationships/font" Target="fonts/LatoLight-bold.ttf"/><Relationship Id="rId25" Type="http://schemas.openxmlformats.org/officeDocument/2006/relationships/font" Target="fonts/LatoLight-regular.ttf"/><Relationship Id="rId28" Type="http://schemas.openxmlformats.org/officeDocument/2006/relationships/font" Target="fonts/LatoLight-boldItalic.ttf"/><Relationship Id="rId27" Type="http://schemas.openxmlformats.org/officeDocument/2006/relationships/font" Target="fonts/LatoLight-italic.ttf"/><Relationship Id="rId5" Type="http://schemas.openxmlformats.org/officeDocument/2006/relationships/font" Target="fonts/RubikLight-regular.ttf"/><Relationship Id="rId6" Type="http://schemas.openxmlformats.org/officeDocument/2006/relationships/font" Target="fonts/RubikLight-bold.ttf"/><Relationship Id="rId29" Type="http://schemas.openxmlformats.org/officeDocument/2006/relationships/font" Target="fonts/Rubik-regular.ttf"/><Relationship Id="rId7" Type="http://schemas.openxmlformats.org/officeDocument/2006/relationships/font" Target="fonts/RubikLight-italic.ttf"/><Relationship Id="rId8" Type="http://schemas.openxmlformats.org/officeDocument/2006/relationships/font" Target="fonts/RubikLight-boldItalic.ttf"/><Relationship Id="rId31" Type="http://schemas.openxmlformats.org/officeDocument/2006/relationships/font" Target="fonts/Rubik-italic.ttf"/><Relationship Id="rId30" Type="http://schemas.openxmlformats.org/officeDocument/2006/relationships/font" Target="fonts/Rubik-bold.ttf"/><Relationship Id="rId11" Type="http://schemas.openxmlformats.org/officeDocument/2006/relationships/font" Target="fonts/Nunito-italic.ttf"/><Relationship Id="rId33" Type="http://schemas.openxmlformats.org/officeDocument/2006/relationships/font" Target="fonts/PTMono-regular.ttf"/><Relationship Id="rId10" Type="http://schemas.openxmlformats.org/officeDocument/2006/relationships/font" Target="fonts/Nunito-bold.ttf"/><Relationship Id="rId32" Type="http://schemas.openxmlformats.org/officeDocument/2006/relationships/font" Target="fonts/Rubik-boldItalic.ttf"/><Relationship Id="rId13" Type="http://schemas.openxmlformats.org/officeDocument/2006/relationships/font" Target="fonts/Lato-regular.ttf"/><Relationship Id="rId12" Type="http://schemas.openxmlformats.org/officeDocument/2006/relationships/font" Target="fonts/Nunito-boldItalic.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BarlowCondensedMedium-regular.ttf"/><Relationship Id="rId16" Type="http://schemas.openxmlformats.org/officeDocument/2006/relationships/font" Target="fonts/Lato-boldItalic.ttf"/><Relationship Id="rId19" Type="http://schemas.openxmlformats.org/officeDocument/2006/relationships/font" Target="fonts/BarlowCondensedMedium-italic.ttf"/><Relationship Id="rId18" Type="http://schemas.openxmlformats.org/officeDocument/2006/relationships/font" Target="fonts/BarlowCondensed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