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Barlow Condensed Medium" w:cs="Barlow Condensed Medium" w:eastAsia="Barlow Condensed Medium" w:hAnsi="Barlow Condensed Medium"/>
          <w:color w:val="005172"/>
          <w:sz w:val="40"/>
          <w:szCs w:val="40"/>
        </w:rPr>
      </w:pPr>
      <w:bookmarkStart w:colFirst="0" w:colLast="0" w:name="_aey11n18broh" w:id="0"/>
      <w:bookmarkEnd w:id="0"/>
      <w:r w:rsidDel="00000000" w:rsidR="00000000" w:rsidRPr="00000000">
        <w:rPr>
          <w:rFonts w:ascii="Barlow Condensed Medium" w:cs="Barlow Condensed Medium" w:eastAsia="Barlow Condensed Medium" w:hAnsi="Barlow Condensed Medium"/>
          <w:color w:val="005172"/>
          <w:sz w:val="40"/>
          <w:szCs w:val="40"/>
        </w:rPr>
        <w:drawing>
          <wp:inline distB="114300" distT="114300" distL="114300" distR="114300">
            <wp:extent cx="5943600" cy="1444625"/>
            <wp:effectExtent b="0" l="0" r="0" t="0"/>
            <wp:docPr id="1" name="image1.png"/>
            <a:graphic>
              <a:graphicData uri="http://schemas.openxmlformats.org/drawingml/2006/picture">
                <pic:pic>
                  <pic:nvPicPr>
                    <pic:cNvPr id="0" name="image1.png"/>
                    <pic:cNvPicPr preferRelativeResize="0"/>
                  </pic:nvPicPr>
                  <pic:blipFill>
                    <a:blip r:embed="rId6"/>
                    <a:srcRect b="25464" l="0" r="0" t="24736"/>
                    <a:stretch>
                      <a:fillRect/>
                    </a:stretch>
                  </pic:blipFill>
                  <pic:spPr>
                    <a:xfrm>
                      <a:off x="0" y="0"/>
                      <a:ext cx="5943600" cy="14446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both"/>
        <w:rPr/>
      </w:pPr>
      <w:bookmarkStart w:colFirst="0" w:colLast="0" w:name="_loe3b1x99tmr" w:id="1"/>
      <w:bookmarkEnd w:id="1"/>
      <w:r w:rsidDel="00000000" w:rsidR="00000000" w:rsidRPr="00000000">
        <w:rPr>
          <w:rtl w:val="0"/>
        </w:rPr>
        <w:t xml:space="preserve">Proposal </w:t>
      </w:r>
    </w:p>
    <w:p w:rsidR="00000000" w:rsidDel="00000000" w:rsidP="00000000" w:rsidRDefault="00000000" w:rsidRPr="00000000" w14:paraId="00000003">
      <w:pPr>
        <w:jc w:val="both"/>
        <w:rPr>
          <w:sz w:val="24"/>
          <w:szCs w:val="24"/>
        </w:rPr>
      </w:pPr>
      <w:r w:rsidDel="00000000" w:rsidR="00000000" w:rsidRPr="00000000">
        <w:rPr>
          <w:rFonts w:ascii="Barlow Condensed Medium" w:cs="Barlow Condensed Medium" w:eastAsia="Barlow Condensed Medium" w:hAnsi="Barlow Condensed Medium"/>
          <w:color w:val="005172"/>
          <w:sz w:val="40"/>
          <w:szCs w:val="40"/>
          <w:rtl w:val="0"/>
        </w:rPr>
        <w:t xml:space="preserve">Scope</w:t>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bCs w:val="1"/>
          <w:sz w:val="24"/>
          <w:szCs w:val="24"/>
          <w:rtl w:val="0"/>
        </w:rPr>
        <w:t xml:space="preserve">Project</w:t>
      </w:r>
      <w:r w:rsidDel="00000000" w:rsidR="00000000" w:rsidRPr="00000000">
        <w:rPr>
          <w:sz w:val="24"/>
          <w:szCs w:val="24"/>
          <w:rtl w:val="0"/>
        </w:rPr>
        <w:tab/>
        <w:t xml:space="preserve">National Acute Coronary Syndrome (ACS) Registry System </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Author</w:t>
      </w:r>
      <w:r w:rsidDel="00000000" w:rsidR="00000000" w:rsidRPr="00000000">
        <w:rPr>
          <w:sz w:val="24"/>
          <w:szCs w:val="24"/>
          <w:rtl w:val="0"/>
        </w:rPr>
        <w:tab/>
        <w:t xml:space="preserve">Daniela Antunes</w:t>
      </w: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Client</w:t>
      </w:r>
      <w:r w:rsidDel="00000000" w:rsidR="00000000" w:rsidRPr="00000000">
        <w:rPr>
          <w:sz w:val="24"/>
          <w:szCs w:val="24"/>
          <w:rtl w:val="0"/>
        </w:rPr>
        <w:tab/>
        <w:tab/>
        <w:t xml:space="preserve">SPC</w:t>
      </w: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Recipient</w:t>
      </w:r>
      <w:r w:rsidDel="00000000" w:rsidR="00000000" w:rsidRPr="00000000">
        <w:rPr>
          <w:sz w:val="24"/>
          <w:szCs w:val="24"/>
          <w:rtl w:val="0"/>
        </w:rPr>
        <w:tab/>
        <w:t xml:space="preserve">Cristina Gavina e Afonso Félix de Oliveira</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pStyle w:val="Heading1"/>
        <w:spacing w:after="320" w:before="0" w:line="240" w:lineRule="auto"/>
        <w:rPr/>
      </w:pPr>
      <w:bookmarkStart w:colFirst="0" w:colLast="0" w:name="_wliy7dv2vokx" w:id="2"/>
      <w:bookmarkEnd w:id="2"/>
      <w:r w:rsidDel="00000000" w:rsidR="00000000" w:rsidRPr="00000000">
        <w:rPr>
          <w:rtl w:val="0"/>
        </w:rPr>
      </w:r>
    </w:p>
    <w:p w:rsidR="00000000" w:rsidDel="00000000" w:rsidP="00000000" w:rsidRDefault="00000000" w:rsidRPr="00000000" w14:paraId="0000000A">
      <w:pPr>
        <w:pStyle w:val="Heading1"/>
        <w:spacing w:after="320" w:before="0" w:line="240" w:lineRule="auto"/>
        <w:rPr>
          <w:sz w:val="32"/>
          <w:szCs w:val="32"/>
        </w:rPr>
      </w:pPr>
      <w:bookmarkStart w:colFirst="0" w:colLast="0" w:name="_l15urp8jyffw" w:id="3"/>
      <w:bookmarkEnd w:id="3"/>
      <w:r w:rsidDel="00000000" w:rsidR="00000000" w:rsidRPr="00000000">
        <w:rPr>
          <w:rtl w:val="0"/>
        </w:rPr>
        <w:t xml:space="preserve">Change Log</w:t>
      </w:r>
      <w:r w:rsidDel="00000000" w:rsidR="00000000" w:rsidRPr="00000000">
        <w:rPr>
          <w:rtl w:val="0"/>
        </w:rPr>
      </w:r>
    </w:p>
    <w:p w:rsidR="00000000" w:rsidDel="00000000" w:rsidP="00000000" w:rsidRDefault="00000000" w:rsidRPr="00000000" w14:paraId="0000000B">
      <w:pPr>
        <w:pStyle w:val="Heading4"/>
        <w:rPr>
          <w:sz w:val="20"/>
          <w:szCs w:val="20"/>
        </w:rPr>
      </w:pPr>
      <w:bookmarkStart w:colFirst="0" w:colLast="0" w:name="_jveq89wjfvva" w:id="4"/>
      <w:bookmarkEnd w:id="4"/>
      <w:r w:rsidDel="00000000" w:rsidR="00000000" w:rsidRPr="00000000">
        <w:rPr>
          <w:sz w:val="20"/>
          <w:szCs w:val="20"/>
          <w:rtl w:val="0"/>
        </w:rPr>
        <w:t xml:space="preserve">Version 0.1.0.</w:t>
      </w:r>
    </w:p>
    <w:p w:rsidR="00000000" w:rsidDel="00000000" w:rsidP="00000000" w:rsidRDefault="00000000" w:rsidRPr="00000000" w14:paraId="0000000C">
      <w:pPr>
        <w:numPr>
          <w:ilvl w:val="0"/>
          <w:numId w:val="3"/>
        </w:numPr>
        <w:ind w:left="720" w:hanging="360"/>
        <w:rPr>
          <w:sz w:val="24"/>
          <w:szCs w:val="24"/>
        </w:rPr>
      </w:pPr>
      <w:r w:rsidDel="00000000" w:rsidR="00000000" w:rsidRPr="00000000">
        <w:rPr>
          <w:sz w:val="24"/>
          <w:szCs w:val="24"/>
          <w:rtl w:val="0"/>
        </w:rPr>
        <w:t xml:space="preserve">Initial proposal based on request for proposal </w:t>
      </w:r>
    </w:p>
    <w:p w:rsidR="00000000" w:rsidDel="00000000" w:rsidP="00000000" w:rsidRDefault="00000000" w:rsidRPr="00000000" w14:paraId="0000000D">
      <w:pPr>
        <w:pStyle w:val="Heading1"/>
        <w:spacing w:after="320" w:before="0" w:line="240" w:lineRule="auto"/>
        <w:rPr/>
      </w:pPr>
      <w:bookmarkStart w:colFirst="0" w:colLast="0" w:name="_8hqch5uf1js9" w:id="5"/>
      <w:bookmarkEnd w:id="5"/>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320" w:before="0" w:line="240" w:lineRule="auto"/>
        <w:rPr/>
      </w:pPr>
      <w:bookmarkStart w:colFirst="0" w:colLast="0" w:name="_rrw19cvia4hn" w:id="6"/>
      <w:bookmarkEnd w:id="6"/>
      <w:r w:rsidDel="00000000" w:rsidR="00000000" w:rsidRPr="00000000">
        <w:rPr>
          <w:rtl w:val="0"/>
        </w:rPr>
        <w:t xml:space="preserve">1. Proposal Elements</w:t>
      </w:r>
    </w:p>
    <w:p w:rsidR="00000000" w:rsidDel="00000000" w:rsidP="00000000" w:rsidRDefault="00000000" w:rsidRPr="00000000" w14:paraId="0000000F">
      <w:pPr>
        <w:pStyle w:val="Heading2"/>
        <w:spacing w:line="276" w:lineRule="auto"/>
        <w:rPr>
          <w:sz w:val="18"/>
          <w:szCs w:val="18"/>
        </w:rPr>
      </w:pPr>
      <w:bookmarkStart w:colFirst="0" w:colLast="0" w:name="_upwr87p70g0z" w:id="7"/>
      <w:bookmarkEnd w:id="7"/>
      <w:r w:rsidDel="00000000" w:rsidR="00000000" w:rsidRPr="00000000">
        <w:rPr>
          <w:rtl w:val="0"/>
        </w:rPr>
        <w:t xml:space="preserve">1.1 Project Details</w:t>
      </w:r>
      <w:r w:rsidDel="00000000" w:rsidR="00000000" w:rsidRPr="00000000">
        <w:rPr>
          <w:rtl w:val="0"/>
        </w:rPr>
      </w:r>
    </w:p>
    <w:tbl>
      <w:tblPr>
        <w:tblStyle w:val="Table1"/>
        <w:tblW w:w="9645.0" w:type="dxa"/>
        <w:jc w:val="left"/>
        <w:tblInd w:w="-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5"/>
        <w:tblGridChange w:id="0">
          <w:tblGrid>
            <w:gridCol w:w="9645"/>
          </w:tblGrid>
        </w:tblGridChange>
      </w:tblGrid>
      <w:tr>
        <w:trPr>
          <w:cantSplit w:val="0"/>
          <w:tblHeader w:val="0"/>
        </w:trPr>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10">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Description</w:t>
            </w:r>
          </w:p>
        </w:tc>
      </w:tr>
      <w:tr>
        <w:trPr>
          <w:cantSplit w:val="0"/>
          <w:tblHeader w:val="0"/>
        </w:trPr>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11">
            <w:pPr>
              <w:spacing w:after="0" w:lineRule="auto"/>
              <w:rPr>
                <w:color w:val="666666"/>
                <w:sz w:val="18"/>
                <w:szCs w:val="18"/>
              </w:rPr>
            </w:pPr>
            <w:r w:rsidDel="00000000" w:rsidR="00000000" w:rsidRPr="00000000">
              <w:rPr>
                <w:sz w:val="18"/>
                <w:szCs w:val="18"/>
                <w:rtl w:val="0"/>
              </w:rPr>
              <w:t xml:space="preserve">Project Design</w:t>
              <w:br w:type="textWrapping"/>
            </w:r>
            <w:r w:rsidDel="00000000" w:rsidR="00000000" w:rsidRPr="00000000">
              <w:rPr>
                <w:color w:val="666666"/>
                <w:sz w:val="18"/>
                <w:szCs w:val="18"/>
                <w:rtl w:val="0"/>
              </w:rPr>
              <w:t xml:space="preserve">Observational Cohort Project for National Acute Coronary Syndrome (ACS) Registry System</w:t>
            </w:r>
          </w:p>
        </w:tc>
      </w:tr>
      <w:tr>
        <w:trPr>
          <w:cantSplit w:val="0"/>
          <w:tblHeader w:val="0"/>
        </w:trPr>
        <w:tc>
          <w:tcPr>
            <w:tcBorders>
              <w:top w:color="cccccc" w:space="0" w:sz="4" w:val="single"/>
              <w:left w:color="ffffff" w:space="0" w:sz="6" w:val="single"/>
              <w:bottom w:color="005172"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12">
            <w:pPr>
              <w:spacing w:after="0" w:lineRule="auto"/>
              <w:rPr>
                <w:sz w:val="18"/>
                <w:szCs w:val="18"/>
              </w:rPr>
            </w:pPr>
            <w:r w:rsidDel="00000000" w:rsidR="00000000" w:rsidRPr="00000000">
              <w:rPr>
                <w:sz w:val="18"/>
                <w:szCs w:val="18"/>
                <w:rtl w:val="0"/>
              </w:rPr>
              <w:t xml:space="preserve">Patient Population</w:t>
            </w:r>
          </w:p>
          <w:p w:rsidR="00000000" w:rsidDel="00000000" w:rsidP="00000000" w:rsidRDefault="00000000" w:rsidRPr="00000000" w14:paraId="00000013">
            <w:pPr>
              <w:spacing w:after="0" w:lineRule="auto"/>
              <w:rPr>
                <w:sz w:val="18"/>
                <w:szCs w:val="18"/>
              </w:rPr>
            </w:pPr>
            <w:r w:rsidDel="00000000" w:rsidR="00000000" w:rsidRPr="00000000">
              <w:rPr>
                <w:color w:val="666666"/>
                <w:sz w:val="18"/>
                <w:szCs w:val="18"/>
                <w:rtl w:val="0"/>
              </w:rPr>
              <w:t xml:space="preserve">Individuals diagnosed with ACS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This proposal outlines the Foundational Phase of the National ACS Registry System. The primary objective of this </w:t>
      </w:r>
      <w:r w:rsidDel="00000000" w:rsidR="00000000" w:rsidRPr="00000000">
        <w:rPr>
          <w:u w:val="single"/>
          <w:rtl w:val="0"/>
        </w:rPr>
        <w:t xml:space="preserve">initial phase is to establish the core federated infrastructure, validate the data processing workflow, and deploy the initial "vanilla" dashpackage focused on a core set of essential ACS variables</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Fonts w:ascii="Barlow Condensed Medium" w:cs="Barlow Condensed Medium" w:eastAsia="Barlow Condensed Medium" w:hAnsi="Barlow Condensed Medium"/>
          <w:color w:val="009fda"/>
          <w:sz w:val="32"/>
          <w:szCs w:val="32"/>
          <w:rtl w:val="0"/>
        </w:rPr>
        <w:t xml:space="preserve">1.2 Technical considerations</w:t>
      </w:r>
      <w:r w:rsidDel="00000000" w:rsidR="00000000" w:rsidRPr="00000000">
        <w:rPr>
          <w:rtl w:val="0"/>
        </w:rPr>
      </w:r>
    </w:p>
    <w:p w:rsidR="00000000" w:rsidDel="00000000" w:rsidP="00000000" w:rsidRDefault="00000000" w:rsidRPr="00000000" w14:paraId="00000017">
      <w:pPr>
        <w:pStyle w:val="Heading3"/>
        <w:rPr/>
      </w:pPr>
      <w:bookmarkStart w:colFirst="0" w:colLast="0" w:name="_w8kyrljkk2se" w:id="8"/>
      <w:bookmarkEnd w:id="8"/>
      <w:r w:rsidDel="00000000" w:rsidR="00000000" w:rsidRPr="00000000">
        <w:rPr>
          <w:rtl w:val="0"/>
        </w:rPr>
        <w:t xml:space="preserve">1.2.1. Definition of a Dashpackage</w:t>
      </w:r>
    </w:p>
    <w:p w:rsidR="00000000" w:rsidDel="00000000" w:rsidP="00000000" w:rsidRDefault="00000000" w:rsidRPr="00000000" w14:paraId="00000018">
      <w:pPr>
        <w:jc w:val="both"/>
        <w:rPr/>
      </w:pPr>
      <w:r w:rsidDel="00000000" w:rsidR="00000000" w:rsidRPr="00000000">
        <w:rPr>
          <w:rtl w:val="0"/>
        </w:rPr>
        <w:t xml:space="preserve">A dashpackage (dashboard package) is a codebase artifact that lives in a code repository and can be deployed as a standalone processing application at each participating healthcare institution. This codebase is d</w:t>
      </w:r>
      <w:r w:rsidDel="00000000" w:rsidR="00000000" w:rsidRPr="00000000">
        <w:rPr>
          <w:rtl w:val="0"/>
        </w:rPr>
        <w:t xml:space="preserve">eveloped to process specific patient-level data directly within the local institution's environment, ensuring privacy and reflecting the local reality. The output of this local processing activity is aggregated data that will feed the SP Cardiology (SPC) Data Lakehouse to form the Aggregated Registry, which is then viewed centrally via a dashboard.</w:t>
      </w:r>
    </w:p>
    <w:p w:rsidR="00000000" w:rsidDel="00000000" w:rsidP="00000000" w:rsidRDefault="00000000" w:rsidRPr="00000000" w14:paraId="00000019">
      <w:pPr>
        <w:jc w:val="both"/>
        <w:rPr/>
      </w:pPr>
      <w:r w:rsidDel="00000000" w:rsidR="00000000" w:rsidRPr="00000000">
        <w:rPr>
          <w:rtl w:val="0"/>
        </w:rPr>
        <w:t xml:space="preserve">Dashpackage are composed of:</w:t>
      </w:r>
    </w:p>
    <w:p w:rsidR="00000000" w:rsidDel="00000000" w:rsidP="00000000" w:rsidRDefault="00000000" w:rsidRPr="00000000" w14:paraId="0000001A">
      <w:pPr>
        <w:numPr>
          <w:ilvl w:val="0"/>
          <w:numId w:val="4"/>
        </w:numPr>
        <w:spacing w:after="0" w:afterAutospacing="0"/>
        <w:ind w:left="720" w:hanging="360"/>
        <w:jc w:val="both"/>
        <w:rPr>
          <w:rFonts w:ascii="Lato" w:cs="Lato" w:eastAsia="Lato" w:hAnsi="Lato"/>
          <w:color w:val="000000"/>
          <w:sz w:val="22"/>
          <w:szCs w:val="22"/>
        </w:rPr>
      </w:pPr>
      <w:r w:rsidDel="00000000" w:rsidR="00000000" w:rsidRPr="00000000">
        <w:rPr>
          <w:rtl w:val="0"/>
        </w:rPr>
        <w:t xml:space="preserve">A set of yaml configurations of apache superset technology that gets rendered as a graphical user interface, where the users can see aggregate or patient-level data </w:t>
      </w:r>
    </w:p>
    <w:p w:rsidR="00000000" w:rsidDel="00000000" w:rsidP="00000000" w:rsidRDefault="00000000" w:rsidRPr="00000000" w14:paraId="0000001B">
      <w:pPr>
        <w:numPr>
          <w:ilvl w:val="0"/>
          <w:numId w:val="4"/>
        </w:numPr>
        <w:ind w:left="720" w:hanging="360"/>
        <w:jc w:val="both"/>
        <w:rPr>
          <w:rFonts w:ascii="Lato" w:cs="Lato" w:eastAsia="Lato" w:hAnsi="Lato"/>
          <w:color w:val="000000"/>
          <w:sz w:val="22"/>
          <w:szCs w:val="22"/>
        </w:rPr>
      </w:pPr>
      <w:r w:rsidDel="00000000" w:rsidR="00000000" w:rsidRPr="00000000">
        <w:rPr>
          <w:rtl w:val="0"/>
        </w:rPr>
        <w:t xml:space="preserve">A database with a pre-specified schema that results from data processing activities at the healthcare institutions </w:t>
      </w:r>
    </w:p>
    <w:p w:rsidR="00000000" w:rsidDel="00000000" w:rsidP="00000000" w:rsidRDefault="00000000" w:rsidRPr="00000000" w14:paraId="0000001C">
      <w:pPr>
        <w:jc w:val="both"/>
        <w:rPr/>
      </w:pPr>
      <w:r w:rsidDel="00000000" w:rsidR="00000000" w:rsidRPr="00000000">
        <w:rPr>
          <w:rtl w:val="0"/>
        </w:rPr>
        <w:t xml:space="preserve">Dashpackage shall be developed entirely outside of the institutions, and no institution authorization shall be required for such a development to take place. Institution authorization shall be requested and granted prior to the deployment of the dashpackage at each institution. </w:t>
      </w:r>
    </w:p>
    <w:p w:rsidR="00000000" w:rsidDel="00000000" w:rsidP="00000000" w:rsidRDefault="00000000" w:rsidRPr="00000000" w14:paraId="0000001D">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60" w:before="360" w:line="276" w:lineRule="auto"/>
        <w:ind w:left="0" w:right="0" w:firstLine="0"/>
        <w:jc w:val="both"/>
        <w:rPr/>
      </w:pPr>
      <w:bookmarkStart w:colFirst="0" w:colLast="0" w:name="_j69zi528qxcm" w:id="9"/>
      <w:bookmarkEnd w:id="9"/>
      <w:r w:rsidDel="00000000" w:rsidR="00000000" w:rsidRPr="00000000">
        <w:rPr>
          <w:color w:val="005172"/>
          <w:sz w:val="28"/>
          <w:szCs w:val="28"/>
          <w:rtl w:val="0"/>
        </w:rPr>
        <w:t xml:space="preserve">1.2.2. Registry Ecosystem Components and Local Data Flow</w:t>
      </w: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overall Dashpackage relies on a federated, multi-site data collection workflow, housed within a Zero-Trust security architecture at each local site. The key components that feed and compose the Aggregated Registry are:</w:t>
      </w:r>
    </w:p>
    <w:p w:rsidR="00000000" w:rsidDel="00000000" w:rsidP="00000000" w:rsidRDefault="00000000" w:rsidRPr="00000000" w14:paraId="0000001F">
      <w:pPr>
        <w:numPr>
          <w:ilvl w:val="0"/>
          <w:numId w:val="5"/>
        </w:numPr>
        <w:spacing w:after="0" w:afterAutospacing="0" w:before="240" w:lineRule="auto"/>
        <w:ind w:left="720" w:hanging="360"/>
        <w:rPr/>
      </w:pPr>
      <w:r w:rsidDel="00000000" w:rsidR="00000000" w:rsidRPr="00000000">
        <w:rPr>
          <w:rtl w:val="0"/>
        </w:rPr>
        <w:t xml:space="preserve">EHR Data: The existing Electronic Health Record (EHR) system, as </w:t>
      </w:r>
      <w:r w:rsidDel="00000000" w:rsidR="00000000" w:rsidRPr="00000000">
        <w:rPr>
          <w:i w:val="1"/>
          <w:iCs w:val="1"/>
          <w:rtl w:val="0"/>
        </w:rPr>
        <w:t xml:space="preserve">SClinico, </w:t>
      </w:r>
      <w:r w:rsidDel="00000000" w:rsidR="00000000" w:rsidRPr="00000000">
        <w:rPr>
          <w:rtl w:val="0"/>
        </w:rPr>
        <w:t xml:space="preserve"> where healthcare institutions access the patient’s general medical file.</w:t>
      </w:r>
    </w:p>
    <w:p w:rsidR="00000000" w:rsidDel="00000000" w:rsidP="00000000" w:rsidRDefault="00000000" w:rsidRPr="00000000" w14:paraId="00000020">
      <w:pPr>
        <w:numPr>
          <w:ilvl w:val="0"/>
          <w:numId w:val="5"/>
        </w:numPr>
        <w:spacing w:after="240" w:before="0" w:beforeAutospacing="0" w:lineRule="auto"/>
        <w:ind w:left="720" w:hanging="360"/>
        <w:rPr/>
      </w:pPr>
      <w:r w:rsidDel="00000000" w:rsidR="00000000" w:rsidRPr="00000000">
        <w:rPr>
          <w:rtl w:val="0"/>
        </w:rPr>
        <w:t xml:space="preserve">Zero-Trust Architecture: The entire local data collection and storage process is encapsulated within a Zero-Trust security model, ensuring that all access requests are strictly verified to protect sensitive patient data.</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The data processed locally by the Dashpackage is periodically anonymized and sent as Aggregate Reports to the Central Aggregated Registry, hosted on the SPC infrastructure, under zero-trust principles to allow the process, hosting, and presentation of data.</w:t>
      </w:r>
    </w:p>
    <w:p w:rsidR="00000000" w:rsidDel="00000000" w:rsidP="00000000" w:rsidRDefault="00000000" w:rsidRPr="00000000" w14:paraId="00000022">
      <w:pPr>
        <w:pStyle w:val="Heading2"/>
        <w:jc w:val="both"/>
        <w:rPr/>
      </w:pPr>
      <w:bookmarkStart w:colFirst="0" w:colLast="0" w:name="_xafijmsty54y" w:id="10"/>
      <w:bookmarkEnd w:id="10"/>
      <w:r w:rsidDel="00000000" w:rsidR="00000000" w:rsidRPr="00000000">
        <w:rPr>
          <w:color w:val="005172"/>
          <w:sz w:val="28"/>
          <w:szCs w:val="28"/>
          <w:rtl w:val="0"/>
        </w:rPr>
        <w:t xml:space="preserve">1.2.3 Development of a Dashpackage</w:t>
      </w: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Dashpackage shall be developed as </w:t>
      </w:r>
      <w:r w:rsidDel="00000000" w:rsidR="00000000" w:rsidRPr="00000000">
        <w:rPr>
          <w:b w:val="1"/>
          <w:bCs w:val="1"/>
          <w:u w:val="single"/>
          <w:rtl w:val="0"/>
        </w:rPr>
        <w:t xml:space="preserve">vanilla</w:t>
      </w:r>
      <w:r w:rsidDel="00000000" w:rsidR="00000000" w:rsidRPr="00000000">
        <w:rPr>
          <w:rtl w:val="0"/>
        </w:rPr>
        <w:t xml:space="preserve">, indicating that the dashpackage addresses the specific conditions as per the indication of involved national experts, but does not necessarily capture specific local aspects that may occur in each institution. This initial 'vanilla' dashpackage will focus on a core set of key variables for ACS epidemiology and outcomes, establishing the foundational layer. It is explicitly designed to be expanded upon in future phases, allowing for the integration of more complex analyses, additional variables, and advanced predictive models.</w:t>
      </w:r>
    </w:p>
    <w:p w:rsidR="00000000" w:rsidDel="00000000" w:rsidP="00000000" w:rsidRDefault="00000000" w:rsidRPr="00000000" w14:paraId="00000024">
      <w:pPr>
        <w:jc w:val="both"/>
        <w:rPr/>
      </w:pPr>
      <w:r w:rsidDel="00000000" w:rsidR="00000000" w:rsidRPr="00000000">
        <w:rPr>
          <w:rtl w:val="0"/>
        </w:rPr>
        <w:t xml:space="preserve">The software development activities of a </w:t>
      </w:r>
      <w:r w:rsidDel="00000000" w:rsidR="00000000" w:rsidRPr="00000000">
        <w:rPr>
          <w:b w:val="1"/>
          <w:bCs w:val="1"/>
          <w:u w:val="single"/>
          <w:rtl w:val="0"/>
        </w:rPr>
        <w:t xml:space="preserve">vanilla dashpackage</w:t>
      </w:r>
      <w:r w:rsidDel="00000000" w:rsidR="00000000" w:rsidRPr="00000000">
        <w:rPr>
          <w:rtl w:val="0"/>
        </w:rPr>
        <w:t xml:space="preserve"> occur as follows:</w:t>
      </w:r>
    </w:p>
    <w:p w:rsidR="00000000" w:rsidDel="00000000" w:rsidP="00000000" w:rsidRDefault="00000000" w:rsidRPr="00000000" w14:paraId="00000025">
      <w:pPr>
        <w:numPr>
          <w:ilvl w:val="0"/>
          <w:numId w:val="2"/>
        </w:numPr>
        <w:spacing w:after="0" w:afterAutospacing="0"/>
        <w:ind w:left="720" w:hanging="360"/>
        <w:jc w:val="both"/>
        <w:rPr>
          <w:rFonts w:ascii="Lato" w:cs="Lato" w:eastAsia="Lato" w:hAnsi="Lato"/>
          <w:color w:val="000000"/>
          <w:sz w:val="22"/>
          <w:szCs w:val="22"/>
        </w:rPr>
      </w:pPr>
      <w:r w:rsidDel="00000000" w:rsidR="00000000" w:rsidRPr="00000000">
        <w:rPr>
          <w:rtl w:val="0"/>
        </w:rPr>
        <w:t xml:space="preserve">Design of the graphical user interface directly on the dashboard, technology used for development (Apache Superset) on top of stub data models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pPr>
      <w:r w:rsidDel="00000000" w:rsidR="00000000" w:rsidRPr="00000000">
        <w:rPr>
          <w:rtl w:val="0"/>
        </w:rPr>
        <w:t xml:space="preserve">Implementation of the data engineering pipelines to replace the stub data model</w:t>
      </w:r>
    </w:p>
    <w:p w:rsidR="00000000" w:rsidDel="00000000" w:rsidP="00000000" w:rsidRDefault="00000000" w:rsidRPr="00000000" w14:paraId="00000027">
      <w:pPr>
        <w:numPr>
          <w:ilvl w:val="0"/>
          <w:numId w:val="2"/>
        </w:numPr>
        <w:spacing w:after="0" w:afterAutospacing="0"/>
        <w:ind w:left="720" w:hanging="360"/>
        <w:jc w:val="both"/>
        <w:rPr>
          <w:rFonts w:ascii="Lato" w:cs="Lato" w:eastAsia="Lato" w:hAnsi="Lato"/>
          <w:color w:val="000000"/>
          <w:sz w:val="22"/>
          <w:szCs w:val="22"/>
        </w:rPr>
      </w:pPr>
      <w:r w:rsidDel="00000000" w:rsidR="00000000" w:rsidRPr="00000000">
        <w:rPr>
          <w:rtl w:val="0"/>
        </w:rPr>
        <w:t xml:space="preserve">Implementation of unit tests and end-to-end tests to ensure transparent and reproducible data processing using dummy patient data, further referred to as </w:t>
      </w:r>
      <w:r w:rsidDel="00000000" w:rsidR="00000000" w:rsidRPr="00000000">
        <w:rPr>
          <w:i w:val="1"/>
          <w:iCs w:val="1"/>
          <w:rtl w:val="0"/>
        </w:rPr>
        <w:t xml:space="preserve">personas</w:t>
      </w:r>
    </w:p>
    <w:p w:rsidR="00000000" w:rsidDel="00000000" w:rsidP="00000000" w:rsidRDefault="00000000" w:rsidRPr="00000000" w14:paraId="00000028">
      <w:pPr>
        <w:numPr>
          <w:ilvl w:val="0"/>
          <w:numId w:val="2"/>
        </w:numPr>
        <w:ind w:left="720" w:hanging="360"/>
        <w:jc w:val="both"/>
        <w:rPr>
          <w:rFonts w:ascii="Lato" w:cs="Lato" w:eastAsia="Lato" w:hAnsi="Lato"/>
          <w:color w:val="000000"/>
          <w:sz w:val="22"/>
          <w:szCs w:val="22"/>
        </w:rPr>
      </w:pPr>
      <w:r w:rsidDel="00000000" w:rsidR="00000000" w:rsidRPr="00000000">
        <w:rPr>
          <w:rtl w:val="0"/>
        </w:rPr>
        <w:t xml:space="preserve">Deployment of the dashboard using personas on sandboxed environments for user acceptance testing in MTG Github account in codespaces.</w:t>
      </w:r>
    </w:p>
    <w:p w:rsidR="00000000" w:rsidDel="00000000" w:rsidP="00000000" w:rsidRDefault="00000000" w:rsidRPr="00000000" w14:paraId="00000029">
      <w:pPr>
        <w:jc w:val="both"/>
        <w:rPr/>
      </w:pPr>
      <w:r w:rsidDel="00000000" w:rsidR="00000000" w:rsidRPr="00000000">
        <w:rPr>
          <w:rtl w:val="0"/>
        </w:rPr>
        <w:t xml:space="preserve">Once approved, the vanilla dashpackage shall be further refined to properly accommodate the local variability and specifics of each institution. The final dashboard is named as a </w:t>
      </w:r>
      <w:r w:rsidDel="00000000" w:rsidR="00000000" w:rsidRPr="00000000">
        <w:rPr>
          <w:b w:val="1"/>
          <w:bCs w:val="1"/>
          <w:u w:val="single"/>
          <w:rtl w:val="0"/>
        </w:rPr>
        <w:t xml:space="preserve">local dashpackage</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Lato" w:cs="Lato" w:eastAsia="Lato" w:hAnsi="Lato"/>
          <w:color w:val="000000"/>
          <w:sz w:val="22"/>
          <w:szCs w:val="22"/>
          <w:rtl w:val="0"/>
        </w:rPr>
        <w:t xml:space="preserve">The local dashpackage shall then be submitted to the institution for installation, following the institution's current IRB approval workflow</w:t>
      </w:r>
      <w:r w:rsidDel="00000000" w:rsidR="00000000" w:rsidRPr="00000000">
        <w:rPr>
          <w:rtl w:val="0"/>
        </w:rPr>
        <w:t xml:space="preser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Lato" w:cs="Lato" w:eastAsia="Lato" w:hAnsi="Lato"/>
          <w:color w:val="000000"/>
          <w:sz w:val="22"/>
          <w:szCs w:val="22"/>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Lato" w:cs="Lato" w:eastAsia="Lato" w:hAnsi="Lato"/>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spacing w:line="276" w:lineRule="auto"/>
        <w:rPr/>
      </w:pPr>
      <w:bookmarkStart w:colFirst="0" w:colLast="0" w:name="_2jxsxqh" w:id="11"/>
      <w:bookmarkEnd w:id="11"/>
      <w:r w:rsidDel="00000000" w:rsidR="00000000" w:rsidRPr="00000000">
        <w:rPr>
          <w:rtl w:val="0"/>
        </w:rPr>
        <w:t xml:space="preserve">2. </w:t>
      </w:r>
      <w:r w:rsidDel="00000000" w:rsidR="00000000" w:rsidRPr="00000000">
        <w:rPr>
          <w:rtl w:val="0"/>
        </w:rPr>
        <w:t xml:space="preserve">Budget</w: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The total project budget for this Foundational Phase  is separated into a </w:t>
      </w:r>
      <w:r w:rsidDel="00000000" w:rsidR="00000000" w:rsidRPr="00000000">
        <w:rPr>
          <w:b w:val="1"/>
          <w:bCs w:val="1"/>
          <w:sz w:val="24"/>
          <w:szCs w:val="24"/>
          <w:rtl w:val="0"/>
        </w:rPr>
        <w:t xml:space="preserve">Development Phase and an Operational Phase.</w:t>
      </w:r>
      <w:r w:rsidDel="00000000" w:rsidR="00000000" w:rsidRPr="00000000">
        <w:rPr>
          <w:sz w:val="24"/>
          <w:szCs w:val="24"/>
          <w:rtl w:val="0"/>
        </w:rPr>
        <w:t xml:space="preserve"> The Development Phase is estimated to span the project development, </w:t>
      </w:r>
      <w:r w:rsidDel="00000000" w:rsidR="00000000" w:rsidRPr="00000000">
        <w:rPr>
          <w:b w:val="1"/>
          <w:bCs w:val="1"/>
          <w:sz w:val="24"/>
          <w:szCs w:val="24"/>
          <w:rtl w:val="0"/>
        </w:rPr>
        <w:t xml:space="preserve">expected to be one year</w:t>
      </w:r>
      <w:r w:rsidDel="00000000" w:rsidR="00000000" w:rsidRPr="00000000">
        <w:rPr>
          <w:sz w:val="24"/>
          <w:szCs w:val="24"/>
          <w:rtl w:val="0"/>
        </w:rPr>
        <w:t xml:space="preserve">, culminating in the complete implementation, installation, and operational readiness of all system components across the Portuguese public healthcare institutions. Following this, the Operational Phase commences, with core recurring costs revolving around the necessary </w:t>
      </w:r>
      <w:r w:rsidDel="00000000" w:rsidR="00000000" w:rsidRPr="00000000">
        <w:rPr>
          <w:sz w:val="24"/>
          <w:szCs w:val="24"/>
          <w:u w:val="single"/>
          <w:rtl w:val="0"/>
        </w:rPr>
        <w:t xml:space="preserve">annual license fee for the Central Aggregated Registry Infrastructure and the continuous maintenance and update fees for the Dashpackage visualization tool</w:t>
      </w:r>
      <w:r w:rsidDel="00000000" w:rsidR="00000000" w:rsidRPr="00000000">
        <w:rPr>
          <w:sz w:val="24"/>
          <w:szCs w:val="24"/>
          <w:rtl w:val="0"/>
        </w:rPr>
        <w:t xml:space="preserve">, with the possibility of further budgetary discussions on the overall operational structure.</w:t>
      </w:r>
    </w:p>
    <w:p w:rsidR="00000000" w:rsidDel="00000000" w:rsidP="00000000" w:rsidRDefault="00000000" w:rsidRPr="00000000" w14:paraId="0000002F">
      <w:pPr>
        <w:rPr>
          <w:sz w:val="24"/>
          <w:szCs w:val="24"/>
        </w:rPr>
      </w:pPr>
      <w:r w:rsidDel="00000000" w:rsidR="00000000" w:rsidRPr="00000000">
        <w:rPr>
          <w:sz w:val="24"/>
          <w:szCs w:val="24"/>
          <w:rtl w:val="0"/>
        </w:rPr>
        <w:t xml:space="preserve">Allocated budget according to the rate card. The following is the budget for the project activities. All amounts are exclusive of VAT.</w:t>
      </w:r>
    </w:p>
    <w:p w:rsidR="00000000" w:rsidDel="00000000" w:rsidP="00000000" w:rsidRDefault="00000000" w:rsidRPr="00000000" w14:paraId="00000030">
      <w:pPr>
        <w:pStyle w:val="Heading4"/>
        <w:rPr>
          <w:sz w:val="18"/>
          <w:szCs w:val="18"/>
          <w:highlight w:val="yellow"/>
        </w:rPr>
      </w:pPr>
      <w:bookmarkStart w:colFirst="0" w:colLast="0" w:name="_jy0rp3u0vibt" w:id="12"/>
      <w:bookmarkEnd w:id="12"/>
      <w:r w:rsidDel="00000000" w:rsidR="00000000" w:rsidRPr="00000000">
        <w:rPr>
          <w:sz w:val="20"/>
          <w:szCs w:val="20"/>
          <w:rtl w:val="0"/>
        </w:rPr>
        <w:t xml:space="preserve">Table 1: Budget for the project activities for the CAPEX - Development Phase</w:t>
      </w:r>
      <w:r w:rsidDel="00000000" w:rsidR="00000000" w:rsidRPr="00000000">
        <w:rPr>
          <w:rtl w:val="0"/>
        </w:rPr>
      </w:r>
    </w:p>
    <w:tbl>
      <w:tblPr>
        <w:tblStyle w:val="Table2"/>
        <w:tblW w:w="9495.0" w:type="dxa"/>
        <w:jc w:val="left"/>
        <w:tblInd w:w="-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6870"/>
        <w:gridCol w:w="975"/>
        <w:tblGridChange w:id="0">
          <w:tblGrid>
            <w:gridCol w:w="1650"/>
            <w:gridCol w:w="6870"/>
            <w:gridCol w:w="975"/>
          </w:tblGrid>
        </w:tblGridChange>
      </w:tblGrid>
      <w:tr>
        <w:trPr>
          <w:cantSplit w:val="0"/>
          <w:tblHeader w:val="1"/>
        </w:trPr>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31">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Phase</w:t>
            </w:r>
          </w:p>
        </w:tc>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32">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Description</w:t>
            </w:r>
          </w:p>
        </w:tc>
        <w:tc>
          <w:tcPr>
            <w:tcBorders>
              <w:top w:color="005172" w:space="0" w:sz="12" w:val="single"/>
              <w:left w:color="000000" w:space="0" w:sz="0" w:val="nil"/>
              <w:bottom w:color="005172" w:space="0" w:sz="12"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33">
            <w:pPr>
              <w:widowControl w:val="0"/>
              <w:spacing w:after="0" w:line="240" w:lineRule="auto"/>
              <w:jc w:val="right"/>
              <w:rPr>
                <w:color w:val="005172"/>
                <w:sz w:val="18"/>
                <w:szCs w:val="18"/>
              </w:rPr>
            </w:pPr>
            <w:r w:rsidDel="00000000" w:rsidR="00000000" w:rsidRPr="00000000">
              <w:rPr>
                <w:b w:val="1"/>
                <w:bCs w:val="1"/>
                <w:color w:val="005172"/>
                <w:sz w:val="18"/>
                <w:szCs w:val="18"/>
                <w:rtl w:val="0"/>
              </w:rPr>
              <w:t xml:space="preserve">Amount</w:t>
            </w:r>
            <w:r w:rsidDel="00000000" w:rsidR="00000000" w:rsidRPr="00000000">
              <w:rPr>
                <w:rtl w:val="0"/>
              </w:rPr>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34">
            <w:pPr>
              <w:spacing w:after="0" w:lineRule="auto"/>
              <w:rPr>
                <w:sz w:val="18"/>
                <w:szCs w:val="18"/>
              </w:rPr>
            </w:pPr>
            <w:r w:rsidDel="00000000" w:rsidR="00000000" w:rsidRPr="00000000">
              <w:rPr>
                <w:b w:val="1"/>
                <w:bCs w:val="1"/>
                <w:sz w:val="18"/>
                <w:szCs w:val="18"/>
                <w:rtl w:val="0"/>
              </w:rPr>
              <w:t xml:space="preserve">1. Planning</w:t>
            </w:r>
            <w:r w:rsidDel="00000000" w:rsidR="00000000" w:rsidRPr="00000000">
              <w:rPr>
                <w:rtl w:val="0"/>
              </w:rPr>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35">
            <w:pPr>
              <w:spacing w:after="0" w:lineRule="auto"/>
              <w:rPr>
                <w:sz w:val="18"/>
                <w:szCs w:val="18"/>
              </w:rPr>
            </w:pPr>
            <w:r w:rsidDel="00000000" w:rsidR="00000000" w:rsidRPr="00000000">
              <w:rPr>
                <w:sz w:val="18"/>
                <w:szCs w:val="18"/>
                <w:rtl w:val="0"/>
              </w:rPr>
              <w:t xml:space="preserve">Dashpackage Development</w:t>
            </w:r>
          </w:p>
          <w:p w:rsidR="00000000" w:rsidDel="00000000" w:rsidP="00000000" w:rsidRDefault="00000000" w:rsidRPr="00000000" w14:paraId="00000036">
            <w:pPr>
              <w:spacing w:after="0" w:lineRule="auto"/>
              <w:rPr>
                <w:color w:val="666666"/>
                <w:sz w:val="18"/>
                <w:szCs w:val="18"/>
              </w:rPr>
            </w:pPr>
            <w:r w:rsidDel="00000000" w:rsidR="00000000" w:rsidRPr="00000000">
              <w:rPr>
                <w:color w:val="666666"/>
                <w:sz w:val="18"/>
                <w:szCs w:val="18"/>
                <w:rtl w:val="0"/>
              </w:rPr>
              <w:t xml:space="preserve">Considering advanced descriptive epidemiology and the development of complex cohort phenotypes</w:t>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37">
            <w:pPr>
              <w:jc w:val="right"/>
              <w:rPr>
                <w:sz w:val="18"/>
                <w:szCs w:val="18"/>
              </w:rPr>
            </w:pPr>
            <w:r w:rsidDel="00000000" w:rsidR="00000000" w:rsidRPr="00000000">
              <w:rPr>
                <w:rFonts w:ascii="PT Mono" w:cs="PT Mono" w:eastAsia="PT Mono" w:hAnsi="PT Mono"/>
                <w:sz w:val="18"/>
                <w:szCs w:val="18"/>
                <w:rtl w:val="0"/>
              </w:rPr>
              <w:t xml:space="preserve">€ 25 000</w:t>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38">
            <w:pPr>
              <w:spacing w:after="0" w:lineRule="auto"/>
              <w:rPr>
                <w:b w:val="1"/>
                <w:bCs w:val="1"/>
                <w:sz w:val="18"/>
                <w:szCs w:val="18"/>
              </w:rPr>
            </w:pPr>
            <w:r w:rsidDel="00000000" w:rsidR="00000000" w:rsidRPr="00000000">
              <w:rPr>
                <w:b w:val="1"/>
                <w:bCs w:val="1"/>
                <w:sz w:val="18"/>
                <w:szCs w:val="18"/>
                <w:rtl w:val="0"/>
              </w:rPr>
              <w:t xml:space="preserve">3. Central Aggregated Registry Infrastructure Implementation</w:t>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39">
            <w:pPr>
              <w:spacing w:after="0" w:lineRule="auto"/>
              <w:rPr>
                <w:sz w:val="18"/>
                <w:szCs w:val="18"/>
              </w:rPr>
            </w:pPr>
            <w:r w:rsidDel="00000000" w:rsidR="00000000" w:rsidRPr="00000000">
              <w:rPr>
                <w:sz w:val="18"/>
                <w:szCs w:val="18"/>
                <w:rtl w:val="0"/>
              </w:rPr>
              <w:t xml:space="preserve">Central</w:t>
            </w:r>
            <w:r w:rsidDel="00000000" w:rsidR="00000000" w:rsidRPr="00000000">
              <w:rPr>
                <w:sz w:val="18"/>
                <w:szCs w:val="18"/>
                <w:rtl w:val="0"/>
              </w:rPr>
              <w:t xml:space="preserve"> Infrastructure for Processing, Hosting, and Presentation of Aggregated Registry Data License Fee Deployment and Set-up</w:t>
            </w:r>
          </w:p>
          <w:p w:rsidR="00000000" w:rsidDel="00000000" w:rsidP="00000000" w:rsidRDefault="00000000" w:rsidRPr="00000000" w14:paraId="0000003A">
            <w:pPr>
              <w:spacing w:after="0" w:lineRule="auto"/>
              <w:rPr>
                <w:color w:val="666666"/>
                <w:sz w:val="18"/>
                <w:szCs w:val="18"/>
              </w:rPr>
            </w:pPr>
            <w:r w:rsidDel="00000000" w:rsidR="00000000" w:rsidRPr="00000000">
              <w:rPr>
                <w:color w:val="666666"/>
                <w:sz w:val="18"/>
                <w:szCs w:val="18"/>
                <w:rtl w:val="0"/>
              </w:rPr>
              <w:t xml:space="preserve">Includes the deployment, configuration, and maintenance of the Central Aggregated Registry Infrastructure within the SPC. This infrastructure provides a secure environment for processing, hosting, and presenting aggregated data. This also includes the necessary technical support for each participating center, ensuring the registry analysis can run successfully and securely communicate results.</w:t>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3B">
            <w:pPr>
              <w:jc w:val="right"/>
              <w:rPr>
                <w:sz w:val="18"/>
                <w:szCs w:val="18"/>
              </w:rPr>
            </w:pPr>
            <w:r w:rsidDel="00000000" w:rsidR="00000000" w:rsidRPr="00000000">
              <w:rPr>
                <w:rFonts w:ascii="PT Mono" w:cs="PT Mono" w:eastAsia="PT Mono" w:hAnsi="PT Mono"/>
                <w:sz w:val="18"/>
                <w:szCs w:val="18"/>
                <w:rtl w:val="0"/>
              </w:rPr>
              <w:t xml:space="preserve">€  10 000</w:t>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3C">
            <w:pPr>
              <w:spacing w:after="0" w:lineRule="auto"/>
              <w:rPr>
                <w:b w:val="1"/>
                <w:bCs w:val="1"/>
                <w:sz w:val="18"/>
                <w:szCs w:val="18"/>
              </w:rPr>
            </w:pPr>
            <w:r w:rsidDel="00000000" w:rsidR="00000000" w:rsidRPr="00000000">
              <w:rPr>
                <w:b w:val="1"/>
                <w:bCs w:val="1"/>
                <w:sz w:val="18"/>
                <w:szCs w:val="18"/>
                <w:rtl w:val="0"/>
              </w:rPr>
              <w:t xml:space="preserve">4. Registry System Execution</w:t>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3D">
            <w:pPr>
              <w:spacing w:after="0" w:lineRule="auto"/>
              <w:rPr>
                <w:sz w:val="18"/>
                <w:szCs w:val="18"/>
              </w:rPr>
            </w:pPr>
            <w:r w:rsidDel="00000000" w:rsidR="00000000" w:rsidRPr="00000000">
              <w:rPr>
                <w:sz w:val="18"/>
                <w:szCs w:val="18"/>
                <w:rtl w:val="0"/>
              </w:rPr>
              <w:t xml:space="preserve">Dashpackage configuration and Refinements based on first results </w:t>
            </w:r>
          </w:p>
          <w:p w:rsidR="00000000" w:rsidDel="00000000" w:rsidP="00000000" w:rsidRDefault="00000000" w:rsidRPr="00000000" w14:paraId="0000003E">
            <w:pPr>
              <w:spacing w:after="0" w:lineRule="auto"/>
              <w:rPr>
                <w:color w:val="666666"/>
                <w:sz w:val="18"/>
                <w:szCs w:val="18"/>
              </w:rPr>
            </w:pPr>
            <w:r w:rsidDel="00000000" w:rsidR="00000000" w:rsidRPr="00000000">
              <w:rPr>
                <w:color w:val="666666"/>
                <w:sz w:val="18"/>
                <w:szCs w:val="18"/>
                <w:rtl w:val="0"/>
              </w:rPr>
              <w:t xml:space="preserve">Tailoring and setting up the DashPackage and data extraction scripts for each of the five participating clinical centers.Iterative refinement of the aggregation model based on the initial data output received from the participating centers.</w:t>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3F">
            <w:pPr>
              <w:jc w:val="right"/>
              <w:rPr>
                <w:sz w:val="18"/>
                <w:szCs w:val="18"/>
              </w:rPr>
            </w:pPr>
            <w:r w:rsidDel="00000000" w:rsidR="00000000" w:rsidRPr="00000000">
              <w:rPr>
                <w:rFonts w:ascii="PT Mono" w:cs="PT Mono" w:eastAsia="PT Mono" w:hAnsi="PT Mono"/>
                <w:sz w:val="18"/>
                <w:szCs w:val="18"/>
                <w:rtl w:val="0"/>
              </w:rPr>
              <w:t xml:space="preserve">€ 6.500</w:t>
            </w:r>
          </w:p>
        </w:tc>
      </w:tr>
      <w:tr>
        <w:trPr>
          <w:cantSplit w:val="0"/>
          <w:trHeight w:val="288.88888888888823" w:hRule="atLeast"/>
          <w:tblHeader w:val="0"/>
        </w:trPr>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40">
            <w:pPr>
              <w:widowControl w:val="0"/>
              <w:spacing w:after="0" w:line="240" w:lineRule="auto"/>
              <w:rPr>
                <w:b w:val="1"/>
                <w:bCs w:val="1"/>
                <w:color w:val="005172"/>
                <w:sz w:val="18"/>
                <w:szCs w:val="18"/>
              </w:rPr>
            </w:pPr>
            <w:r w:rsidDel="00000000" w:rsidR="00000000" w:rsidRPr="00000000">
              <w:rPr>
                <w:rtl w:val="0"/>
              </w:rPr>
            </w:r>
          </w:p>
        </w:tc>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41">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Total</w:t>
            </w:r>
          </w:p>
        </w:tc>
        <w:tc>
          <w:tcPr>
            <w:tcBorders>
              <w:top w:color="005172" w:space="0" w:sz="12" w:val="single"/>
              <w:left w:color="000000" w:space="0" w:sz="0" w:val="nil"/>
              <w:bottom w:color="005172" w:space="0" w:sz="12"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42">
            <w:pPr>
              <w:widowControl w:val="0"/>
              <w:spacing w:after="0" w:line="240" w:lineRule="auto"/>
              <w:jc w:val="right"/>
              <w:rPr>
                <w:b w:val="1"/>
                <w:bCs w:val="1"/>
                <w:color w:val="005172"/>
                <w:sz w:val="18"/>
                <w:szCs w:val="18"/>
              </w:rPr>
            </w:pPr>
            <w:r w:rsidDel="00000000" w:rsidR="00000000" w:rsidRPr="00000000">
              <w:rPr>
                <w:rFonts w:ascii="PT Mono" w:cs="PT Mono" w:eastAsia="PT Mono" w:hAnsi="PT Mono"/>
                <w:b w:val="1"/>
                <w:bCs w:val="1"/>
                <w:color w:val="005172"/>
                <w:sz w:val="18"/>
                <w:szCs w:val="18"/>
                <w:rtl w:val="0"/>
              </w:rPr>
              <w:t xml:space="preserve">€ 41 500</w:t>
            </w:r>
          </w:p>
        </w:tc>
      </w:tr>
    </w:tbl>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4"/>
        <w:rPr>
          <w:sz w:val="18"/>
          <w:szCs w:val="18"/>
        </w:rPr>
      </w:pPr>
      <w:bookmarkStart w:colFirst="0" w:colLast="0" w:name="_3ykmibc6apn4" w:id="13"/>
      <w:bookmarkEnd w:id="13"/>
      <w:r w:rsidDel="00000000" w:rsidR="00000000" w:rsidRPr="00000000">
        <w:rPr>
          <w:sz w:val="20"/>
          <w:szCs w:val="20"/>
          <w:rtl w:val="0"/>
        </w:rPr>
        <w:t xml:space="preserve">Table 2: Budget for the Project activities for the OPEX - Operational Phase (after implementation)</w:t>
      </w:r>
      <w:r w:rsidDel="00000000" w:rsidR="00000000" w:rsidRPr="00000000">
        <w:rPr>
          <w:rtl w:val="0"/>
        </w:rPr>
      </w:r>
    </w:p>
    <w:tbl>
      <w:tblPr>
        <w:tblStyle w:val="Table3"/>
        <w:tblW w:w="9555.0" w:type="dxa"/>
        <w:jc w:val="left"/>
        <w:tblInd w:w="-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6900"/>
        <w:gridCol w:w="1050"/>
        <w:tblGridChange w:id="0">
          <w:tblGrid>
            <w:gridCol w:w="1605"/>
            <w:gridCol w:w="6900"/>
            <w:gridCol w:w="1050"/>
          </w:tblGrid>
        </w:tblGridChange>
      </w:tblGrid>
      <w:tr>
        <w:trPr>
          <w:cantSplit w:val="0"/>
          <w:tblHeader w:val="1"/>
        </w:trPr>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46">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Phase</w:t>
            </w:r>
          </w:p>
        </w:tc>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47">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Description</w:t>
            </w:r>
          </w:p>
        </w:tc>
        <w:tc>
          <w:tcPr>
            <w:tcBorders>
              <w:top w:color="005172" w:space="0" w:sz="12" w:val="single"/>
              <w:left w:color="000000" w:space="0" w:sz="0" w:val="nil"/>
              <w:bottom w:color="005172" w:space="0" w:sz="12"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48">
            <w:pPr>
              <w:widowControl w:val="0"/>
              <w:spacing w:after="0" w:line="240" w:lineRule="auto"/>
              <w:jc w:val="right"/>
              <w:rPr>
                <w:color w:val="005172"/>
                <w:sz w:val="18"/>
                <w:szCs w:val="18"/>
              </w:rPr>
            </w:pPr>
            <w:r w:rsidDel="00000000" w:rsidR="00000000" w:rsidRPr="00000000">
              <w:rPr>
                <w:b w:val="1"/>
                <w:bCs w:val="1"/>
                <w:color w:val="005172"/>
                <w:sz w:val="18"/>
                <w:szCs w:val="18"/>
                <w:rtl w:val="0"/>
              </w:rPr>
              <w:t xml:space="preserve">Amount</w:t>
            </w:r>
            <w:r w:rsidDel="00000000" w:rsidR="00000000" w:rsidRPr="00000000">
              <w:rPr>
                <w:rtl w:val="0"/>
              </w:rPr>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49">
            <w:pPr>
              <w:spacing w:after="0" w:lineRule="auto"/>
              <w:rPr>
                <w:b w:val="1"/>
                <w:bCs w:val="1"/>
                <w:sz w:val="18"/>
                <w:szCs w:val="18"/>
              </w:rPr>
            </w:pPr>
            <w:r w:rsidDel="00000000" w:rsidR="00000000" w:rsidRPr="00000000">
              <w:rPr>
                <w:b w:val="1"/>
                <w:bCs w:val="1"/>
                <w:sz w:val="18"/>
                <w:szCs w:val="18"/>
                <w:rtl w:val="0"/>
              </w:rPr>
              <w:t xml:space="preserve">3. Central Aggregated Registry Infrastructure Support</w:t>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4A">
            <w:pPr>
              <w:spacing w:after="0" w:lineRule="auto"/>
              <w:rPr>
                <w:sz w:val="18"/>
                <w:szCs w:val="18"/>
              </w:rPr>
            </w:pPr>
            <w:r w:rsidDel="00000000" w:rsidR="00000000" w:rsidRPr="00000000">
              <w:rPr>
                <w:sz w:val="18"/>
                <w:szCs w:val="18"/>
                <w:rtl w:val="0"/>
              </w:rPr>
              <w:t xml:space="preserve">Central Infrastructure for Processing, Hosting, and Presentation of Aggregated Registry Data License Fee </w:t>
            </w:r>
          </w:p>
          <w:p w:rsidR="00000000" w:rsidDel="00000000" w:rsidP="00000000" w:rsidRDefault="00000000" w:rsidRPr="00000000" w14:paraId="0000004B">
            <w:pPr>
              <w:spacing w:after="0" w:lineRule="auto"/>
              <w:rPr>
                <w:color w:val="666666"/>
                <w:sz w:val="18"/>
                <w:szCs w:val="18"/>
              </w:rPr>
            </w:pPr>
            <w:r w:rsidDel="00000000" w:rsidR="00000000" w:rsidRPr="00000000">
              <w:rPr>
                <w:color w:val="666666"/>
                <w:sz w:val="18"/>
                <w:szCs w:val="18"/>
                <w:rtl w:val="0"/>
              </w:rPr>
              <w:t xml:space="preserve">A fixed service fee covering the hosting, maintenance, and operational support for the Central Aggregated Registry Infrastructure in SPC.</w:t>
            </w:r>
          </w:p>
          <w:p w:rsidR="00000000" w:rsidDel="00000000" w:rsidP="00000000" w:rsidRDefault="00000000" w:rsidRPr="00000000" w14:paraId="0000004C">
            <w:pPr>
              <w:spacing w:after="0" w:lineRule="auto"/>
              <w:rPr>
                <w:color w:val="666666"/>
                <w:sz w:val="18"/>
                <w:szCs w:val="18"/>
              </w:rPr>
            </w:pPr>
            <w:r w:rsidDel="00000000" w:rsidR="00000000" w:rsidRPr="00000000">
              <w:rPr>
                <w:color w:val="666666"/>
                <w:sz w:val="18"/>
                <w:szCs w:val="18"/>
                <w:rtl w:val="0"/>
              </w:rPr>
              <w:t xml:space="preserve">This total fee is calculated to cover the full support workload across all participating healthcare centers for the project duration. This includes all monitoring and incident triage for the centralized environment, as well as providing the necessary technical support for the local component to ensure reliable data processing.</w:t>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4D">
            <w:pPr>
              <w:jc w:val="right"/>
              <w:rPr>
                <w:sz w:val="18"/>
                <w:szCs w:val="18"/>
              </w:rPr>
            </w:pPr>
            <w:r w:rsidDel="00000000" w:rsidR="00000000" w:rsidRPr="00000000">
              <w:rPr>
                <w:rFonts w:ascii="PT Mono" w:cs="PT Mono" w:eastAsia="PT Mono" w:hAnsi="PT Mono"/>
                <w:sz w:val="18"/>
                <w:szCs w:val="18"/>
                <w:rtl w:val="0"/>
              </w:rPr>
              <w:t xml:space="preserve">€ 10 000</w:t>
            </w:r>
          </w:p>
        </w:tc>
      </w:tr>
      <w:tr>
        <w:trPr>
          <w:cantSplit w:val="0"/>
          <w:tblHeader w:val="0"/>
        </w:trPr>
        <w:tc>
          <w:tcPr>
            <w:tcBorders>
              <w:top w:color="000000" w:space="0" w:sz="4" w:val="single"/>
              <w:left w:color="ffffff" w:space="0" w:sz="6" w:val="single"/>
              <w:bottom w:color="000000" w:space="0" w:sz="0" w:val="nil"/>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4E">
            <w:pPr>
              <w:spacing w:after="0" w:lineRule="auto"/>
              <w:rPr>
                <w:b w:val="1"/>
                <w:bCs w:val="1"/>
                <w:sz w:val="18"/>
                <w:szCs w:val="18"/>
              </w:rPr>
            </w:pPr>
            <w:r w:rsidDel="00000000" w:rsidR="00000000" w:rsidRPr="00000000">
              <w:rPr>
                <w:b w:val="1"/>
                <w:bCs w:val="1"/>
                <w:sz w:val="18"/>
                <w:szCs w:val="18"/>
                <w:rtl w:val="0"/>
              </w:rPr>
              <w:t xml:space="preserve">4. Dashpackage Support</w:t>
            </w:r>
            <w:r w:rsidDel="00000000" w:rsidR="00000000" w:rsidRPr="00000000">
              <w:rPr>
                <w:rtl w:val="0"/>
              </w:rPr>
            </w:r>
          </w:p>
        </w:tc>
        <w:tc>
          <w:tcPr>
            <w:tcBorders>
              <w:top w:color="000000" w:space="0" w:sz="4" w:val="single"/>
              <w:left w:color="ffffff" w:space="0" w:sz="6" w:val="single"/>
              <w:bottom w:color="cccccc" w:space="0" w:sz="4"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4F">
            <w:pPr>
              <w:spacing w:after="0" w:lineRule="auto"/>
              <w:rPr>
                <w:sz w:val="18"/>
                <w:szCs w:val="18"/>
              </w:rPr>
            </w:pPr>
            <w:r w:rsidDel="00000000" w:rsidR="00000000" w:rsidRPr="00000000">
              <w:rPr>
                <w:sz w:val="18"/>
                <w:szCs w:val="18"/>
                <w:rtl w:val="0"/>
              </w:rPr>
              <w:t xml:space="preserve">Dashpackage Sustaining and Update Support</w:t>
            </w:r>
          </w:p>
          <w:p w:rsidR="00000000" w:rsidDel="00000000" w:rsidP="00000000" w:rsidRDefault="00000000" w:rsidRPr="00000000" w14:paraId="00000050">
            <w:pPr>
              <w:spacing w:after="0" w:lineRule="auto"/>
              <w:rPr>
                <w:b w:val="1"/>
                <w:bCs w:val="1"/>
                <w:sz w:val="18"/>
                <w:szCs w:val="18"/>
              </w:rPr>
            </w:pPr>
            <w:r w:rsidDel="00000000" w:rsidR="00000000" w:rsidRPr="00000000">
              <w:rPr>
                <w:color w:val="666666"/>
                <w:sz w:val="18"/>
                <w:szCs w:val="18"/>
                <w:rtl w:val="0"/>
              </w:rPr>
              <w:t xml:space="preserve">Annual fixed fee covering minor feature updates for the Dashpackage codebase (analytical modules and visualization layer). This fee ensures the continuous operational reliability, compatibility with aggregated data schema changes, and application of periodic security updates to the dashboard environment.</w:t>
            </w:r>
            <w:r w:rsidDel="00000000" w:rsidR="00000000" w:rsidRPr="00000000">
              <w:rPr>
                <w:rtl w:val="0"/>
              </w:rPr>
            </w:r>
          </w:p>
        </w:tc>
        <w:tc>
          <w:tcPr>
            <w:tcBorders>
              <w:top w:color="000000" w:space="0" w:sz="4" w:val="single"/>
              <w:left w:color="000000" w:space="0" w:sz="0" w:val="nil"/>
              <w:bottom w:color="cccccc" w:space="0" w:sz="4"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51">
            <w:pPr>
              <w:jc w:val="right"/>
              <w:rPr>
                <w:sz w:val="18"/>
                <w:szCs w:val="18"/>
              </w:rPr>
            </w:pPr>
            <w:r w:rsidDel="00000000" w:rsidR="00000000" w:rsidRPr="00000000">
              <w:rPr>
                <w:rFonts w:ascii="PT Mono" w:cs="PT Mono" w:eastAsia="PT Mono" w:hAnsi="PT Mono"/>
                <w:sz w:val="18"/>
                <w:szCs w:val="18"/>
                <w:rtl w:val="0"/>
              </w:rPr>
              <w:t xml:space="preserve">€ 1,500</w:t>
            </w:r>
            <w:r w:rsidDel="00000000" w:rsidR="00000000" w:rsidRPr="00000000">
              <w:rPr>
                <w:rtl w:val="0"/>
              </w:rPr>
            </w:r>
          </w:p>
        </w:tc>
      </w:tr>
      <w:tr>
        <w:trPr>
          <w:cantSplit w:val="0"/>
          <w:trHeight w:val="288.88888888888823" w:hRule="atLeast"/>
          <w:tblHeader w:val="0"/>
        </w:trPr>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52">
            <w:pPr>
              <w:widowControl w:val="0"/>
              <w:spacing w:after="0" w:line="240" w:lineRule="auto"/>
              <w:rPr>
                <w:b w:val="1"/>
                <w:bCs w:val="1"/>
                <w:color w:val="005172"/>
                <w:sz w:val="18"/>
                <w:szCs w:val="18"/>
              </w:rPr>
            </w:pPr>
            <w:r w:rsidDel="00000000" w:rsidR="00000000" w:rsidRPr="00000000">
              <w:rPr>
                <w:rtl w:val="0"/>
              </w:rPr>
            </w:r>
          </w:p>
        </w:tc>
        <w:tc>
          <w:tcPr>
            <w:tcBorders>
              <w:top w:color="005172" w:space="0" w:sz="12" w:val="single"/>
              <w:left w:color="ffffff" w:space="0" w:sz="6" w:val="single"/>
              <w:bottom w:color="005172" w:space="0" w:sz="12" w:val="single"/>
              <w:right w:color="000000" w:space="0" w:sz="0" w:val="nil"/>
            </w:tcBorders>
            <w:tcMar>
              <w:top w:w="57.599999999999994" w:type="dxa"/>
              <w:left w:w="57.599999999999994" w:type="dxa"/>
              <w:bottom w:w="57.599999999999994" w:type="dxa"/>
              <w:right w:w="57.599999999999994" w:type="dxa"/>
            </w:tcMar>
          </w:tcPr>
          <w:p w:rsidR="00000000" w:rsidDel="00000000" w:rsidP="00000000" w:rsidRDefault="00000000" w:rsidRPr="00000000" w14:paraId="00000053">
            <w:pPr>
              <w:widowControl w:val="0"/>
              <w:spacing w:after="0" w:line="240" w:lineRule="auto"/>
              <w:rPr>
                <w:b w:val="1"/>
                <w:bCs w:val="1"/>
                <w:color w:val="005172"/>
                <w:sz w:val="18"/>
                <w:szCs w:val="18"/>
              </w:rPr>
            </w:pPr>
            <w:r w:rsidDel="00000000" w:rsidR="00000000" w:rsidRPr="00000000">
              <w:rPr>
                <w:b w:val="1"/>
                <w:bCs w:val="1"/>
                <w:color w:val="005172"/>
                <w:sz w:val="18"/>
                <w:szCs w:val="18"/>
                <w:rtl w:val="0"/>
              </w:rPr>
              <w:t xml:space="preserve">Total</w:t>
            </w:r>
          </w:p>
        </w:tc>
        <w:tc>
          <w:tcPr>
            <w:tcBorders>
              <w:top w:color="005172" w:space="0" w:sz="12" w:val="single"/>
              <w:left w:color="000000" w:space="0" w:sz="0" w:val="nil"/>
              <w:bottom w:color="005172" w:space="0" w:sz="12" w:val="single"/>
              <w:right w:color="ffffff" w:space="0" w:sz="6" w:val="single"/>
            </w:tcBorders>
            <w:tcMar>
              <w:top w:w="57.599999999999994" w:type="dxa"/>
              <w:left w:w="57.599999999999994" w:type="dxa"/>
              <w:bottom w:w="57.599999999999994" w:type="dxa"/>
              <w:right w:w="57.599999999999994" w:type="dxa"/>
            </w:tcMar>
          </w:tcPr>
          <w:p w:rsidR="00000000" w:rsidDel="00000000" w:rsidP="00000000" w:rsidRDefault="00000000" w:rsidRPr="00000000" w14:paraId="00000054">
            <w:pPr>
              <w:widowControl w:val="0"/>
              <w:spacing w:after="0" w:line="240" w:lineRule="auto"/>
              <w:jc w:val="right"/>
              <w:rPr>
                <w:b w:val="1"/>
                <w:bCs w:val="1"/>
                <w:color w:val="005172"/>
                <w:sz w:val="18"/>
                <w:szCs w:val="18"/>
              </w:rPr>
            </w:pPr>
            <w:r w:rsidDel="00000000" w:rsidR="00000000" w:rsidRPr="00000000">
              <w:rPr>
                <w:rFonts w:ascii="PT Mono" w:cs="PT Mono" w:eastAsia="PT Mono" w:hAnsi="PT Mono"/>
                <w:b w:val="1"/>
                <w:bCs w:val="1"/>
                <w:color w:val="005172"/>
                <w:sz w:val="18"/>
                <w:szCs w:val="18"/>
                <w:rtl w:val="0"/>
              </w:rPr>
              <w:t xml:space="preserve">€ 11 500</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4"/>
        <w:rPr>
          <w:sz w:val="20"/>
          <w:szCs w:val="20"/>
        </w:rPr>
      </w:pPr>
      <w:bookmarkStart w:colFirst="0" w:colLast="0" w:name="_45orgvtw86tu" w:id="14"/>
      <w:bookmarkEnd w:id="14"/>
      <w:r w:rsidDel="00000000" w:rsidR="00000000" w:rsidRPr="00000000">
        <w:rPr>
          <w:sz w:val="20"/>
          <w:szCs w:val="20"/>
          <w:rtl w:val="0"/>
        </w:rPr>
        <w:t xml:space="preserve">Remarks:</w:t>
      </w:r>
    </w:p>
    <w:p w:rsidR="00000000" w:rsidDel="00000000" w:rsidP="00000000" w:rsidRDefault="00000000" w:rsidRPr="00000000" w14:paraId="00000058">
      <w:pPr>
        <w:ind w:left="0" w:firstLine="0"/>
        <w:rPr>
          <w:b w:val="0"/>
          <w:bCs w:val="0"/>
        </w:rPr>
      </w:pPr>
      <w:r w:rsidDel="00000000" w:rsidR="00000000" w:rsidRPr="00000000">
        <w:rPr>
          <w:b w:val="0"/>
          <w:bCs w:val="0"/>
          <w:rtl w:val="0"/>
        </w:rPr>
        <w:t xml:space="preserve">The proposed budget for the </w:t>
      </w:r>
      <w:r w:rsidDel="00000000" w:rsidR="00000000" w:rsidRPr="00000000">
        <w:rPr>
          <w:b w:val="0"/>
          <w:bCs w:val="0"/>
          <w:u w:val="single"/>
          <w:rtl w:val="0"/>
        </w:rPr>
        <w:t xml:space="preserve">Central Aggregated Registry Infrastructure assumes deployment onto an existing infrastructure environment managed by </w:t>
      </w:r>
      <w:r w:rsidDel="00000000" w:rsidR="00000000" w:rsidRPr="00000000">
        <w:rPr>
          <w:u w:val="single"/>
          <w:rtl w:val="0"/>
        </w:rPr>
        <w:t xml:space="preserve">SPC</w:t>
      </w:r>
      <w:r w:rsidDel="00000000" w:rsidR="00000000" w:rsidRPr="00000000">
        <w:rPr>
          <w:b w:val="0"/>
          <w:bCs w:val="0"/>
          <w:u w:val="single"/>
          <w:rtl w:val="0"/>
        </w:rPr>
        <w:t xml:space="preserve">.</w:t>
      </w:r>
      <w:r w:rsidDel="00000000" w:rsidR="00000000" w:rsidRPr="00000000">
        <w:rPr>
          <w:b w:val="0"/>
          <w:bCs w:val="0"/>
          <w:rtl w:val="0"/>
        </w:rPr>
        <w:t xml:space="preserve"> This deployment model is based on one of two scenarios: either on-premise, leveraging an </w:t>
      </w:r>
      <w:r w:rsidDel="00000000" w:rsidR="00000000" w:rsidRPr="00000000">
        <w:rPr>
          <w:rtl w:val="0"/>
        </w:rPr>
        <w:t xml:space="preserve">SPC</w:t>
      </w:r>
      <w:r w:rsidDel="00000000" w:rsidR="00000000" w:rsidRPr="00000000">
        <w:rPr>
          <w:b w:val="0"/>
          <w:bCs w:val="0"/>
          <w:rtl w:val="0"/>
        </w:rPr>
        <w:t xml:space="preserve">-owned server, or within a specific cloud tenant instance already controlled by </w:t>
      </w:r>
      <w:r w:rsidDel="00000000" w:rsidR="00000000" w:rsidRPr="00000000">
        <w:rPr>
          <w:rtl w:val="0"/>
        </w:rPr>
        <w:t xml:space="preserve">SPC</w:t>
      </w:r>
      <w:r w:rsidDel="00000000" w:rsidR="00000000" w:rsidRPr="00000000">
        <w:rPr>
          <w:b w:val="0"/>
          <w:bCs w:val="0"/>
          <w:rtl w:val="0"/>
        </w:rPr>
        <w:t xml:space="preserve">. Should the project require MTG to provision, configure, or secure new dedicated cloud resources, acquire new hardware (server/storage), or assume responsibility for </w:t>
      </w:r>
      <w:r w:rsidDel="00000000" w:rsidR="00000000" w:rsidRPr="00000000">
        <w:rPr>
          <w:rtl w:val="0"/>
        </w:rPr>
        <w:t xml:space="preserve">SPC</w:t>
      </w:r>
      <w:r w:rsidDel="00000000" w:rsidR="00000000" w:rsidRPr="00000000">
        <w:rPr>
          <w:b w:val="0"/>
          <w:bCs w:val="0"/>
          <w:rtl w:val="0"/>
        </w:rPr>
        <w:t xml:space="preserve">'s ongoing cloud consumption costs, a subsequent reassessment of the budget will be required to incorporate these additional expenses.</w:t>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pStyle w:val="Heading4"/>
        <w:rPr>
          <w:sz w:val="20"/>
          <w:szCs w:val="20"/>
        </w:rPr>
      </w:pPr>
      <w:bookmarkStart w:colFirst="0" w:colLast="0" w:name="_sldsxtjyehtn" w:id="15"/>
      <w:bookmarkEnd w:id="15"/>
      <w:r w:rsidDel="00000000" w:rsidR="00000000" w:rsidRPr="00000000">
        <w:rPr>
          <w:rtl w:val="0"/>
        </w:rPr>
      </w:r>
    </w:p>
    <w:p w:rsidR="00000000" w:rsidDel="00000000" w:rsidP="00000000" w:rsidRDefault="00000000" w:rsidRPr="00000000" w14:paraId="0000005B">
      <w:pPr>
        <w:pStyle w:val="Heading4"/>
        <w:rPr>
          <w:rFonts w:ascii="Arial" w:cs="Arial" w:eastAsia="Arial" w:hAnsi="Arial"/>
          <w:color w:val="1f1f1f"/>
          <w:sz w:val="24"/>
          <w:szCs w:val="24"/>
          <w:highlight w:val="white"/>
        </w:rPr>
      </w:pPr>
      <w:bookmarkStart w:colFirst="0" w:colLast="0" w:name="_1mf67ku36vdn" w:id="16"/>
      <w:bookmarkEnd w:id="16"/>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4"/>
        <w:rPr>
          <w:sz w:val="20"/>
          <w:szCs w:val="20"/>
        </w:rPr>
      </w:pPr>
      <w:bookmarkStart w:colFirst="0" w:colLast="0" w:name="_ec5xawg84hv0" w:id="17"/>
      <w:bookmarkEnd w:id="17"/>
      <w:r w:rsidDel="00000000" w:rsidR="00000000" w:rsidRPr="00000000">
        <w:rPr>
          <w:rtl w:val="0"/>
        </w:rPr>
      </w:r>
    </w:p>
    <w:p w:rsidR="00000000" w:rsidDel="00000000" w:rsidP="00000000" w:rsidRDefault="00000000" w:rsidRPr="00000000" w14:paraId="0000005D">
      <w:pPr>
        <w:pStyle w:val="Heading4"/>
        <w:rPr>
          <w:sz w:val="20"/>
          <w:szCs w:val="20"/>
        </w:rPr>
      </w:pPr>
      <w:bookmarkStart w:colFirst="0" w:colLast="0" w:name="_1y810tw" w:id="18"/>
      <w:bookmarkEnd w:id="18"/>
      <w:r w:rsidDel="00000000" w:rsidR="00000000" w:rsidRPr="00000000">
        <w:rPr>
          <w:sz w:val="20"/>
          <w:szCs w:val="20"/>
          <w:rtl w:val="0"/>
        </w:rPr>
        <w:t xml:space="preserve">Table 2: Budget Summary for the Project.</w:t>
      </w:r>
    </w:p>
    <w:tbl>
      <w:tblPr>
        <w:tblStyle w:val="Table4"/>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80"/>
        <w:gridCol w:w="3030"/>
        <w:tblGridChange w:id="0">
          <w:tblGrid>
            <w:gridCol w:w="6480"/>
            <w:gridCol w:w="3030"/>
          </w:tblGrid>
        </w:tblGridChange>
      </w:tblGrid>
      <w:tr>
        <w:trPr>
          <w:cantSplit w:val="0"/>
          <w:trHeight w:val="450" w:hRule="atLeast"/>
          <w:tblHeader w:val="0"/>
        </w:trPr>
        <w:tc>
          <w:tcPr>
            <w:tcBorders>
              <w:top w:color="005172" w:space="0" w:sz="4" w:val="single"/>
              <w:left w:color="ffffff" w:space="0" w:sz="4" w:val="single"/>
              <w:bottom w:color="005172"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05E">
            <w:pPr>
              <w:widowControl w:val="0"/>
              <w:spacing w:after="0" w:line="276" w:lineRule="auto"/>
              <w:rPr>
                <w:rFonts w:ascii="Calibri" w:cs="Calibri" w:eastAsia="Calibri" w:hAnsi="Calibri"/>
              </w:rPr>
            </w:pPr>
            <w:r w:rsidDel="00000000" w:rsidR="00000000" w:rsidRPr="00000000">
              <w:rPr>
                <w:b w:val="1"/>
                <w:bCs w:val="1"/>
                <w:color w:val="005172"/>
                <w:sz w:val="18"/>
                <w:szCs w:val="18"/>
                <w:rtl w:val="0"/>
              </w:rPr>
              <w:t xml:space="preserve">Summary</w:t>
            </w:r>
            <w:r w:rsidDel="00000000" w:rsidR="00000000" w:rsidRPr="00000000">
              <w:rPr>
                <w:rtl w:val="0"/>
              </w:rPr>
            </w:r>
          </w:p>
        </w:tc>
        <w:tc>
          <w:tcPr>
            <w:tcBorders>
              <w:top w:color="005172" w:space="0" w:sz="4" w:val="single"/>
              <w:left w:color="000000" w:space="0" w:sz="0" w:val="nil"/>
              <w:bottom w:color="005172"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after="0" w:line="276" w:lineRule="auto"/>
              <w:jc w:val="right"/>
              <w:rPr>
                <w:rFonts w:ascii="Calibri" w:cs="Calibri" w:eastAsia="Calibri" w:hAnsi="Calibri"/>
              </w:rPr>
            </w:pPr>
            <w:r w:rsidDel="00000000" w:rsidR="00000000" w:rsidRPr="00000000">
              <w:rPr>
                <w:b w:val="1"/>
                <w:bCs w:val="1"/>
                <w:color w:val="005172"/>
                <w:sz w:val="18"/>
                <w:szCs w:val="18"/>
                <w:rtl w:val="0"/>
              </w:rPr>
              <w:t xml:space="preserve">Total</w:t>
            </w:r>
            <w:r w:rsidDel="00000000" w:rsidR="00000000" w:rsidRPr="00000000">
              <w:rPr>
                <w:rtl w:val="0"/>
              </w:rPr>
            </w:r>
          </w:p>
        </w:tc>
      </w:tr>
      <w:tr>
        <w:trPr>
          <w:cantSplit w:val="0"/>
          <w:trHeight w:val="450" w:hRule="atLeast"/>
          <w:tblHeader w:val="0"/>
        </w:trPr>
        <w:tc>
          <w:tcPr>
            <w:tcBorders>
              <w:top w:color="000000" w:space="0" w:sz="0" w:val="nil"/>
              <w:left w:color="ffffff" w:space="0" w:sz="4" w:val="single"/>
              <w:bottom w:color="000000" w:space="0" w:sz="0" w:val="nil"/>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060">
            <w:pPr>
              <w:widowControl w:val="0"/>
              <w:spacing w:after="0" w:line="276" w:lineRule="auto"/>
              <w:rPr>
                <w:rFonts w:ascii="Calibri" w:cs="Calibri" w:eastAsia="Calibri" w:hAnsi="Calibri"/>
              </w:rPr>
            </w:pPr>
            <w:r w:rsidDel="00000000" w:rsidR="00000000" w:rsidRPr="00000000">
              <w:rPr>
                <w:sz w:val="18"/>
                <w:szCs w:val="18"/>
                <w:rtl w:val="0"/>
              </w:rPr>
              <w:t xml:space="preserve">Total Cost Activities</w:t>
            </w:r>
            <w:r w:rsidDel="00000000" w:rsidR="00000000" w:rsidRPr="00000000">
              <w:rPr>
                <w:rtl w:val="0"/>
              </w:rPr>
            </w:r>
          </w:p>
        </w:tc>
        <w:tc>
          <w:tcPr>
            <w:tcBorders>
              <w:top w:color="000000" w:space="0" w:sz="0" w:val="nil"/>
              <w:left w:color="000000" w:space="0" w:sz="0" w:val="nil"/>
              <w:bottom w:color="000000" w:space="0" w:sz="0" w:val="nil"/>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1">
            <w:pPr>
              <w:widowControl w:val="0"/>
              <w:spacing w:after="0" w:line="276" w:lineRule="auto"/>
              <w:jc w:val="right"/>
              <w:rPr>
                <w:rFonts w:ascii="Calibri" w:cs="Calibri" w:eastAsia="Calibri" w:hAnsi="Calibri"/>
              </w:rPr>
            </w:pPr>
            <w:r w:rsidDel="00000000" w:rsidR="00000000" w:rsidRPr="00000000">
              <w:rPr>
                <w:rFonts w:ascii="Calibri" w:cs="Calibri" w:eastAsia="Calibri" w:hAnsi="Calibri"/>
                <w:rtl w:val="0"/>
              </w:rPr>
              <w:t xml:space="preserve">€ 41 500</w:t>
            </w:r>
          </w:p>
        </w:tc>
      </w:tr>
      <w:tr>
        <w:trPr>
          <w:cantSplit w:val="0"/>
          <w:trHeight w:val="450" w:hRule="atLeast"/>
          <w:tblHeader w:val="0"/>
        </w:trPr>
        <w:tc>
          <w:tcPr>
            <w:tcBorders>
              <w:top w:color="000000" w:space="0" w:sz="0" w:val="nil"/>
              <w:left w:color="ffffff" w:space="0" w:sz="4" w:val="single"/>
              <w:bottom w:color="000000" w:space="0" w:sz="0" w:val="nil"/>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666666"/>
                <w:sz w:val="18"/>
                <w:szCs w:val="18"/>
              </w:rPr>
            </w:pPr>
            <w:r w:rsidDel="00000000" w:rsidR="00000000" w:rsidRPr="00000000">
              <w:rPr>
                <w:color w:val="666666"/>
                <w:sz w:val="18"/>
                <w:szCs w:val="18"/>
                <w:rtl w:val="0"/>
              </w:rPr>
              <w:t xml:space="preserve">                    Total Cost Activities Development Phase (1-year project)</w:t>
            </w:r>
          </w:p>
        </w:tc>
        <w:tc>
          <w:tcPr>
            <w:tcBorders>
              <w:top w:color="000000" w:space="0" w:sz="0" w:val="nil"/>
              <w:left w:color="000000" w:space="0" w:sz="0" w:val="nil"/>
              <w:bottom w:color="000000" w:space="0" w:sz="0" w:val="nil"/>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color w:val="666666"/>
                <w:sz w:val="18"/>
                <w:szCs w:val="18"/>
              </w:rPr>
            </w:pPr>
            <w:r w:rsidDel="00000000" w:rsidR="00000000" w:rsidRPr="00000000">
              <w:rPr>
                <w:rFonts w:ascii="PT Mono" w:cs="PT Mono" w:eastAsia="PT Mono" w:hAnsi="PT Mono"/>
                <w:color w:val="666666"/>
                <w:sz w:val="18"/>
                <w:szCs w:val="18"/>
                <w:rtl w:val="0"/>
              </w:rPr>
              <w:t xml:space="preserve">€ 41 500</w:t>
            </w:r>
          </w:p>
        </w:tc>
      </w:tr>
      <w:tr>
        <w:trPr>
          <w:cantSplit w:val="0"/>
          <w:trHeight w:val="450" w:hRule="atLeast"/>
          <w:tblHeader w:val="0"/>
        </w:trPr>
        <w:tc>
          <w:tcPr>
            <w:tcBorders>
              <w:top w:color="000000" w:space="0" w:sz="0" w:val="nil"/>
              <w:left w:color="ffffff" w:space="0" w:sz="4" w:val="single"/>
              <w:bottom w:color="000000" w:space="0" w:sz="0" w:val="nil"/>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color w:val="666666"/>
                <w:sz w:val="18"/>
                <w:szCs w:val="18"/>
              </w:rPr>
            </w:pPr>
            <w:r w:rsidDel="00000000" w:rsidR="00000000" w:rsidRPr="00000000">
              <w:rPr>
                <w:color w:val="666666"/>
                <w:sz w:val="18"/>
                <w:szCs w:val="18"/>
                <w:rtl w:val="0"/>
              </w:rPr>
              <w:t xml:space="preserve">                    Total Cost Activities Operational Phase (after project development)</w:t>
            </w:r>
          </w:p>
        </w:tc>
        <w:tc>
          <w:tcPr>
            <w:tcBorders>
              <w:top w:color="000000" w:space="0" w:sz="0" w:val="nil"/>
              <w:left w:color="000000" w:space="0" w:sz="0" w:val="nil"/>
              <w:bottom w:color="000000" w:space="0" w:sz="0" w:val="nil"/>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color w:val="666666"/>
                <w:sz w:val="18"/>
                <w:szCs w:val="18"/>
              </w:rPr>
            </w:pPr>
            <w:r w:rsidDel="00000000" w:rsidR="00000000" w:rsidRPr="00000000">
              <w:rPr>
                <w:rFonts w:ascii="PT Mono" w:cs="PT Mono" w:eastAsia="PT Mono" w:hAnsi="PT Mono"/>
                <w:color w:val="666666"/>
                <w:sz w:val="18"/>
                <w:szCs w:val="18"/>
                <w:rtl w:val="0"/>
              </w:rPr>
              <w:t xml:space="preserve">€ 11 500 / per year</w:t>
            </w:r>
          </w:p>
        </w:tc>
      </w:tr>
      <w:tr>
        <w:trPr>
          <w:cantSplit w:val="0"/>
          <w:trHeight w:val="450" w:hRule="atLeast"/>
          <w:tblHeader w:val="0"/>
        </w:trPr>
        <w:tc>
          <w:tcPr>
            <w:tcBorders>
              <w:top w:color="000000" w:space="0" w:sz="0" w:val="nil"/>
              <w:left w:color="ffffff" w:space="0" w:sz="4" w:val="single"/>
              <w:bottom w:color="000000" w:space="0" w:sz="0" w:val="nil"/>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after="0" w:line="276" w:lineRule="auto"/>
              <w:rPr>
                <w:rFonts w:ascii="Calibri" w:cs="Calibri" w:eastAsia="Calibri" w:hAnsi="Calibri"/>
              </w:rPr>
            </w:pPr>
            <w:r w:rsidDel="00000000" w:rsidR="00000000" w:rsidRPr="00000000">
              <w:rPr>
                <w:sz w:val="18"/>
                <w:szCs w:val="18"/>
                <w:rtl w:val="0"/>
              </w:rPr>
              <w:t xml:space="preserve">Passthrough Costs</w:t>
            </w:r>
            <w:r w:rsidDel="00000000" w:rsidR="00000000" w:rsidRPr="00000000">
              <w:rPr>
                <w:rtl w:val="0"/>
              </w:rPr>
            </w:r>
          </w:p>
        </w:tc>
        <w:tc>
          <w:tcPr>
            <w:tcBorders>
              <w:top w:color="000000" w:space="0" w:sz="0" w:val="nil"/>
              <w:left w:color="000000" w:space="0" w:sz="0" w:val="nil"/>
              <w:bottom w:color="000000" w:space="0" w:sz="0" w:val="nil"/>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7">
            <w:pPr>
              <w:widowControl w:val="0"/>
              <w:spacing w:after="0" w:line="276" w:lineRule="auto"/>
              <w:jc w:val="right"/>
              <w:rPr>
                <w:rFonts w:ascii="Calibri" w:cs="Calibri" w:eastAsia="Calibri" w:hAnsi="Calibri"/>
              </w:rPr>
            </w:pPr>
            <w:r w:rsidDel="00000000" w:rsidR="00000000" w:rsidRPr="00000000">
              <w:rPr>
                <w:rFonts w:ascii="PT Mono" w:cs="PT Mono" w:eastAsia="PT Mono" w:hAnsi="PT Mono"/>
                <w:sz w:val="18"/>
                <w:szCs w:val="18"/>
                <w:rtl w:val="0"/>
              </w:rPr>
              <w:t xml:space="preserve">€0</w:t>
            </w:r>
            <w:r w:rsidDel="00000000" w:rsidR="00000000" w:rsidRPr="00000000">
              <w:rPr>
                <w:rtl w:val="0"/>
              </w:rPr>
            </w:r>
          </w:p>
        </w:tc>
      </w:tr>
      <w:tr>
        <w:trPr>
          <w:cantSplit w:val="0"/>
          <w:trHeight w:val="450" w:hRule="atLeast"/>
          <w:tblHeader w:val="0"/>
        </w:trPr>
        <w:tc>
          <w:tcPr>
            <w:tcBorders>
              <w:top w:color="000000" w:space="0" w:sz="0" w:val="nil"/>
              <w:left w:color="ffffff" w:space="0" w:sz="4" w:val="single"/>
              <w:bottom w:color="005172"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068">
            <w:pPr>
              <w:widowControl w:val="0"/>
              <w:spacing w:after="0" w:line="276" w:lineRule="auto"/>
              <w:rPr>
                <w:rFonts w:ascii="Calibri" w:cs="Calibri" w:eastAsia="Calibri" w:hAnsi="Calibri"/>
              </w:rPr>
            </w:pPr>
            <w:r w:rsidDel="00000000" w:rsidR="00000000" w:rsidRPr="00000000">
              <w:rPr>
                <w:sz w:val="18"/>
                <w:szCs w:val="18"/>
                <w:rtl w:val="0"/>
              </w:rPr>
              <w:t xml:space="preserve">Discounts</w:t>
            </w:r>
            <w:r w:rsidDel="00000000" w:rsidR="00000000" w:rsidRPr="00000000">
              <w:rPr>
                <w:rtl w:val="0"/>
              </w:rPr>
            </w:r>
          </w:p>
        </w:tc>
        <w:tc>
          <w:tcPr>
            <w:tcBorders>
              <w:top w:color="000000" w:space="0" w:sz="0" w:val="nil"/>
              <w:left w:color="000000" w:space="0" w:sz="0" w:val="nil"/>
              <w:bottom w:color="005172"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069">
            <w:pPr>
              <w:widowControl w:val="0"/>
              <w:spacing w:after="0" w:line="276" w:lineRule="auto"/>
              <w:jc w:val="right"/>
              <w:rPr>
                <w:rFonts w:ascii="Calibri" w:cs="Calibri" w:eastAsia="Calibri" w:hAnsi="Calibri"/>
              </w:rPr>
            </w:pPr>
            <w:r w:rsidDel="00000000" w:rsidR="00000000" w:rsidRPr="00000000">
              <w:rPr>
                <w:rFonts w:ascii="PT Mono" w:cs="PT Mono" w:eastAsia="PT Mono" w:hAnsi="PT Mono"/>
                <w:sz w:val="18"/>
                <w:szCs w:val="18"/>
                <w:rtl w:val="0"/>
              </w:rPr>
              <w:t xml:space="preserve">€0</w:t>
            </w:r>
            <w:r w:rsidDel="00000000" w:rsidR="00000000" w:rsidRPr="00000000">
              <w:rPr>
                <w:rtl w:val="0"/>
              </w:rPr>
            </w:r>
          </w:p>
        </w:tc>
      </w:tr>
      <w:tr>
        <w:trPr>
          <w:cantSplit w:val="0"/>
          <w:trHeight w:val="450" w:hRule="atLeast"/>
          <w:tblHeader w:val="0"/>
        </w:trPr>
        <w:tc>
          <w:tcPr>
            <w:tcBorders>
              <w:top w:color="000000" w:space="0" w:sz="0" w:val="nil"/>
              <w:left w:color="ffffff" w:space="0" w:sz="4" w:val="single"/>
              <w:bottom w:color="005172" w:space="0" w:sz="4" w:val="single"/>
              <w:right w:color="ffffff" w:space="0" w:sz="4" w:val="single"/>
            </w:tcBorders>
            <w:tcMar>
              <w:top w:w="0.0" w:type="dxa"/>
              <w:left w:w="40.0" w:type="dxa"/>
              <w:bottom w:w="0.0" w:type="dxa"/>
              <w:right w:w="40.0" w:type="dxa"/>
            </w:tcMar>
            <w:vAlign w:val="bottom"/>
          </w:tcPr>
          <w:p w:rsidR="00000000" w:rsidDel="00000000" w:rsidP="00000000" w:rsidRDefault="00000000" w:rsidRPr="00000000" w14:paraId="0000006A">
            <w:pPr>
              <w:widowControl w:val="0"/>
              <w:spacing w:after="0" w:line="276" w:lineRule="auto"/>
              <w:rPr>
                <w:rFonts w:ascii="Calibri" w:cs="Calibri" w:eastAsia="Calibri" w:hAnsi="Calibri"/>
              </w:rPr>
            </w:pPr>
            <w:r w:rsidDel="00000000" w:rsidR="00000000" w:rsidRPr="00000000">
              <w:rPr>
                <w:b w:val="1"/>
                <w:bCs w:val="1"/>
                <w:color w:val="005172"/>
                <w:sz w:val="18"/>
                <w:szCs w:val="18"/>
                <w:rtl w:val="0"/>
              </w:rPr>
              <w:t xml:space="preserve">Total</w:t>
            </w:r>
            <w:r w:rsidDel="00000000" w:rsidR="00000000" w:rsidRPr="00000000">
              <w:rPr>
                <w:rtl w:val="0"/>
              </w:rPr>
            </w:r>
          </w:p>
        </w:tc>
        <w:tc>
          <w:tcPr>
            <w:tcBorders>
              <w:top w:color="000000" w:space="0" w:sz="0" w:val="nil"/>
              <w:left w:color="000000" w:space="0" w:sz="0" w:val="nil"/>
              <w:bottom w:color="005172" w:space="0" w:sz="4" w:val="single"/>
              <w:right w:color="ffffff" w:space="0" w:sz="4" w:val="single"/>
            </w:tcBorders>
            <w:shd w:fill="auto" w:val="clear"/>
            <w:tcMar>
              <w:top w:w="0.0" w:type="dxa"/>
              <w:left w:w="40.0" w:type="dxa"/>
              <w:bottom w:w="0.0" w:type="dxa"/>
              <w:right w:w="40.0" w:type="dxa"/>
            </w:tcMar>
            <w:vAlign w:val="bottom"/>
          </w:tcPr>
          <w:p w:rsidR="00000000" w:rsidDel="00000000" w:rsidP="00000000" w:rsidRDefault="00000000" w:rsidRPr="00000000" w14:paraId="0000006B">
            <w:pPr>
              <w:widowControl w:val="0"/>
              <w:spacing w:after="0" w:line="276" w:lineRule="auto"/>
              <w:jc w:val="right"/>
              <w:rPr>
                <w:b w:val="1"/>
                <w:bCs w:val="1"/>
                <w:color w:val="005172"/>
                <w:sz w:val="18"/>
                <w:szCs w:val="18"/>
              </w:rPr>
            </w:pPr>
            <w:r w:rsidDel="00000000" w:rsidR="00000000" w:rsidRPr="00000000">
              <w:rPr>
                <w:rFonts w:ascii="PT Mono" w:cs="PT Mono" w:eastAsia="PT Mono" w:hAnsi="PT Mono"/>
                <w:b w:val="1"/>
                <w:bCs w:val="1"/>
                <w:color w:val="005172"/>
                <w:sz w:val="18"/>
                <w:szCs w:val="18"/>
                <w:rtl w:val="0"/>
              </w:rPr>
              <w:t xml:space="preserve">€ 41 500</w:t>
            </w:r>
          </w:p>
        </w:tc>
      </w:tr>
    </w:tbl>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pStyle w:val="Heading2"/>
        <w:spacing w:line="276" w:lineRule="auto"/>
        <w:rPr/>
      </w:pPr>
      <w:bookmarkStart w:colFirst="0" w:colLast="0" w:name="_u3rsikw8008p" w:id="19"/>
      <w:bookmarkEnd w:id="19"/>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320" w:before="0" w:line="240" w:lineRule="auto"/>
        <w:rPr/>
      </w:pPr>
      <w:bookmarkStart w:colFirst="0" w:colLast="0" w:name="_ydgnpnncz7r7" w:id="20"/>
      <w:bookmarkEnd w:id="20"/>
      <w:r w:rsidDel="00000000" w:rsidR="00000000" w:rsidRPr="00000000">
        <w:rPr>
          <w:rtl w:val="0"/>
        </w:rPr>
        <w:t xml:space="preserve">Additional Notes</w:t>
      </w:r>
    </w:p>
    <w:p w:rsidR="00000000" w:rsidDel="00000000" w:rsidP="00000000" w:rsidRDefault="00000000" w:rsidRPr="00000000" w14:paraId="0000006F">
      <w:pPr>
        <w:rPr>
          <w:b w:val="1"/>
          <w:bCs w:val="1"/>
        </w:rPr>
      </w:pPr>
      <w:r w:rsidDel="00000000" w:rsidR="00000000" w:rsidRPr="00000000">
        <w:rPr>
          <w:b w:val="1"/>
          <w:bCs w:val="1"/>
          <w:rtl w:val="0"/>
        </w:rPr>
        <w:t xml:space="preserve">Data Sovereignty and Processing Responsibility:</w:t>
      </w:r>
      <w:r w:rsidDel="00000000" w:rsidR="00000000" w:rsidRPr="00000000">
        <w:rPr>
          <w:rtl w:val="0"/>
        </w:rPr>
        <w:t xml:space="preserve"> T</w:t>
      </w:r>
      <w:r w:rsidDel="00000000" w:rsidR="00000000" w:rsidRPr="00000000">
        <w:rPr>
          <w:rtl w:val="0"/>
        </w:rPr>
        <w:t xml:space="preserve">he Dashpackage codebase artifact is deployed on the local healthcare institution’s infrastructure for local processing of patient data. The institution shall retain full sovereignty over its raw patient data, and MTG’s access is strictly limited to supporting the deployment and troubleshooting the Dashpackage code itself.</w:t>
      </w: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Liability Limitation:</w:t>
      </w:r>
      <w:r w:rsidDel="00000000" w:rsidR="00000000" w:rsidRPr="00000000">
        <w:rPr>
          <w:rtl w:val="0"/>
        </w:rPr>
        <w:t xml:space="preserve"> MTG’</w:t>
      </w:r>
      <w:r w:rsidDel="00000000" w:rsidR="00000000" w:rsidRPr="00000000">
        <w:rPr>
          <w:rtl w:val="0"/>
        </w:rPr>
        <w:t xml:space="preserve">s liability is strictly limited to defects demonstrated within the Dashpackage source code implementation itself, verifiable and replicable outside the institution’s specific deployment environment. The healthcare institution remains exclusively responsible for the overall cybersecurity, and data protection.</w:t>
      </w:r>
    </w:p>
    <w:p w:rsidR="00000000" w:rsidDel="00000000" w:rsidP="00000000" w:rsidRDefault="00000000" w:rsidRPr="00000000" w14:paraId="00000071">
      <w:pPr>
        <w:rPr/>
      </w:pPr>
      <w:r w:rsidDel="00000000" w:rsidR="00000000" w:rsidRPr="00000000">
        <w:rPr>
          <w:b w:val="1"/>
          <w:bCs w:val="1"/>
          <w:rtl w:val="0"/>
        </w:rPr>
        <w:t xml:space="preserve">Definition of Operational Readiness (Development Phase):</w:t>
      </w:r>
      <w:r w:rsidDel="00000000" w:rsidR="00000000" w:rsidRPr="00000000">
        <w:rPr>
          <w:rtl w:val="0"/>
        </w:rPr>
        <w:t xml:space="preserve"> The Development Phase will be deemed complete, leading to the commencement of the Operational Phase, upon the successful implementation and operational readiness of all system components across the estimated participating centers.</w:t>
      </w:r>
    </w:p>
    <w:p w:rsidR="00000000" w:rsidDel="00000000" w:rsidP="00000000" w:rsidRDefault="00000000" w:rsidRPr="00000000" w14:paraId="00000072">
      <w:pPr>
        <w:rPr/>
      </w:pPr>
      <w:r w:rsidDel="00000000" w:rsidR="00000000" w:rsidRPr="00000000">
        <w:rPr>
          <w:b w:val="1"/>
          <w:bCs w:val="1"/>
          <w:rtl w:val="0"/>
        </w:rPr>
        <w:t xml:space="preserve">Central Infrastructure Prerequisites:</w:t>
      </w:r>
      <w:r w:rsidDel="00000000" w:rsidR="00000000" w:rsidRPr="00000000">
        <w:rPr>
          <w:rtl w:val="0"/>
        </w:rPr>
        <w:t xml:space="preserve"> The budget assumes deployment of the Central Aggregated Registry Infrastructure onto an existing infrastructure environment managed by SPC (either on-premise or existing cloud tenant). Should the project require MTG to provision, configure, or secure new dedicated cloud resources or acquire new hardware (server/storage), a subsequent reassessment of the budget will be required to incorporate these additional expenses.</w:t>
      </w:r>
    </w:p>
    <w:p w:rsidR="00000000" w:rsidDel="00000000" w:rsidP="00000000" w:rsidRDefault="00000000" w:rsidRPr="00000000" w14:paraId="00000073">
      <w:pPr>
        <w:rPr/>
      </w:pPr>
      <w:r w:rsidDel="00000000" w:rsidR="00000000" w:rsidRPr="00000000">
        <w:rPr>
          <w:rtl w:val="0"/>
        </w:rPr>
        <w:t xml:space="preserve">The Operational Phase and the corresponding recurring fees (Medipal License, Central Infrastructure License, Dashpackage Sustaining Fee) shall commence immediately upon the conclusion of the Development Phase (estimated at the beginning of Year 2). These costs are mandatory recurring annual fees for the continued function and maintenance of the registry system components.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These non-included services are:</w:t>
      </w:r>
    </w:p>
    <w:p w:rsidR="00000000" w:rsidDel="00000000" w:rsidP="00000000" w:rsidRDefault="00000000" w:rsidRPr="00000000" w14:paraId="00000076">
      <w:pPr>
        <w:numPr>
          <w:ilvl w:val="0"/>
          <w:numId w:val="1"/>
        </w:numPr>
        <w:spacing w:after="0" w:afterAutospacing="0" w:before="240" w:lineRule="auto"/>
        <w:ind w:left="720" w:hanging="360"/>
      </w:pPr>
      <w:r w:rsidDel="00000000" w:rsidR="00000000" w:rsidRPr="00000000">
        <w:rPr>
          <w:b w:val="1"/>
          <w:bCs w:val="1"/>
          <w:rtl w:val="0"/>
        </w:rPr>
        <w:t xml:space="preserve">Center Recruitment and Engagement: </w:t>
      </w:r>
      <w:r w:rsidDel="00000000" w:rsidR="00000000" w:rsidRPr="00000000">
        <w:rPr>
          <w:rtl w:val="0"/>
        </w:rPr>
        <w:t xml:space="preserve">The budget does not account for the activities related to the identification, recruitment, contracting, or ongoing liaison and relationship management with the participating healthcare institutions (centers). The Sponsor is exclusively responsible for securing and maintaining the formal commitment and active participation of all centers required for the project.</w:t>
      </w:r>
    </w:p>
    <w:p w:rsidR="00000000" w:rsidDel="00000000" w:rsidP="00000000" w:rsidRDefault="00000000" w:rsidRPr="00000000" w14:paraId="00000077">
      <w:pPr>
        <w:numPr>
          <w:ilvl w:val="0"/>
          <w:numId w:val="1"/>
        </w:numPr>
        <w:spacing w:after="0" w:afterAutospacing="0" w:before="0" w:beforeAutospacing="0" w:lineRule="auto"/>
        <w:ind w:left="720" w:hanging="360"/>
      </w:pPr>
      <w:r w:rsidDel="00000000" w:rsidR="00000000" w:rsidRPr="00000000">
        <w:rPr>
          <w:b w:val="1"/>
          <w:bCs w:val="1"/>
          <w:rtl w:val="0"/>
        </w:rPr>
        <w:t xml:space="preserve">Medical Writing and Publication Support:</w:t>
      </w:r>
      <w:r w:rsidDel="00000000" w:rsidR="00000000" w:rsidRPr="00000000">
        <w:rPr>
          <w:rtl w:val="0"/>
        </w:rPr>
        <w:t xml:space="preserve"> The preparation, drafting, or submission of scientific articles, reports for regulatory bodies, or any publication materials are excluded.</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b w:val="1"/>
          <w:bCs w:val="1"/>
          <w:rtl w:val="0"/>
        </w:rPr>
        <w:t xml:space="preserve">Disease Scope Expansion:</w:t>
      </w:r>
      <w:r w:rsidDel="00000000" w:rsidR="00000000" w:rsidRPr="00000000">
        <w:rPr>
          <w:rtl w:val="0"/>
        </w:rPr>
        <w:t xml:space="preserve"> A</w:t>
      </w:r>
      <w:r w:rsidDel="00000000" w:rsidR="00000000" w:rsidRPr="00000000">
        <w:rPr>
          <w:rtl w:val="0"/>
        </w:rPr>
        <w:t xml:space="preserve">ny work related to new pathologies, conditions, or indications beyond RNSCA is excluded. Expansion to new conditions requires a separate Statement of Work and budget </w:t>
      </w:r>
      <w:r w:rsidDel="00000000" w:rsidR="00000000" w:rsidRPr="00000000">
        <w:rPr>
          <w:rtl w:val="0"/>
        </w:rPr>
        <w:t xml:space="preserve">negotiation.</w:t>
      </w:r>
    </w:p>
    <w:p w:rsidR="00000000" w:rsidDel="00000000" w:rsidP="00000000" w:rsidRDefault="00000000" w:rsidRPr="00000000" w14:paraId="00000079">
      <w:pPr>
        <w:numPr>
          <w:ilvl w:val="0"/>
          <w:numId w:val="1"/>
        </w:numPr>
        <w:spacing w:after="240" w:before="0" w:beforeAutospacing="0" w:lineRule="auto"/>
        <w:ind w:left="720" w:hanging="360"/>
        <w:rPr>
          <w:u w:val="none"/>
        </w:rPr>
      </w:pPr>
      <w:r w:rsidDel="00000000" w:rsidR="00000000" w:rsidRPr="00000000">
        <w:rPr>
          <w:rtl w:val="0"/>
        </w:rPr>
        <w:t xml:space="preserve">Once the Dashpackage codebase (Final Vanilla Version) is formally approved and accepted and the subsequent Implementation/Registry System Execution Phase begins, the analytical scope and code structure of the Dashpackage will enter a Code Freeze. Any fundamental changes to the data engineering pipelines, primary statistical models, or core visualization schema requested during this implementation period will be treated as a Change Request, potentially impacting the timeline and incurring additional costs outside the agreed budget.</w:t>
      </w:r>
    </w:p>
    <w:p w:rsidR="00000000" w:rsidDel="00000000" w:rsidP="00000000" w:rsidRDefault="00000000" w:rsidRPr="00000000" w14:paraId="0000007A">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rlow Condense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PT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tabs>
        <w:tab w:val="left" w:leader="none" w:pos="3240"/>
        <w:tab w:val="right" w:leader="none" w:pos="9000"/>
        <w:tab w:val="left" w:leader="none" w:pos="6376"/>
        <w:tab w:val="left" w:leader="none" w:pos="5040"/>
        <w:tab w:val="left" w:leader="none" w:pos="1710"/>
      </w:tabs>
      <w:spacing w:after="0" w:line="240" w:lineRule="auto"/>
      <w:rPr/>
    </w:pPr>
    <w:r w:rsidDel="00000000" w:rsidR="00000000" w:rsidRPr="00000000">
      <w:rPr>
        <w:color w:val="434343"/>
        <w:sz w:val="16"/>
        <w:szCs w:val="16"/>
        <w:rtl w:val="0"/>
      </w:rPr>
      <w:t xml:space="preserve">MTG Research and Development Lab</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tabs>
        <w:tab w:val="left" w:leader="none" w:pos="3240"/>
        <w:tab w:val="right" w:leader="none" w:pos="9000"/>
        <w:tab w:val="left" w:leader="none" w:pos="6376"/>
        <w:tab w:val="left" w:leader="none" w:pos="5040"/>
        <w:tab w:val="left" w:leader="none" w:pos="1710"/>
      </w:tabs>
      <w:spacing w:after="0" w:line="240" w:lineRule="auto"/>
      <w:rPr>
        <w:color w:val="434343"/>
        <w:sz w:val="16"/>
        <w:szCs w:val="16"/>
      </w:rPr>
    </w:pPr>
    <w:r w:rsidDel="00000000" w:rsidR="00000000" w:rsidRPr="00000000">
      <w:rPr>
        <w:b w:val="1"/>
        <w:bCs w:val="1"/>
        <w:color w:val="005172"/>
        <w:sz w:val="16"/>
        <w:szCs w:val="16"/>
        <w:rtl w:val="0"/>
      </w:rPr>
      <w:t xml:space="preserve">Project                                  Project Type</w:t>
      <w:tab/>
      <w:t xml:space="preserve">Document Type</w:t>
      <w:tab/>
      <w:t xml:space="preserve">Version</w:t>
      <w:tab/>
      <w:t xml:space="preserve">Class</w:t>
      <w:tab/>
      <w:t xml:space="preserve">Date</w:t>
      <w:br w:type="textWrapping"/>
    </w:r>
    <w:r w:rsidDel="00000000" w:rsidR="00000000" w:rsidRPr="00000000">
      <w:rPr>
        <w:color w:val="434343"/>
        <w:sz w:val="16"/>
        <w:szCs w:val="16"/>
        <w:rtl w:val="0"/>
      </w:rPr>
      <w:t xml:space="preserve">SPC [RNSCA]              </w:t>
    </w:r>
    <w:r w:rsidDel="00000000" w:rsidR="00000000" w:rsidRPr="00000000">
      <w:rPr>
        <w:b w:val="1"/>
        <w:bCs w:val="1"/>
        <w:color w:val="005172"/>
        <w:sz w:val="16"/>
        <w:szCs w:val="16"/>
        <w:rtl w:val="0"/>
      </w:rPr>
      <w:t xml:space="preserve">      </w:t>
    </w:r>
    <w:r w:rsidDel="00000000" w:rsidR="00000000" w:rsidRPr="00000000">
      <w:rPr>
        <w:color w:val="434343"/>
        <w:sz w:val="16"/>
        <w:szCs w:val="16"/>
        <w:rtl w:val="0"/>
      </w:rPr>
      <w:t xml:space="preserve">Registry System</w:t>
      <w:tab/>
    </w:r>
    <w:r w:rsidDel="00000000" w:rsidR="00000000" w:rsidRPr="00000000">
      <w:rPr>
        <w:color w:val="434343"/>
        <w:sz w:val="16"/>
        <w:szCs w:val="16"/>
        <w:rtl w:val="0"/>
      </w:rPr>
      <w:t xml:space="preserve">Proposal</w:t>
      <w:tab/>
      <w:t xml:space="preserve">0.1.0.</w:t>
      <w:tab/>
      <w:t xml:space="preserve">Confidential</w:t>
      <w:tab/>
      <w:t xml:space="preserve">02/12/2025</w:t>
    </w:r>
  </w:p>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spacing w:after="0" w:before="240" w:lineRule="auto"/>
    </w:pPr>
    <w:rPr>
      <w:rFonts w:ascii="Barlow Condensed Medium" w:cs="Barlow Condensed Medium" w:eastAsia="Barlow Condensed Medium" w:hAnsi="Barlow Condensed Medium"/>
      <w:color w:val="005172"/>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PTMono-regular.ttf"/><Relationship Id="rId5" Type="http://schemas.openxmlformats.org/officeDocument/2006/relationships/font" Target="fonts/BarlowCondensedMedium-regular.ttf"/><Relationship Id="rId6" Type="http://schemas.openxmlformats.org/officeDocument/2006/relationships/font" Target="fonts/BarlowCondensedMedium-bold.ttf"/><Relationship Id="rId7" Type="http://schemas.openxmlformats.org/officeDocument/2006/relationships/font" Target="fonts/BarlowCondensedMedium-italic.ttf"/><Relationship Id="rId8" Type="http://schemas.openxmlformats.org/officeDocument/2006/relationships/font" Target="fonts/BarlowCondense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