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>
          <w:color w:val="172e42"/>
        </w:rPr>
      </w:pPr>
      <w:bookmarkStart w:colFirst="0" w:colLast="0" w:name="_heading=h.tyjcwt" w:id="0"/>
      <w:bookmarkEnd w:id="0"/>
      <w:r w:rsidDel="00000000" w:rsidR="00000000" w:rsidRPr="00000000">
        <w:rPr>
          <w:rtl w:val="0"/>
        </w:rPr>
        <w:t xml:space="preserve">Enquadramento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PROJETO: REGISTO INTELIGENTE DE CANCRO DA MAMA PARA SOCIEDADE PORTUGUESA DE SENOLOGIA (SPS)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1. Enquadramento e Complexidade do Ecossistema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presente projeto visa a implementação do Registo Inteligente de Cancro da Mama, uma infraestrutura tecnológica avançada desenhada para superar as limitações dos registos tradicionais. O objetivo central é capacitar a SPS com um sistema de geração de evidência em tempo real (</w:t>
      </w:r>
      <w:r w:rsidDel="00000000" w:rsidR="00000000" w:rsidRPr="00000000">
        <w:rPr>
          <w:i w:val="1"/>
          <w:iCs w:val="1"/>
          <w:rtl w:val="0"/>
        </w:rPr>
        <w:t xml:space="preserve">Real-World Evidence</w:t>
      </w:r>
      <w:r w:rsidDel="00000000" w:rsidR="00000000" w:rsidRPr="00000000">
        <w:rPr>
          <w:rtl w:val="0"/>
        </w:rPr>
        <w:t xml:space="preserve">) que opere de forma federada, garantindo que os dados sensíveis permaneçam sob a soberania absoluta das instituições de saúde, sem necessidade de centralização física.</w:t>
        <w:br w:type="textWrapping"/>
        <w:t xml:space="preserve">Para tal, propomos uma abordagem que combina a segurança na gestão de dados com a capacidade de transformar informação clínica não estruturada (notas médicas, relatórios) em variáveis estruturadas e analisáveis,respondendo assim aos  requisitos de geração de evidência em tempo real. A concretização desta visão exige a orquestração de competências distintas, asseguradas por três entidades parceiras: a MTG Research and Development Lab (MTG), a Opvance Lda (OPVANCE) e a Asklepic Lda (ASKLEPIC).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2. Caracterização das Entidades e Papéis no Ecossistema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concretizar esta visão, o ecossistema alicerça-se na colaboração estratégica de três entidades tecnológicas distintas, cada uma respondendo a um requisito crítico do sistema: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MTG RESEARCH AND DEVELOPMENT LAB</w:t>
        <w:br w:type="textWrapping"/>
        <w:t xml:space="preserve">A MTG desempenha o papel de integrador científico e tecnológico, operando num modelo misto que distingue o investimento em infraestrutura de dados da prestação de serviços de processamento de dados clínicos e visualização de resultados.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vertente de Parceria, a MTG assume a responsabilidade pela engenharia de dados, especificamente pelo desenvolvimento dos processos de ETL (</w:t>
      </w:r>
      <w:r w:rsidDel="00000000" w:rsidR="00000000" w:rsidRPr="00000000">
        <w:rPr>
          <w:i w:val="1"/>
          <w:iCs w:val="1"/>
          <w:rtl w:val="0"/>
        </w:rPr>
        <w:t xml:space="preserve">Extract, Transform, Load</w:t>
      </w:r>
      <w:r w:rsidDel="00000000" w:rsidR="00000000" w:rsidRPr="00000000">
        <w:rPr>
          <w:rtl w:val="0"/>
        </w:rPr>
        <w:t xml:space="preserve">). Estes processos são os mecanismos essenciais que extraem os dados dos sistemas de informação heterogéneos das várias instituições nacionais, transformam-nos e carregam-nos num modelo comum harmonizado. Com este projeto, a MTG capitaliza o seu </w:t>
      </w:r>
      <w:r w:rsidDel="00000000" w:rsidR="00000000" w:rsidRPr="00000000">
        <w:rPr>
          <w:rtl w:val="0"/>
        </w:rPr>
        <w:t xml:space="preserve">know-how</w:t>
      </w:r>
      <w:r w:rsidDel="00000000" w:rsidR="00000000" w:rsidRPr="00000000">
        <w:rPr>
          <w:rtl w:val="0"/>
        </w:rPr>
        <w:t xml:space="preserve"> prévio e assume este desenvolvimento como um ativo de I&amp;D, sem custos para a SPS, garantindo a interoperabilidade semântica do registo.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vertente de Fornecedor, no âmbito deste projeto, a MTG visa desenvolver e fornecer a camada de processamento e interação com o utilizador, o Dashpackage. Um </w:t>
      </w:r>
      <w:r w:rsidDel="00000000" w:rsidR="00000000" w:rsidRPr="00000000">
        <w:rPr>
          <w:rtl w:val="0"/>
        </w:rPr>
        <w:t xml:space="preserve">Dashpackage</w:t>
      </w:r>
      <w:r w:rsidDel="00000000" w:rsidR="00000000" w:rsidRPr="00000000">
        <w:rPr>
          <w:rtl w:val="0"/>
        </w:rPr>
        <w:t xml:space="preserve"> é um artefacto de software autónomo (</w:t>
      </w:r>
      <w:r w:rsidDel="00000000" w:rsidR="00000000" w:rsidRPr="00000000">
        <w:rPr>
          <w:i w:val="1"/>
          <w:iCs w:val="1"/>
          <w:rtl w:val="0"/>
        </w:rPr>
        <w:t xml:space="preserve">codebase artifact</w:t>
      </w:r>
      <w:r w:rsidDel="00000000" w:rsidR="00000000" w:rsidRPr="00000000">
        <w:rPr>
          <w:rtl w:val="0"/>
        </w:rPr>
        <w:t xml:space="preserve">), desenvolvido externamente e entregue para execução na infraestrutura local de cada instituição. Baseado em tecnologias de visualização (Apache Superset) e entregue via contentorização (Docker), o </w:t>
      </w:r>
      <w:r w:rsidDel="00000000" w:rsidR="00000000" w:rsidRPr="00000000">
        <w:rPr>
          <w:i w:val="1"/>
          <w:iCs w:val="1"/>
          <w:rtl w:val="0"/>
        </w:rPr>
        <w:t xml:space="preserve">Dashpackage</w:t>
      </w:r>
      <w:r w:rsidDel="00000000" w:rsidR="00000000" w:rsidRPr="00000000">
        <w:rPr>
          <w:rtl w:val="0"/>
        </w:rPr>
        <w:t xml:space="preserve"> contém as configurações e esquemas de dados necessários para processar a informação localmente e gerar as interfaces gráficas. No âmbito deste projeto com a SPS, estes pacotes serão configurados para permitir a visualização de dados agregados e indicadores de gestão, garantindo que a evidência gerada é reprodutível, segura e visualmente acessível, configurando-se este componente como uma prestação de serviços onerosa a contratar pela SPS.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ASKLEPIC</w:t>
        <w:br w:type="textWrapping"/>
        <w:t xml:space="preserve">A Asklepic integra o consórcio como parceiro de inovação tecnológica. A sua contribuição centra-se na implementação de frameworks de Modelos de Linguagem de Grande Escala (LLMs) desenhados para a curadoria, extração e validação de dados clínicos a partir de fontes não estruturadas e complexas. Considerando que esta tecnologia se encontra numa fase de validação avançada (TRL 4 - Validação em Laboratório/Ambiente Controlado) e visa a prova de conceito em ambiente real hospitalar, a Asklepic participa neste projeto numa lógica de investimento e risco partilhado. A entidade assume o risco do desenvolvimento piloto sem custos de licenciamento para a SPS, com o objetivo estratégico de validar os seus modelos para futura exploração comercial autónoma, nomeadamente junto das instituições de saúde.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OPVANCE</w:t>
        <w:br w:type="textWrapping"/>
        <w:t xml:space="preserve">A Opvance é uma empresa especializada em DevSecOps que fornece a base de segurança, gestão e processamento dos dados do projeto através da sua plataforma TERAS (Zero-Trust Data Space Platform).  Esta plataforma será implementada em infraestrutura própria da SPS, funcionando como o eixo central que permite a comunicação segura com as instituições de saúde e o armazenamento dos resultados agregados (provenientes do processamento local dos dados ao nível do doente). O seu papel será garantir que o processamento de dados ocorre num ambiente inviolável (</w:t>
      </w:r>
      <w:r w:rsidDel="00000000" w:rsidR="00000000" w:rsidRPr="00000000">
        <w:rPr>
          <w:i w:val="1"/>
          <w:iCs w:val="1"/>
          <w:rtl w:val="0"/>
        </w:rPr>
        <w:t xml:space="preserve">tamper-proof</w:t>
      </w:r>
      <w:r w:rsidDel="00000000" w:rsidR="00000000" w:rsidRPr="00000000">
        <w:rPr>
          <w:rtl w:val="0"/>
        </w:rPr>
        <w:t xml:space="preserve">) e auditável, permitindo a análise federada sem que os dados brutos saiam do perímetro de segurança das instituições de saúde. Dada a criticidade desta infraestrutura para a conformidade legal e operacional do Registo, a Opvance atua como fornecedor de tecnologia base para a SPS, assegurando a camada de soberania e cibersegurança essencial à existência do projeto. Importa salientar que esta infraestrutura fica capacitada para permitir o processamento de outros algoritmos e o alojamento de futuras soluções tecnológicas para além do âmbito deste projeto específico.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360" w:lineRule="auto"/>
        <w:rPr>
          <w:rFonts w:ascii="Rubik Light" w:cs="Rubik Light" w:eastAsia="Rubik Light" w:hAnsi="Rubik Light"/>
          <w:b w:val="1"/>
          <w:bCs w:val="1"/>
          <w:color w:val="000000"/>
          <w:sz w:val="26"/>
          <w:szCs w:val="26"/>
        </w:rPr>
      </w:pPr>
      <w:bookmarkStart w:colFirst="0" w:colLast="0" w:name="_heading=h.tmbtjm31r2ai" w:id="1"/>
      <w:bookmarkEnd w:id="1"/>
      <w:r w:rsidDel="00000000" w:rsidR="00000000" w:rsidRPr="00000000">
        <w:rPr>
          <w:rFonts w:ascii="Rubik Light" w:cs="Rubik Light" w:eastAsia="Rubik Light" w:hAnsi="Rubik Light"/>
          <w:b w:val="1"/>
          <w:bCs w:val="1"/>
          <w:color w:val="000000"/>
          <w:sz w:val="26"/>
          <w:szCs w:val="26"/>
          <w:rtl w:val="0"/>
        </w:rPr>
        <w:t xml:space="preserve">3. Modelo de Colaboração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contratual proposta reflete a natureza distinta destes contributos. O modelo financeiro distingue claramente os custos operacionais recorrentes - associados ao licenciamento da infraestrutura Opvance e à manutenção dos Dashpackages da MTG - dos investimentos em inovação suportados pela Asklepic e pela MTG a título de parceria.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técnica proposta prioriza a soberania dos dados através de uma federação segura (Zero-Trust), a valorização clínica através de inteligência artificial, e a análise e processamento de dados clínicos de forma federada, mantendo a soberania dos dados nas instituições de saúde, o que dita a necessidade de uma estrutura jurídica que reflita a natureza díspar dos recursos envolvidos.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Assim, a base da nossa proposta assenta na distinção clara e legalmente vinculativa entre as figuras de Fornecedor e Parceiro, definindo a relação da SPS com cada entidade da seguinte forma: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MTG (Relação Parceria e Fornecedor dependendo do serviço): Visa-se um vínculo dual que maximiza a eficiência do projeto: Na vertente de Parceria, a MTG assume o investimento no desenvolvimento dos processos ETL necessários à interoperabilidade dos sistemas de informação das várias instituições nacionais para o registo de cancro da mama. Na vertente de Fornecedor, a relação é comercial e foca-se na entrega dos Dashpackages (artefactos de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que constituem o processamento e a interface gráfica onde os utilizadores visualizam os resultados agregados). Este serviço inclui a adaptação e configuração dos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 de extração para cada um dos cinco centros clínicos participantes, bem como o refinamento iterativo do modelo de agregação com base nos primeiros resultados obtidos.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ASKLEPIC (Relação de Parceria): Estabelece-se um vínculo de colaboração científica e tecnológica. A SPS acolhe a inovação e a capacidade de processamento de dados não estruturados, beneficiando do investimento de risco assumido pela entidade tecnológica.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OPVANCE (Relação Fornecedor): Visa-se estabelecer um vínculo comercial de prestação de serviços essenciais, através do qual a SPS contrata a estabilidade, a segurança e a conformidade legal da infraestrutura, elementos sem os quais o projeto não pode operar.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operacionalizar este modelo, o presente documento funciona como o normativo estratégico único que vincula todas as partes. No entanto, para responder legalmente às relações aqui estabelecidas, prevê-se a celebração subsequente de um Memorando de Entendimento conjunto entre a SPS e as 3 empresas. Estes instrumentos contratuais deverão respeitar integralmente as linhas e definições estabelecidas neste Enquadramento Estratégico, formalizando: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Contratos de Prestação de Serviços para as componentes definidas como fornecimento (com Opvance e MTG);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Acordos de Parceria e Investigação para as componentes definidas como inovação e risco partilhado (com Asklepic e MTG).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Garante-se, desta forma, a segurança jurídica de todas as partes e a coerência entre a estratégia do consórcio e a execução comercial individual. A liderança da governação do ecossistema compete à SPS, com o apoio técnico das entidades parceiras, sendo que a SPS detém a titularidade exclusiva dos resultados agregados e da evidência gerada pelo Registo.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1440" w:top="180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ubi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right" w:leader="none" w:pos="8993"/>
      </w:tabs>
      <w:spacing w:line="240" w:lineRule="auto"/>
      <w:ind w:right="33"/>
      <w:rPr>
        <w:rFonts w:ascii="Rubik Light" w:cs="Rubik Light" w:eastAsia="Rubik Light" w:hAnsi="Rubik Light"/>
        <w:color w:val="172e42"/>
        <w:sz w:val="18"/>
        <w:szCs w:val="18"/>
      </w:rPr>
    </w:pPr>
    <w:r w:rsidDel="00000000" w:rsidR="00000000" w:rsidRPr="00000000">
      <w:rPr>
        <w:rFonts w:ascii="Rubik Light" w:cs="Rubik Light" w:eastAsia="Rubik Light" w:hAnsi="Rubik Light"/>
        <w:color w:val="172e42"/>
        <w:sz w:val="18"/>
        <w:szCs w:val="18"/>
        <w:rtl w:val="0"/>
      </w:rPr>
      <w:t xml:space="preserve">SIGIL Scientific Enterprises</w:t>
      <w:tab/>
    </w:r>
    <w:r w:rsidDel="00000000" w:rsidR="00000000" w:rsidRPr="00000000">
      <w:rPr>
        <w:rFonts w:ascii="Rubik Light" w:cs="Rubik Light" w:eastAsia="Rubik Light" w:hAnsi="Rubik Light"/>
        <w:color w:val="172e42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widowControl w:val="0"/>
      <w:spacing w:after="0" w:before="0" w:line="240" w:lineRule="auto"/>
      <w:rPr>
        <w:rFonts w:ascii="Rubik Medium" w:cs="Rubik Medium" w:eastAsia="Rubik Medium" w:hAnsi="Rubik Medium"/>
        <w:color w:val="172e42"/>
        <w:sz w:val="18"/>
        <w:szCs w:val="18"/>
      </w:rPr>
    </w:pPr>
    <w:r w:rsidDel="00000000" w:rsidR="00000000" w:rsidRPr="00000000">
      <w:rPr>
        <w:rFonts w:ascii="Rubik Medium" w:cs="Rubik Medium" w:eastAsia="Rubik Medium" w:hAnsi="Rubik Medium"/>
        <w:color w:val="172e42"/>
        <w:sz w:val="18"/>
        <w:szCs w:val="18"/>
        <w:rtl w:val="0"/>
      </w:rPr>
      <w:t xml:space="preserve">Project</w:t>
      <w:tab/>
      <w:tab/>
      <w:t xml:space="preserve">Document Type</w:t>
      <w:tab/>
      <w:tab/>
      <w:tab/>
      <w:t xml:space="preserve">Version </w:t>
      <w:tab/>
      <w:tab/>
      <w:t xml:space="preserve">Class   </w:t>
      <w:tab/>
      <w:tab/>
      <w:tab/>
      <w:t xml:space="preserve">Date</w:t>
    </w:r>
  </w:p>
  <w:p w:rsidR="00000000" w:rsidDel="00000000" w:rsidP="00000000" w:rsidRDefault="00000000" w:rsidRPr="00000000" w14:paraId="0000001B">
    <w:pPr>
      <w:widowControl w:val="0"/>
      <w:spacing w:after="0" w:before="0" w:line="240" w:lineRule="auto"/>
      <w:rPr>
        <w:rFonts w:ascii="Rubik Light" w:cs="Rubik Light" w:eastAsia="Rubik Light" w:hAnsi="Rubik Light"/>
        <w:sz w:val="18"/>
        <w:szCs w:val="18"/>
      </w:rPr>
    </w:pPr>
    <w:r w:rsidDel="00000000" w:rsidR="00000000" w:rsidRPr="00000000">
      <w:rPr>
        <w:color w:val="434343"/>
        <w:sz w:val="18"/>
        <w:szCs w:val="18"/>
        <w:rtl w:val="0"/>
      </w:rPr>
      <w:t xml:space="preserve">Registry breast</w:t>
    </w:r>
    <w:r w:rsidDel="00000000" w:rsidR="00000000" w:rsidRPr="00000000">
      <w:rPr>
        <w:rFonts w:ascii="Rubik Light" w:cs="Rubik Light" w:eastAsia="Rubik Light" w:hAnsi="Rubik Light"/>
        <w:color w:val="434343"/>
        <w:sz w:val="18"/>
        <w:szCs w:val="18"/>
        <w:rtl w:val="0"/>
      </w:rPr>
      <w:tab/>
    </w:r>
    <w:r w:rsidDel="00000000" w:rsidR="00000000" w:rsidRPr="00000000">
      <w:rPr>
        <w:color w:val="434343"/>
        <w:sz w:val="18"/>
        <w:szCs w:val="18"/>
        <w:rtl w:val="0"/>
      </w:rPr>
      <w:t xml:space="preserve">Enquadramento Estratégico</w:t>
    </w:r>
    <w:r w:rsidDel="00000000" w:rsidR="00000000" w:rsidRPr="00000000">
      <w:rPr>
        <w:rFonts w:ascii="Rubik Light" w:cs="Rubik Light" w:eastAsia="Rubik Light" w:hAnsi="Rubik Light"/>
        <w:color w:val="434343"/>
        <w:sz w:val="18"/>
        <w:szCs w:val="18"/>
        <w:rtl w:val="0"/>
      </w:rPr>
      <w:tab/>
      <w:t xml:space="preserve">0.1</w:t>
      <w:tab/>
      <w:tab/>
      <w:t xml:space="preserve">Confiden</w:t>
    </w:r>
    <w:r w:rsidDel="00000000" w:rsidR="00000000" w:rsidRPr="00000000">
      <w:rPr>
        <w:color w:val="434343"/>
        <w:sz w:val="18"/>
        <w:szCs w:val="18"/>
        <w:rtl w:val="0"/>
      </w:rPr>
      <w:t xml:space="preserve">c</w:t>
    </w:r>
    <w:r w:rsidDel="00000000" w:rsidR="00000000" w:rsidRPr="00000000">
      <w:rPr>
        <w:rFonts w:ascii="Rubik Light" w:cs="Rubik Light" w:eastAsia="Rubik Light" w:hAnsi="Rubik Light"/>
        <w:color w:val="434343"/>
        <w:sz w:val="18"/>
        <w:szCs w:val="18"/>
        <w:rtl w:val="0"/>
      </w:rPr>
      <w:t xml:space="preserve">ial</w:t>
      <w:tab/>
      <w:tab/>
    </w:r>
    <w:r w:rsidDel="00000000" w:rsidR="00000000" w:rsidRPr="00000000">
      <w:rPr>
        <w:color w:val="434343"/>
        <w:sz w:val="18"/>
        <w:szCs w:val="18"/>
        <w:rtl w:val="0"/>
      </w:rPr>
      <w:t xml:space="preserve">02 Fev</w:t>
    </w:r>
    <w:r w:rsidDel="00000000" w:rsidR="00000000" w:rsidRPr="00000000">
      <w:rPr>
        <w:rFonts w:ascii="Rubik Light" w:cs="Rubik Light" w:eastAsia="Rubik Light" w:hAnsi="Rubik Light"/>
        <w:color w:val="434343"/>
        <w:sz w:val="18"/>
        <w:szCs w:val="18"/>
        <w:rtl w:val="0"/>
      </w:rPr>
      <w:t xml:space="preserve"> 2025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40" w:lineRule="auto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 Light" w:cs="Rubik Light" w:eastAsia="Rubik Light" w:hAnsi="Rubik Light"/>
        <w:sz w:val="24"/>
        <w:szCs w:val="24"/>
        <w:lang w:val="en"/>
      </w:rPr>
    </w:rPrDefault>
    <w:pPrDefault>
      <w:pPr>
        <w:spacing w:after="120" w:before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20" w:before="200" w:line="240" w:lineRule="auto"/>
    </w:pPr>
    <w:rPr>
      <w:rFonts w:ascii="Rubik Medium" w:cs="Rubik Medium" w:eastAsia="Rubik Medium" w:hAnsi="Rubik Medium"/>
      <w:color w:val="172e4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</w:pPr>
    <w:rPr>
      <w:rFonts w:ascii="Rubik Medium" w:cs="Rubik Medium" w:eastAsia="Rubik Medium" w:hAnsi="Rubik Medium"/>
      <w:color w:val="172e4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60" w:line="276" w:lineRule="auto"/>
    </w:pPr>
    <w:rPr>
      <w:rFonts w:ascii="Rubik Medium" w:cs="Rubik Medium" w:eastAsia="Rubik Medium" w:hAnsi="Rubik Medium"/>
      <w:color w:val="172e4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Standardstycketeckensnitt" w:default="1">
    <w:name w:val="Default Paragraph Font"/>
    <w:uiPriority w:val="1"/>
    <w:unhideWhenUsed w:val="1"/>
  </w:style>
  <w:style w:type="table" w:styleId="Normal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mmentarer">
    <w:name w:val="annotation text"/>
    <w:basedOn w:val="Normal"/>
    <w:link w:val="Kommentarer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KommentarerChar" w:customStyle="1">
    <w:name w:val="Kommentarer Char"/>
    <w:basedOn w:val="Standardstycketeckensnitt"/>
    <w:link w:val="Kommentarer"/>
    <w:uiPriority w:val="99"/>
    <w:semiHidden w:val="1"/>
    <w:rPr>
      <w:sz w:val="20"/>
      <w:szCs w:val="20"/>
    </w:rPr>
  </w:style>
  <w:style w:type="character" w:styleId="Kommentarsreferens">
    <w:name w:val="annotation reference"/>
    <w:basedOn w:val="Standardstycketeckensnitt"/>
    <w:uiPriority w:val="99"/>
    <w:semiHidden w:val="1"/>
    <w:unhideWhenUsed w:val="1"/>
    <w:rPr>
      <w:sz w:val="16"/>
      <w:szCs w:val="16"/>
    </w:rPr>
  </w:style>
  <w:style w:type="paragraph" w:styleId="Sidhuvud">
    <w:name w:val="header"/>
    <w:basedOn w:val="Normal"/>
    <w:link w:val="SidhuvudChar"/>
    <w:uiPriority w:val="99"/>
    <w:unhideWhenUsed w:val="1"/>
    <w:rsid w:val="00A3345B"/>
    <w:pPr>
      <w:tabs>
        <w:tab w:val="center" w:pos="4536"/>
        <w:tab w:val="right" w:pos="9072"/>
      </w:tabs>
      <w:spacing w:line="240" w:lineRule="auto"/>
    </w:pPr>
  </w:style>
  <w:style w:type="character" w:styleId="SidhuvudChar" w:customStyle="1">
    <w:name w:val="Sidhuvud Char"/>
    <w:basedOn w:val="Standardstycketeckensnitt"/>
    <w:link w:val="Sidhuvud"/>
    <w:uiPriority w:val="99"/>
    <w:rsid w:val="00A3345B"/>
  </w:style>
  <w:style w:type="paragraph" w:styleId="Sidfot">
    <w:name w:val="footer"/>
    <w:basedOn w:val="Normal"/>
    <w:link w:val="SidfotChar"/>
    <w:uiPriority w:val="99"/>
    <w:unhideWhenUsed w:val="1"/>
    <w:rsid w:val="00A3345B"/>
    <w:pPr>
      <w:tabs>
        <w:tab w:val="center" w:pos="4536"/>
        <w:tab w:val="right" w:pos="9072"/>
      </w:tabs>
      <w:spacing w:line="240" w:lineRule="auto"/>
    </w:pPr>
  </w:style>
  <w:style w:type="character" w:styleId="SidfotChar" w:customStyle="1">
    <w:name w:val="Sidfot Char"/>
    <w:basedOn w:val="Standardstycketeckensnitt"/>
    <w:link w:val="Sidfot"/>
    <w:uiPriority w:val="99"/>
    <w:rsid w:val="00A3345B"/>
  </w:style>
  <w:style w:type="table" w:styleId="Rutntstabell1ljus-dekorfrg2">
    <w:name w:val="Grid Table 1 Light Accent 2"/>
    <w:basedOn w:val="Normaltabell"/>
    <w:uiPriority w:val="46"/>
    <w:rsid w:val="00C152EB"/>
    <w:pPr>
      <w:spacing w:line="240" w:lineRule="auto"/>
    </w:pPr>
    <w:tblPr>
      <w:tblStyleRowBandSize w:val="1"/>
      <w:tblStyleColBandSize w:val="1"/>
      <w:tblBorders>
        <w:top w:color="e5b8b7" w:space="0" w:sz="4" w:themeColor="accent2" w:themeTint="000066" w:val="single"/>
        <w:left w:color="e5b8b7" w:space="0" w:sz="4" w:themeColor="accent2" w:themeTint="000066" w:val="single"/>
        <w:bottom w:color="e5b8b7" w:space="0" w:sz="4" w:themeColor="accent2" w:themeTint="000066" w:val="single"/>
        <w:right w:color="e5b8b7" w:space="0" w:sz="4" w:themeColor="accent2" w:themeTint="000066" w:val="single"/>
        <w:insideH w:color="e5b8b7" w:space="0" w:sz="4" w:themeColor="accent2" w:themeTint="000066" w:val="single"/>
        <w:insideV w:color="e5b8b7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99594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99594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d99594" w:space="0" w:sz="4" w:val="single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d99594" w:space="0" w:sz="4" w:val="single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d99594" w:space="0" w:sz="4" w:val="single"/>
        </w:tcBorders>
      </w:tcPr>
    </w:tblStyle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d99594" w:space="0" w:sz="4" w:val="single"/>
        </w:tcBorders>
      </w:tcPr>
    </w:tblStyle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d99594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d99594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11" Type="http://schemas.openxmlformats.org/officeDocument/2006/relationships/font" Target="fonts/Rubik-italic.ttf"/><Relationship Id="rId10" Type="http://schemas.openxmlformats.org/officeDocument/2006/relationships/font" Target="fonts/Rubik-bold.ttf"/><Relationship Id="rId12" Type="http://schemas.openxmlformats.org/officeDocument/2006/relationships/font" Target="fonts/Rubik-boldItalic.ttf"/><Relationship Id="rId9" Type="http://schemas.openxmlformats.org/officeDocument/2006/relationships/font" Target="fonts/Rubik-regular.ttf"/><Relationship Id="rId5" Type="http://schemas.openxmlformats.org/officeDocument/2006/relationships/font" Target="fonts/RubikLight-regular.ttf"/><Relationship Id="rId6" Type="http://schemas.openxmlformats.org/officeDocument/2006/relationships/font" Target="fonts/RubikLight-bold.ttf"/><Relationship Id="rId7" Type="http://schemas.openxmlformats.org/officeDocument/2006/relationships/font" Target="fonts/RubikLight-italic.ttf"/><Relationship Id="rId8" Type="http://schemas.openxmlformats.org/officeDocument/2006/relationships/font" Target="fonts/Rubik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ANilEWXJ3aEMnwG9tRsTKV4cA==">CgMxLjAyCGgudHlqY3d0Mg5oLnRtYnRqbTMxcjJhaTgAciExWGh1ZWRORWpDMDZxcks2UllaWm1OVVNzc3U1cXAxenk=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2025-08-29T21:10:00Z</dcterms:created>
</cp:coreProperties>
</file>