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71086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56550" y="411000"/>
                          <a:ext cx="4731300" cy="7120800"/>
                        </a:xfrm>
                        <a:prstGeom prst="rect">
                          <a:avLst/>
                        </a:prstGeom>
                        <a:solidFill>
                          <a:srgbClr val="0133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710863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7108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-2057399</wp:posOffset>
            </wp:positionH>
            <wp:positionV relativeFrom="margin">
              <wp:posOffset>481013</wp:posOffset>
            </wp:positionV>
            <wp:extent cx="4835470" cy="8739188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470" cy="8739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238125</wp:posOffset>
            </wp:positionH>
            <wp:positionV relativeFrom="page">
              <wp:posOffset>246099</wp:posOffset>
            </wp:positionV>
            <wp:extent cx="3643659" cy="896901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6007" l="8980" r="1983" t="25641"/>
                    <a:stretch>
                      <a:fillRect/>
                    </a:stretch>
                  </pic:blipFill>
                  <pic:spPr>
                    <a:xfrm>
                      <a:off x="0" y="0"/>
                      <a:ext cx="3643659" cy="8969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rFonts w:ascii="Barlow Condensed" w:cs="Barlow Condensed" w:eastAsia="Barlow Condensed" w:hAnsi="Barlow Condensed"/>
          <w:color w:val="ffffff"/>
          <w:sz w:val="100"/>
          <w:szCs w:val="100"/>
        </w:rPr>
      </w:pPr>
      <w:r w:rsidDel="00000000" w:rsidR="00000000" w:rsidRPr="00000000">
        <w:rPr>
          <w:rFonts w:ascii="Barlow Condensed" w:cs="Barlow Condensed" w:eastAsia="Barlow Condensed" w:hAnsi="Barlow Condensed"/>
          <w:color w:val="178ecb"/>
          <w:sz w:val="58"/>
          <w:szCs w:val="58"/>
          <w:rtl w:val="0"/>
        </w:rPr>
        <w:t xml:space="preserve">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3330" w:right="-60" w:firstLine="0"/>
        <w:jc w:val="right"/>
        <w:rPr>
          <w:rFonts w:ascii="Lato Light" w:cs="Lato Light" w:eastAsia="Lato Light" w:hAnsi="Lato Light"/>
          <w:color w:val="ffffff"/>
          <w:sz w:val="38"/>
          <w:szCs w:val="38"/>
        </w:rPr>
      </w:pPr>
      <w:r w:rsidDel="00000000" w:rsidR="00000000" w:rsidRPr="00000000">
        <w:rPr>
          <w:rFonts w:ascii="Lato Light" w:cs="Lato Light" w:eastAsia="Lato Light" w:hAnsi="Lato Light"/>
          <w:color w:val="ffffff"/>
          <w:sz w:val="38"/>
          <w:szCs w:val="38"/>
          <w:rtl w:val="0"/>
        </w:rPr>
        <w:t xml:space="preserve">Registo Inteligente de Cancro da Mama - SPS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right"/>
        <w:rPr>
          <w:rFonts w:ascii="Lato Light" w:cs="Lato Light" w:eastAsia="Lato Light" w:hAnsi="Lato Light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right"/>
        <w:rPr>
          <w:rFonts w:ascii="Lato Light" w:cs="Lato Light" w:eastAsia="Lato Light" w:hAnsi="Lato Light"/>
          <w:color w:val="ffffff"/>
          <w:sz w:val="26"/>
          <w:szCs w:val="26"/>
        </w:rPr>
      </w:pPr>
      <w:r w:rsidDel="00000000" w:rsidR="00000000" w:rsidRPr="00000000">
        <w:rPr>
          <w:rFonts w:ascii="Lato Light" w:cs="Lato Light" w:eastAsia="Lato Light" w:hAnsi="Lato Light"/>
          <w:color w:val="ffffff"/>
          <w:sz w:val="26"/>
          <w:szCs w:val="26"/>
          <w:rtl w:val="0"/>
        </w:rPr>
        <w:t xml:space="preserve">Version </w:t>
      </w:r>
      <w:r w:rsidDel="00000000" w:rsidR="00000000" w:rsidRPr="00000000">
        <w:rPr>
          <w:rFonts w:ascii="Lato Light" w:cs="Lato Light" w:eastAsia="Lato Light" w:hAnsi="Lato Light"/>
          <w:color w:val="ffffff"/>
          <w:sz w:val="26"/>
          <w:szCs w:val="26"/>
          <w:rtl w:val="0"/>
        </w:rPr>
        <w:t xml:space="preserve">0.1</w:t>
      </w:r>
      <w:r w:rsidDel="00000000" w:rsidR="00000000" w:rsidRPr="00000000">
        <w:rPr>
          <w:rFonts w:ascii="Lato Light" w:cs="Lato Light" w:eastAsia="Lato Light" w:hAnsi="Lato Light"/>
          <w:color w:val="ffffff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 Light" w:cs="Lato Light" w:eastAsia="Lato Light" w:hAnsi="Lato Light"/>
          <w:color w:val="ffffff"/>
          <w:sz w:val="26"/>
          <w:szCs w:val="26"/>
          <w:rtl w:val="0"/>
        </w:rPr>
        <w:t xml:space="preserve">18 março 2026</w:t>
      </w:r>
    </w:p>
    <w:p w:rsidR="00000000" w:rsidDel="00000000" w:rsidP="00000000" w:rsidRDefault="00000000" w:rsidRPr="00000000" w14:paraId="0000000C">
      <w:pPr>
        <w:pageBreakBefore w:val="0"/>
        <w:jc w:val="right"/>
        <w:rPr>
          <w:rFonts w:ascii="Lato Light" w:cs="Lato Light" w:eastAsia="Lato Light" w:hAnsi="Lato Light"/>
          <w:color w:val="ffffff"/>
          <w:sz w:val="28"/>
          <w:szCs w:val="28"/>
        </w:rPr>
      </w:pPr>
      <w:r w:rsidDel="00000000" w:rsidR="00000000" w:rsidRPr="00000000">
        <w:rPr>
          <w:rFonts w:ascii="Lato Light" w:cs="Lato Light" w:eastAsia="Lato Light" w:hAnsi="Lato Light"/>
          <w:color w:val="ffffff"/>
          <w:sz w:val="28"/>
          <w:szCs w:val="28"/>
          <w:rtl w:val="0"/>
        </w:rPr>
        <w:t xml:space="preserve">--</w:t>
      </w:r>
    </w:p>
    <w:p w:rsidR="00000000" w:rsidDel="00000000" w:rsidP="00000000" w:rsidRDefault="00000000" w:rsidRPr="00000000" w14:paraId="0000000D">
      <w:pPr>
        <w:pageBreakBefore w:val="0"/>
        <w:jc w:val="right"/>
        <w:rPr>
          <w:b w:val="1"/>
          <w:bCs w:val="1"/>
          <w:color w:val="ffffff"/>
          <w:sz w:val="26"/>
          <w:szCs w:val="26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2438400</wp:posOffset>
            </wp:positionH>
            <wp:positionV relativeFrom="page">
              <wp:posOffset>7689215</wp:posOffset>
            </wp:positionV>
            <wp:extent cx="5334000" cy="311467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14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ato" w:cs="Lato" w:eastAsia="Lato" w:hAnsi="Lato"/>
          <w:b w:val="1"/>
          <w:bCs w:val="1"/>
          <w:color w:val="ffffff"/>
          <w:sz w:val="26"/>
          <w:szCs w:val="26"/>
          <w:rtl w:val="0"/>
        </w:rPr>
        <w:t xml:space="preserve">CONFIDEN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b w:val="1"/>
          <w:bCs w:val="1"/>
          <w:color w:val="ffffff"/>
          <w:sz w:val="26"/>
          <w:szCs w:val="26"/>
          <w:rtl w:val="0"/>
        </w:rPr>
        <w:t xml:space="preserve">IAL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</w:rPr>
      </w:pPr>
      <w:r w:rsidDel="00000000" w:rsidR="00000000" w:rsidRPr="00000000"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698200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l15urp8jyffw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3h9fiqx072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Sumário Executivo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avjw1w3p5a9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Operacional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gydfanvw7td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Proposta Financeira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qbjcq8apf5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Desenvolvimento Dashboard Indicadores e Fase Piloto em 3 Hospitais - Ano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f4icqv2bqr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Manutenção Anual Dashboard Indicadores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d7h2p2urvq">
            <w:r w:rsidDel="00000000" w:rsidR="00000000" w:rsidRPr="00000000">
              <w:rPr>
                <w:rFonts w:ascii="Lato Light" w:cs="Lato Light" w:eastAsia="Lato Light" w:hAnsi="Lato Light"/>
                <w:sz w:val="20"/>
                <w:szCs w:val="20"/>
                <w:rtl w:val="0"/>
              </w:rPr>
              <w:t xml:space="preserve">3. Módulo Específico EUSOMA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bkptqpyb37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Timeline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uogu2jpyqcx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Termos e Condições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9it53v43q9w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ab/>
        <w:tab/>
        <w:t xml:space="preserve">SPS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Daniela Antunes, Tiago Taveira-Gomes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Recipient</w:t>
      </w:r>
      <w:r w:rsidDel="00000000" w:rsidR="00000000" w:rsidRPr="00000000">
        <w:rPr>
          <w:rtl w:val="0"/>
        </w:rPr>
        <w:tab/>
        <w:t xml:space="preserve">Adriana Salgueiro, Paulo Cortes, Ana Rita Garcia, Gabriela Sousa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rPr>
          <w:sz w:val="32"/>
          <w:szCs w:val="32"/>
        </w:rPr>
      </w:pPr>
      <w:bookmarkStart w:colFirst="0" w:colLast="0" w:name="_l15urp8jyffw" w:id="1"/>
      <w:bookmarkEnd w:id="1"/>
      <w:r w:rsidDel="00000000" w:rsidR="00000000" w:rsidRPr="00000000">
        <w:rPr>
          <w:rtl w:val="0"/>
        </w:rPr>
        <w:t xml:space="preserve">Change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jveq89wjfvva" w:id="2"/>
      <w:bookmarkEnd w:id="2"/>
      <w:r w:rsidDel="00000000" w:rsidR="00000000" w:rsidRPr="00000000">
        <w:rPr>
          <w:rtl w:val="0"/>
        </w:rPr>
        <w:t xml:space="preserve">Version 0.1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Proposta inicial baseada no pedido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sz w:val="40"/>
          <w:szCs w:val="40"/>
        </w:rPr>
      </w:pPr>
      <w:bookmarkStart w:colFirst="0" w:colLast="0" w:name="_1r3h9fiqx072" w:id="3"/>
      <w:bookmarkEnd w:id="3"/>
      <w:r w:rsidDel="00000000" w:rsidR="00000000" w:rsidRPr="00000000">
        <w:rPr>
          <w:rtl w:val="0"/>
        </w:rPr>
        <w:t xml:space="preserve">Sumário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MTG Research and Development Lab (MTG) propõe colaborar com a Sociedade Portuguesa de Senologia (SPS) para a implementação do Registo Inteligente de Cancro da Mama. Esta iniciativa visa superar as limitações dos registos tradicionais, implementando uma infraestrutura tecnológica avançada para geração de evidência em tempo real (</w:t>
      </w:r>
      <w:r w:rsidDel="00000000" w:rsidR="00000000" w:rsidRPr="00000000">
        <w:rPr>
          <w:i w:val="1"/>
          <w:iCs w:val="1"/>
          <w:rtl w:val="0"/>
        </w:rPr>
        <w:t xml:space="preserve">Real-World Evidence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projeto assenta numa colaboração estratégica entre três entidades e respetivas tecnologias: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Opvance (Hardware e Cibersegurança): Fornece a plataforma TERAS (</w:t>
      </w:r>
      <w:r w:rsidDel="00000000" w:rsidR="00000000" w:rsidRPr="00000000">
        <w:rPr>
          <w:i w:val="1"/>
          <w:iCs w:val="1"/>
          <w:rtl w:val="0"/>
        </w:rPr>
        <w:t xml:space="preserve">Zero-Trust</w:t>
      </w:r>
      <w:r w:rsidDel="00000000" w:rsidR="00000000" w:rsidRPr="00000000">
        <w:rPr>
          <w:rtl w:val="0"/>
        </w:rPr>
        <w:t xml:space="preserve">), garantindo o </w:t>
      </w:r>
      <w:r w:rsidDel="00000000" w:rsidR="00000000" w:rsidRPr="00000000">
        <w:rPr>
          <w:i w:val="1"/>
          <w:i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/infraestrutura central inviolável e federada.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Asklepic (Extração IA e Refinamento): Fornece a ferramenta PARSE, utilizando Modelos de Linguagem de Grande Escala (LLMs) para curadoria e validação de dados clínicos não estruturados.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MTG (Engenharia de Dados e Visualização): Desenvolve os processos ETL (como investimento de risco, sem custo) e o Dashpackage, que consiste no dashboard interativo e na ferramenta de extração de relatórios para instalação local.</w:t>
      </w:r>
    </w:p>
    <w:p w:rsidR="00000000" w:rsidDel="00000000" w:rsidP="00000000" w:rsidRDefault="00000000" w:rsidRPr="00000000" w14:paraId="00000029">
      <w:pPr>
        <w:pStyle w:val="Heading1"/>
        <w:spacing w:after="80" w:before="280" w:line="240" w:lineRule="auto"/>
        <w:rPr/>
      </w:pPr>
      <w:bookmarkStart w:colFirst="0" w:colLast="0" w:name="_eavjw1w3p5a9" w:id="4"/>
      <w:bookmarkEnd w:id="4"/>
      <w:r w:rsidDel="00000000" w:rsidR="00000000" w:rsidRPr="00000000">
        <w:rPr>
          <w:rtl w:val="0"/>
        </w:rPr>
        <w:t xml:space="preserve">Modelo Operacional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garantir o rigor científico, a soberania dos dados e a conformidade legal, a operacionalização do projeto segue um fluxo tecnológico e metodológico concebido para operar numa arquitetura federada. Este modelo assenta no paradigma </w:t>
      </w:r>
      <w:r w:rsidDel="00000000" w:rsidR="00000000" w:rsidRPr="00000000">
        <w:rPr>
          <w:i w:val="1"/>
          <w:iCs w:val="1"/>
          <w:rtl w:val="0"/>
        </w:rPr>
        <w:t xml:space="preserve">algorithm-goes-to-data</w:t>
      </w:r>
      <w:r w:rsidDel="00000000" w:rsidR="00000000" w:rsidRPr="00000000">
        <w:rPr>
          <w:rtl w:val="0"/>
        </w:rPr>
        <w:t xml:space="preserve">, assegurando que a informação sensível nunca abandona o perímetro físico e lógico de segurança das instituições de saúde. O ciclo de vida dos dados, desde a aprovação regulamentar até à extração de indicadores EUSOMA, desenvolve-se através das seguintes fases integradas: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Preparação Ética, Legal e Regulamentar (CES e EPD)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A operacionalização inicia-se com a submissão formal do projeto aos conselhos de administração, Comissões de Ética para a Saúde (CES) e Encarregados de Proteção de Dados (EPD) de cada hospital participante, um processo liderado e orquestrado pela SPS. A MTG fornece o pacote de documentação técnica basilar, que inclui o Protocolo do Estudo e o </w:t>
      </w:r>
      <w:r w:rsidDel="00000000" w:rsidR="00000000" w:rsidRPr="00000000">
        <w:rPr>
          <w:i w:val="1"/>
          <w:iCs w:val="1"/>
          <w:rtl w:val="0"/>
        </w:rPr>
        <w:t xml:space="preserve">Data Protection Impact Assessment</w:t>
      </w:r>
      <w:r w:rsidDel="00000000" w:rsidR="00000000" w:rsidRPr="00000000">
        <w:rPr>
          <w:rtl w:val="0"/>
        </w:rPr>
        <w:t xml:space="preserve"> (DPIA)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Implementação da Infraestrutura de Segurança e Soberania (Opvance)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Paralelamente procede-se à implementação da plataforma TERAS </w:t>
      </w:r>
      <w:r w:rsidDel="00000000" w:rsidR="00000000" w:rsidRPr="00000000">
        <w:rPr>
          <w:i w:val="1"/>
          <w:iCs w:val="1"/>
          <w:rtl w:val="0"/>
        </w:rPr>
        <w:t xml:space="preserve">(Zero-Trust Data Space Platform</w:t>
      </w:r>
      <w:r w:rsidDel="00000000" w:rsidR="00000000" w:rsidRPr="00000000">
        <w:rPr>
          <w:rtl w:val="0"/>
        </w:rPr>
        <w:t xml:space="preserve">), fornecida pela Opvance. Esta plataforma atua como o eixo central de cibersegurança e orquestração, sendo implementada na infraestrutura própria gerida pela SPS. A sua função é garantir um canal de comunicação bidirecional seguro com as instituições de saúde e fornecer um ambiente inviolável (</w:t>
      </w:r>
      <w:r w:rsidDel="00000000" w:rsidR="00000000" w:rsidRPr="00000000">
        <w:rPr>
          <w:i w:val="1"/>
          <w:iCs w:val="1"/>
          <w:rtl w:val="0"/>
        </w:rPr>
        <w:t xml:space="preserve">tamper-proof</w:t>
      </w:r>
      <w:r w:rsidDel="00000000" w:rsidR="00000000" w:rsidRPr="00000000">
        <w:rPr>
          <w:rtl w:val="0"/>
        </w:rPr>
        <w:t xml:space="preserve">) e auditável para a receção exclusiva de resultados analíticos agregados. Esta camada assegura a conformidade estrita com o Regulamento Geral sobre a Proteção de Dados (RGPD), operando com base no princípio de que nenhuma entidade central confia por defeito nos nós periféricos sem verificação criptográfica contínua.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Engenharia de Dados e Normalização - Processo ETL (MTG)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A MTG desenvolve os processos de extração, transformação e carregamento (</w:t>
      </w:r>
      <w:r w:rsidDel="00000000" w:rsidR="00000000" w:rsidRPr="00000000">
        <w:rPr>
          <w:i w:val="1"/>
          <w:iCs w:val="1"/>
          <w:rtl w:val="0"/>
        </w:rPr>
        <w:t xml:space="preserve">ETL - Extract, Transform, Load</w:t>
      </w:r>
      <w:r w:rsidDel="00000000" w:rsidR="00000000" w:rsidRPr="00000000">
        <w:rPr>
          <w:rtl w:val="0"/>
        </w:rPr>
        <w:t xml:space="preserve">) especificamente para serem implementados na infraestrutura de cada hospital. Este processo permite a extração dos dados dos sistemas de informação heterogéneos da própria instituição (como o SClinico) e mapeia-os para um modelo de dados comum harmonizado (OMOP-CDM).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O objetivo central desta fase é dotar cada hospital da infraestrutura de dados e da capacidade tecnológica necessárias para conseguir correr o pacote de estudo (Dashpackage) de forma autónoma.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É esta normalização local que viabiliza todo o ecossistema: ao terem os dados estruturados no seu próprio ambiente, os hospitais ganham a capacidade de extrair os indicadores clínicos e de reportar à SPS a informação agregada necessária (como o relatório EUSOMA), garantindo em simultâneo a total interoperabilidade semântica e a soberania inegociável sobre os seus dados brutos.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Extração e Controlo de Qualidade via Inteligência Artificial (Asklepic)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colmatar a vasta quantidade de informação clínica que reside em formatos não estruturados, como notas clínicas em texto livre, o projeto introduz o framework </w:t>
      </w:r>
      <w:r w:rsidDel="00000000" w:rsidR="00000000" w:rsidRPr="00000000">
        <w:rPr>
          <w:i w:val="1"/>
          <w:iCs w:val="1"/>
          <w:rtl w:val="0"/>
        </w:rPr>
        <w:t xml:space="preserve">PARSE </w:t>
      </w:r>
      <w:r w:rsidDel="00000000" w:rsidR="00000000" w:rsidRPr="00000000">
        <w:rPr>
          <w:rtl w:val="0"/>
        </w:rPr>
        <w:t xml:space="preserve">da parceira Asklepic.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Esta ferramenta atua como um </w:t>
      </w:r>
      <w:r w:rsidDel="00000000" w:rsidR="00000000" w:rsidRPr="00000000">
        <w:rPr>
          <w:i w:val="1"/>
          <w:iCs w:val="1"/>
          <w:rtl w:val="0"/>
        </w:rPr>
        <w:t xml:space="preserve">board data manager</w:t>
      </w:r>
      <w:r w:rsidDel="00000000" w:rsidR="00000000" w:rsidRPr="00000000">
        <w:rPr>
          <w:rtl w:val="0"/>
        </w:rPr>
        <w:t xml:space="preserve"> local alimentado por Modelos de LLMs treinados para a curadoria de dados em saúde. A ferramenta processa os textos livres e extrai as variáveis clínicas necessárias (incluindo as exigidas para a norma EUSOMA). O processo de refinamento e controlo de qualidade é altamente parametrizável: o algoritmo calcula probabilisticamente o seu grau de certeza na extração. Variáveis com um nível de confiança abaixo de um limiar pré-definido (por exemplo, uma margem de erro estimada superior a 15%) são automaticamente isoladas numa fila de revisão. Os clínicos locais acedem ao </w:t>
      </w:r>
      <w:r w:rsidDel="00000000" w:rsidR="00000000" w:rsidRPr="00000000">
        <w:rPr>
          <w:i w:val="1"/>
          <w:iCs w:val="1"/>
          <w:rtl w:val="0"/>
        </w:rPr>
        <w:t xml:space="preserve">PARSE </w:t>
      </w:r>
      <w:r w:rsidDel="00000000" w:rsidR="00000000" w:rsidRPr="00000000">
        <w:rPr>
          <w:rtl w:val="0"/>
        </w:rPr>
        <w:t xml:space="preserve">para validar o grau de concordância entre a sugestão da IA e o documento original, baseando a sua decisão em </w:t>
      </w:r>
      <w:r w:rsidDel="00000000" w:rsidR="00000000" w:rsidRPr="00000000">
        <w:rPr>
          <w:i w:val="1"/>
          <w:iCs w:val="1"/>
          <w:rtl w:val="0"/>
        </w:rPr>
        <w:t xml:space="preserve">guidelines</w:t>
      </w:r>
      <w:r w:rsidDel="00000000" w:rsidR="00000000" w:rsidRPr="00000000">
        <w:rPr>
          <w:rtl w:val="0"/>
        </w:rPr>
        <w:t xml:space="preserve"> clínicas codificadas na plataforma. Quaisquer edições ou validações humanas alimentam diretamente o </w:t>
      </w:r>
      <w:r w:rsidDel="00000000" w:rsidR="00000000" w:rsidRPr="00000000">
        <w:rPr>
          <w:i w:val="1"/>
          <w:i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institucional, refinando o modelo e garantindo uma fidelidade clínica variável a variável sem paralelo nos registos convencionais.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5: Implementação do Dashpackage e Geração de Resultados EUSOMA (MTG)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Com o repositório local devidamente populado com dados OMOP-CDM harmonizados e dados não estruturados já validados pela IA, a MTG procede à execução do </w:t>
      </w:r>
      <w:r w:rsidDel="00000000" w:rsidR="00000000" w:rsidRPr="00000000">
        <w:rPr>
          <w:i w:val="1"/>
          <w:iCs w:val="1"/>
          <w:rtl w:val="0"/>
        </w:rPr>
        <w:t xml:space="preserve">Dashpackage</w:t>
      </w:r>
      <w:r w:rsidDel="00000000" w:rsidR="00000000" w:rsidRPr="00000000">
        <w:rPr>
          <w:rtl w:val="0"/>
        </w:rPr>
        <w:t xml:space="preserve">, previamente desenvolvido com recurso a dados </w:t>
      </w:r>
      <w:r w:rsidDel="00000000" w:rsidR="00000000" w:rsidRPr="00000000">
        <w:rPr>
          <w:i w:val="1"/>
          <w:iCs w:val="1"/>
          <w:rtl w:val="0"/>
        </w:rPr>
        <w:t xml:space="preserve">dummies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 servidor de cada centro clínico participante. O </w:t>
      </w:r>
      <w:r w:rsidDel="00000000" w:rsidR="00000000" w:rsidRPr="00000000">
        <w:rPr>
          <w:i w:val="1"/>
          <w:iCs w:val="1"/>
          <w:rtl w:val="0"/>
        </w:rPr>
        <w:t xml:space="preserve">Dashpackage</w:t>
      </w:r>
      <w:r w:rsidDel="00000000" w:rsidR="00000000" w:rsidRPr="00000000">
        <w:rPr>
          <w:rtl w:val="0"/>
        </w:rPr>
        <w:t xml:space="preserve"> é um artefacto de software autónomo (</w:t>
      </w:r>
      <w:r w:rsidDel="00000000" w:rsidR="00000000" w:rsidRPr="00000000">
        <w:rPr>
          <w:i w:val="1"/>
          <w:iCs w:val="1"/>
          <w:rtl w:val="0"/>
        </w:rPr>
        <w:t xml:space="preserve">codebase artifact</w:t>
      </w:r>
      <w:r w:rsidDel="00000000" w:rsidR="00000000" w:rsidRPr="00000000">
        <w:rPr>
          <w:rtl w:val="0"/>
        </w:rPr>
        <w:t xml:space="preserve">), contentorizado via tecnologia Docker para facilitar o seu isolamento e execução segura. Este motor processa os dados localmente e utiliza o Apache Superset para instanciar interfaces gráficas dinâmicas e personalizadas, oferecendo às equipas médicas dashboards interativos que cobrem epidemiologia descritiva avançada e gestão de coortes ao nível do doente (</w:t>
      </w:r>
      <w:r w:rsidDel="00000000" w:rsidR="00000000" w:rsidRPr="00000000">
        <w:rPr>
          <w:i w:val="1"/>
          <w:iCs w:val="1"/>
          <w:rtl w:val="0"/>
        </w:rPr>
        <w:t xml:space="preserve">patient-level</w:t>
      </w:r>
      <w:r w:rsidDel="00000000" w:rsidR="00000000" w:rsidRPr="00000000">
        <w:rPr>
          <w:rtl w:val="0"/>
        </w:rPr>
        <w:t xml:space="preserve">). Fundamentalmente para as metas do projeto, este módulo contém a lógica de cálculo predefinida para agregar os dados validados e gerar de forma automatizada o relatório exigido para a certificação EUSOMA, para que estes dados sejam enviados para o ambiente seguro e para alimentar os dashboards da SPS, reduzindo a carga administrativa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6: Agregação Central e Visualização Federada (SPS)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ciclo encerra-se com a comunicação dos resultados operacionais do Dashpackage para o servidor central. É imperativo sublinhar que os nós locais executam as queries estipuladas e exportam de volta para a infraestrutura TERAS (Opvance) única e exclusivamente pacotes de dados rigorosamente agregados e anonimizados de forma irreversível. Na sede da infraestrutura do Registo, a SPS tem acesso a um painel de controlo central consolidado que apresenta a </w:t>
      </w:r>
      <w:r w:rsidDel="00000000" w:rsidR="00000000" w:rsidRPr="00000000">
        <w:rPr>
          <w:i w:val="1"/>
          <w:iCs w:val="1"/>
          <w:rtl w:val="0"/>
        </w:rPr>
        <w:t xml:space="preserve">Real-World Evidence</w:t>
      </w:r>
      <w:r w:rsidDel="00000000" w:rsidR="00000000" w:rsidRPr="00000000">
        <w:rPr>
          <w:rtl w:val="0"/>
        </w:rPr>
        <w:t xml:space="preserve"> gerada em tempo real, combinando os indicadores de qualidade e as métricas EUSOMA de todos os centros participantes. Este modelo garante que a SPS atinge os seus objetivos de monitorização científica e clínica à escala nacional, cumprindo na íntegra os mais elevados preceitos éticos e de cibersegurança ao descentralizar o armazenamento do dado primário.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color w:val="005172"/>
          <w:sz w:val="40"/>
          <w:szCs w:val="40"/>
        </w:rPr>
      </w:pPr>
      <w:bookmarkStart w:colFirst="0" w:colLast="0" w:name="_8gydfanvw7td" w:id="5"/>
      <w:bookmarkEnd w:id="5"/>
      <w:r w:rsidDel="00000000" w:rsidR="00000000" w:rsidRPr="00000000">
        <w:rPr>
          <w:rtl w:val="0"/>
        </w:rPr>
        <w:t xml:space="preserve">Proposta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(Todos os valores apresentados excluem IVA)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modelo financeiro reflete a natureza mista deste ecossistema, distinguindo claramente os investimentos em inovação,  suportados a título de parceria e partilha de risco pela MTG e pela Asklepic, dos custos operacionais e de licenciamento tecnológico essenciais à infraestrutura. De forma a dar resposta ao pedido de detalhe unitário, a estrutura abaixo apresenta os custos de desenvolvimento central e a estimativa para a implementação do Piloto nos 3 Hospitais iniciais.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120" w:lineRule="auto"/>
        <w:rPr/>
      </w:pPr>
      <w:bookmarkStart w:colFirst="0" w:colLast="0" w:name="_ipqbjcq8apf5" w:id="6"/>
      <w:bookmarkEnd w:id="6"/>
      <w:r w:rsidDel="00000000" w:rsidR="00000000" w:rsidRPr="00000000">
        <w:rPr>
          <w:rtl w:val="0"/>
        </w:rPr>
        <w:t xml:space="preserve">1. Desenvolvimento Dashboard Indicadores e Fase Piloto em 3 Hospitais - Ano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  <w:t xml:space="preserve">Esta fase cobre todo o desenvolvimento fundacional da tecnologia, o licenciamento base, a implementação da infraestrutura e a execução completa do piloto nos primeiros 3 hospitais. Para dar resposta ao pedido de valores unitários de cada serviço, detalhamos a estrutura abaixo: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Planeamento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do Protocolo e Preparação do DPIA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€ 3 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Desenvolvimento e Implementação dos processos de ETL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e implementação dos processos ETL nos centros participantes para extração e harmonização de dados dos vários sistemas hospitalares.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(Investimento e risco assumido a 100% pela MTG na vertente de parceria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8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Aquisição de Hardware para SPS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Aquisição de hardware físico dedicado para a SPS.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B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Instalação e Configuração TERAS (Opvance)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 e configuração da infraestrutura central de segurança (Zero-Trust) alojada na SPS (Opvance).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E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Desenvolvimento do Dashpackage ‘vanilla’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central do Dashpackage 'Vanilla'. Inclui a modelação de coortes complexos e a interface de visualização dos indicadores escolhidos.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25 000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 Licença PARSE (Piloto - 3 Hospitais)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Instalação standalone configurada especificamente para este projeto nos 3 hospitais piloto durante o 1º ano (investimento de risco assumido pela Asklepic para o piloto)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4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 Configuração e Refinamentos Locais do Dashpackage baseado nos primeiros resultados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Adaptação e configuração do Dashpackage e dos scripts de extração de dados para cada um dos três centros clínicos participantes.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Refinamento iterativo do modelo de agregação com base nos dados iniciais recebidos dos centros participantes.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8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€ 6.000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€ 54 000</w:t>
            </w:r>
          </w:p>
        </w:tc>
      </w:tr>
    </w:tbl>
    <w:p w:rsidR="00000000" w:rsidDel="00000000" w:rsidP="00000000" w:rsidRDefault="00000000" w:rsidRPr="00000000" w14:paraId="0000005C">
      <w:pPr>
        <w:pStyle w:val="Heading5"/>
        <w:spacing w:after="120" w:line="276" w:lineRule="auto"/>
        <w:rPr>
          <w:sz w:val="20"/>
          <w:szCs w:val="20"/>
        </w:rPr>
      </w:pPr>
      <w:bookmarkStart w:colFirst="0" w:colLast="0" w:name="_qq69rbbivjnf" w:id="7"/>
      <w:bookmarkEnd w:id="7"/>
      <w:r w:rsidDel="00000000" w:rsidR="00000000" w:rsidRPr="00000000">
        <w:rPr>
          <w:rtl w:val="0"/>
        </w:rPr>
        <w:t xml:space="preserve">Nota: </w:t>
        <w:br w:type="textWrapping"/>
      </w:r>
      <w:r w:rsidDel="00000000" w:rsidR="00000000" w:rsidRPr="00000000">
        <w:rPr>
          <w:rFonts w:ascii="PT Mono" w:cs="PT Mono" w:eastAsia="PT Mono" w:hAnsi="PT Mono"/>
          <w:sz w:val="20"/>
          <w:szCs w:val="20"/>
          <w:rtl w:val="0"/>
        </w:rPr>
        <w:t xml:space="preserve">Uma vez que o servidor central da SPS receberá e armazenará única e exclusivamente dados agregados (sem qualquer identificação de doentes), a aquisição de Hardware Físico (orçamentada em 10.000 €) pode ser substituída por uma solução Cloud. Caso a SPS opte por não comprar o hardware, podemos implementar o sistema numa Cloud Europeia soberana e segura (Scaleway). Optando por esta via, os 10.000 € iniciais são eliminados, passando a existir um custo de alojamento Cloud de aproximadamente 3.500 € / ano.</w:t>
      </w:r>
    </w:p>
    <w:p w:rsidR="00000000" w:rsidDel="00000000" w:rsidP="00000000" w:rsidRDefault="00000000" w:rsidRPr="00000000" w14:paraId="0000005D">
      <w:pPr>
        <w:pStyle w:val="Heading2"/>
        <w:spacing w:after="120" w:before="360" w:line="276" w:lineRule="auto"/>
        <w:rPr/>
      </w:pPr>
      <w:bookmarkStart w:colFirst="0" w:colLast="0" w:name="_w4f4icqv2bqr" w:id="8"/>
      <w:bookmarkEnd w:id="8"/>
      <w:r w:rsidDel="00000000" w:rsidR="00000000" w:rsidRPr="00000000">
        <w:rPr>
          <w:rtl w:val="0"/>
        </w:rPr>
        <w:t xml:space="preserve">2. Manutenção Anual Dashboard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  <w:t xml:space="preserve">Após a conclusão do Piloto (após 1 ano), iniciam-se os custos operacionais para manter o ecossistema a funcionar, garantir a segurança contínua e permitir a evolução clínica do Registo ao longo dos anos.</w:t>
      </w: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Manutenção e Licença TERAS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Suporte técnico, licenciamento e cibersegurança da infraestrutura central da SPS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4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€ 10 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Suporte e Atualização do Dashpackage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 anual fixa que cobre atualizações de pequenas funcionalidades na base de código do Dashpackage (módulos analíticos e camada de visualização). Esta taxa assegura a fiabilidade operacional contínua, a compatibilidade com alterações no esquema de dados agregados e a aplicação de atualizações de segurança periódicas no ambiente do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7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1 500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Licença PARSE </w:t>
            </w:r>
          </w:p>
          <w:p w:rsidR="00000000" w:rsidDel="00000000" w:rsidP="00000000" w:rsidRDefault="00000000" w:rsidRPr="00000000" w14:paraId="0000006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Licença da plataforma autónoma de ingestão e estruturação automática de dados clínicos, ativada após o primeiro ano de piloto para suportar a operação contínua e em escala no âmbito deste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C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€ 30 000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Configuração PARSE (Expansão por Centro)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Configuração local da plataforma PARSE para cada novo centro (ULS) adicionado à rede do Registo durante a fase de expansão.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F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€ 5 000/ por centro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Validação Clínica Externa (Expansão por Centro)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Passo de validação externa obrigatória por clínicos especializados em cada novo centro, garantindo que a extração de dados e as métricas estão clinicamente precisas e adaptadas à realidade local.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2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€ 7 500/ por centro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€ 54 000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spacing w:after="120" w:before="360" w:line="276" w:lineRule="auto"/>
        <w:rPr>
          <w:rFonts w:ascii="Rubik Medium" w:cs="Rubik Medium" w:eastAsia="Rubik Medium" w:hAnsi="Rubik Medium"/>
          <w:color w:val="172e42"/>
          <w:sz w:val="24"/>
          <w:szCs w:val="24"/>
        </w:rPr>
      </w:pPr>
      <w:bookmarkStart w:colFirst="0" w:colLast="0" w:name="_mk799is4whgg" w:id="9"/>
      <w:bookmarkEnd w:id="9"/>
      <w:r w:rsidDel="00000000" w:rsidR="00000000" w:rsidRPr="00000000">
        <w:rPr>
          <w:rFonts w:ascii="Lato" w:cs="Lato" w:eastAsia="Lato" w:hAnsi="Lato"/>
          <w:color w:val="666666"/>
          <w:sz w:val="20"/>
          <w:szCs w:val="20"/>
          <w:rtl w:val="0"/>
        </w:rPr>
        <w:t xml:space="preserve">Nota:</w:t>
      </w:r>
      <w:r w:rsidDel="00000000" w:rsidR="00000000" w:rsidRPr="00000000">
        <w:rPr>
          <w:rFonts w:ascii="Lato" w:cs="Lato" w:eastAsia="Lato" w:hAnsi="Lato"/>
          <w:color w:val="666666"/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Fonts w:ascii="Lato" w:cs="Lato" w:eastAsia="Lato" w:hAnsi="Lato"/>
          <w:color w:val="666666"/>
          <w:sz w:val="20"/>
          <w:szCs w:val="20"/>
          <w:rtl w:val="0"/>
        </w:rPr>
        <w:t xml:space="preserve">É nosso objetivo estratégico que a plataforma PARSE seja internalizada pelas ULS à medida que o Registo é expandido. Dessa forma, após a fase inicial de implementação, os custos associados ao licenciamento e manutenção destas ferramentas deverão transitar e ser sustentados diretamente pelos respetivos hospitais, não onerando financeiramente a SPS.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8cjvuib212c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99d7h2p2urvq" w:id="11"/>
      <w:bookmarkEnd w:id="11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Módulo Específico EUSOMA</w:t>
      </w:r>
    </w:p>
    <w:p w:rsidR="00000000" w:rsidDel="00000000" w:rsidP="00000000" w:rsidRDefault="00000000" w:rsidRPr="00000000" w14:paraId="00000079">
      <w:pPr>
        <w:pStyle w:val="Heading4"/>
        <w:rPr>
          <w:sz w:val="18"/>
          <w:szCs w:val="18"/>
        </w:rPr>
      </w:pPr>
      <w:bookmarkStart w:colFirst="0" w:colLast="0" w:name="_o628qjeh77pg" w:id="12"/>
      <w:bookmarkEnd w:id="12"/>
      <w:r w:rsidDel="00000000" w:rsidR="00000000" w:rsidRPr="00000000">
        <w:rPr>
          <w:sz w:val="18"/>
          <w:szCs w:val="18"/>
          <w:rtl w:val="0"/>
        </w:rPr>
        <w:t xml:space="preserve">Investimento Inicial - Módulo Específico EUSOMA</w:t>
      </w:r>
    </w:p>
    <w:tbl>
      <w:tblPr>
        <w:tblStyle w:val="Table3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Desenvolvimento do Package EUSOMA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central do pacote de estudo específico (Package) para a extração das métricas EUSOMA. Este pacote de software autónomo é desenhado para correr nas instituições locais.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€ 20 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Refinamento e Configuração Local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Configuração e adaptação do Study Package na infraestrutura dos 3 hospitais piloto (2.000 € por instituição).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2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6 000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Reporte Agregado EUSOMA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eração do primeiro relatório de resultados agregados enviado para a SPS (que pode também alimentar o dashboard de indicadores).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€ 1 500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€ 27 500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spacing w:after="120" w:before="360" w:line="276" w:lineRule="auto"/>
        <w:rPr/>
      </w:pPr>
      <w:bookmarkStart w:colFirst="0" w:colLast="0" w:name="_ainij1jmkr6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rPr>
          <w:sz w:val="18"/>
          <w:szCs w:val="18"/>
        </w:rPr>
      </w:pPr>
      <w:bookmarkStart w:colFirst="0" w:colLast="0" w:name="_b84a3q35lnka" w:id="14"/>
      <w:bookmarkEnd w:id="14"/>
      <w:r w:rsidDel="00000000" w:rsidR="00000000" w:rsidRPr="00000000">
        <w:rPr>
          <w:sz w:val="18"/>
          <w:szCs w:val="18"/>
          <w:rtl w:val="0"/>
        </w:rPr>
        <w:t xml:space="preserve">Manutenção e Serviços Contínuos - Módulo Específico EUSOMA</w:t>
      </w:r>
    </w:p>
    <w:tbl>
      <w:tblPr>
        <w:tblStyle w:val="Table4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Manutenção e Execução do Módulo EUSOMA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Execução periódica do Study Package diretamente nas ULS (instituições locais) e envio contínuo do report de resultados agregados para a SPS, permitindo o reporte atualizado para o EUSOMA.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0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 € 1 500 / ano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€ 1 500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tznbjrvz4272" w:id="15"/>
      <w:bookmarkEnd w:id="15"/>
      <w:r w:rsidDel="00000000" w:rsidR="00000000" w:rsidRPr="00000000">
        <w:rPr>
          <w:rFonts w:ascii="Lato" w:cs="Lato" w:eastAsia="Lato" w:hAnsi="Lato"/>
          <w:color w:val="666666"/>
          <w:sz w:val="20"/>
          <w:szCs w:val="20"/>
          <w:rtl w:val="0"/>
        </w:rPr>
        <w:t xml:space="preserve">Nota:</w:t>
      </w:r>
      <w:r w:rsidDel="00000000" w:rsidR="00000000" w:rsidRPr="00000000">
        <w:rPr>
          <w:rFonts w:ascii="Lato" w:cs="Lato" w:eastAsia="Lato" w:hAnsi="Lato"/>
          <w:color w:val="666666"/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Fonts w:ascii="Lato" w:cs="Lato" w:eastAsia="Lato" w:hAnsi="Lato"/>
          <w:color w:val="666666"/>
          <w:sz w:val="20"/>
          <w:szCs w:val="20"/>
          <w:rtl w:val="0"/>
        </w:rPr>
        <w:t xml:space="preserve">A estruturação e o envio de dados específicos para o EUSOMA serão realizados com recurso à plataforma PARSE, caso consigamos assegurar a sua implementação nas ULS participantes. Caso não seja possível a sua adoção atempada por parte das instituições, a extração ficará assegurada e prosseguirá através da nossa metodologia atual de processamento de dados da MTG.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s7682p2mdqed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5bbkptqpyb37" w:id="17"/>
      <w:bookmarkEnd w:id="17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 projeto está estruturado para arrancar com um Piloto em 3 Hospitais ao longo de 12 meses (considerando os tempos reais de aprovação institucional), seguindo-se o alargamento (Rollout) aos restantes 17 hospitais (totalizando a rede de 20 centros).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Piloto (3 Hospitais)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Mês 1 a Mês 2 (Preparação e Setup Inicial): Elaboração e fecho do Protocolo Clínico/Técnico e do Data Protection Impact Assessment (DPIA) master. Início do desenvolvimento do Dashpackage base ('Vanilla') e do Package EUSOMA.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Mês 3 a Mês 7 (Aprovações Regulamentares e Infraestrutura): Submissão e tramitação dos processos nas CES e EPD de cada uma das 3 instituições (prevendo-se uma sobreposição de processos, com uma duração média estimada de 4 meses por hospital). Finalização do desenvolvimento do Dashpackage 'Vanilla'. Configuração e implementação da infraestrutura de segurança TERAS (Opvance) na SPS.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Mês 8 a Mês 9 (Implementação Local e Extração IA): Implementação da ferramenta PARSE(Asklepic) nos hospitais piloto. Início do processo de estruturação de dados não estruturados via IA e validação pelos clínicos locais. Refinamentos e configuração do Package EUSOMA.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Mês 10 a Mês 12 (Refinamento, Execução e Primeiros Resultados): Refinamentos iterativos e controlo de qualidade dos dados estruturados. Execução do Dashpackage localmente nos 3 hospitais piloto. Execução do Study Package EUSOMA e report dos resultados agregados.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Fase de Expansão (Rollout)</w:t>
      </w:r>
      <w:r w:rsidDel="00000000" w:rsidR="00000000" w:rsidRPr="00000000">
        <w:rPr>
          <w:rtl w:val="0"/>
        </w:rPr>
        <w:t xml:space="preserve"> – Mês 13 em diante: Alargamento progressivo do sistema e instalação do Dashpackage nos restantes 17 centros clínicos previstos.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Rule="auto"/>
        <w:rPr>
          <w:rFonts w:ascii="Rubik Light" w:cs="Rubik Light" w:eastAsia="Rubik Light" w:hAnsi="Rubik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6uogu2jpyqcx" w:id="18"/>
      <w:bookmarkEnd w:id="18"/>
      <w:r w:rsidDel="00000000" w:rsidR="00000000" w:rsidRPr="00000000">
        <w:rPr>
          <w:rtl w:val="0"/>
        </w:rPr>
        <w:t xml:space="preserve">Termos e Condições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Validade da Proposta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Esta proposta é válida para aceitação por um período de 60 dias a partir da data de submissão. Após este período, a MTG reserva-se o direito de rever a disponibilidade de recursos, o âmbito técnico e a estrutura de custos.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Cronograma do Projeto e Governação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Estimativas: O cronograma proposto é uma estimativa baseada na colaboração atempada da SPS e dos centros clínicos participantes. A MTG não se responsabiliza por atrasos causados por fatores fora do seu controlo, nomeadamente o tempo necessário para a obtenção dos pareceres da Comissão de Ética e do Encarregado de Proteção de Dados de cada instituição.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Ciclos de Revisão: Para garantir o progresso do projeto, a SPS terá um prazo máximo de quinze (15) dias úteis para fornecer feedback consolidado sobre as entregas (ex: revisão técnica do Dashpackage e do DPIA master).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Aprovação Tácita: Caso não seja recebido feedback por escrito dentro deste período de 15 dias úteis, o documento ou artefacto sob revisão será considerado aprovado por defeito, permitindo o avanço para a fase seguinte.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Implementação de Software, Suporte e Code Freeze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Responsabilidade de Instalação e Soberania: O Dashpackage é instalado na infraestrutura local do centro de saúde. A instituição mantém a soberania total sobre os seus dados brutos. O centro de saúde permanece exclusivamente responsável pela cibersegurança e proteção de dados do seu ambiente.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Congelamento de Código (Code Freeze): Assim que a versão final do Dashpackage for formalmente aprovada e a fase de implementação começar, o âmbito analítico e a estrutura do código entrarão em Code Freeze. Quaisquer alterações fundamentais solicitadas durante este período serão tratadas como um Pedido de Alteração (Change Request), podendo impactar o cronograma e incorrer em custos adicionais.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Propriedade Intelectual e Licenciamento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Propriedade Intelectual Tecnológica: O código-fonte dos processos ETL, da ferramenta Asklepic (PARSE), do Dashpackage e da infraestrutura Opvance (TERAS) são propriedade da MTG e dos seus respetivos parceiros tecnológicos.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Propriedade e Licenciamento de Dados: Os dados clínicos originais permanecem propriedade e sob a soberania de cada centro clínico participante. Por sua vez, os dados agregados e anonimizados de forma irreversível, gerados pelo Registo, serão propriedade conjunta da SPS e dos centros clínicos que contribuíram com os dados.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5. Exclusões e Limitações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Para evitar qualquer ambiguidade, os seguintes serviços e responsabilidades estão explicitamente excluídos deste acordo: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Acesso Direto a Dados: A MTG nunca acede diretamente aos dados dos doentes, atuando em estrito cumprimento da metodologia algorithm-goes-to-data.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Submissões Institucionais e Éticas: A garantia de obtenção dos pareceres das CES e EPD de cada instituição é da responsabilidade da SPS. A MTG limita o seu envolvimento ao fornecimento do Protocolo e do DPIA Master.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Recrutamento de Centros: O orçamento não inclui atividades relacionadas com a identificação, recrutamento, contratação ou gestão da relação com os centros de saúde participantes. A SPS é exclusivamente responsável por garantir e manter o compromisso formal e a participação ativa de todos os centros.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Expansão do Âmbito da Doença: Qualquer trabalho relacionado com novas patologias para além do Cancro da Mama está excluído e requer uma negociação separada.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440" w:top="180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at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Barlow Condensed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Barlow Condensed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  <w:font w:name="Lato Light">
    <w:embedRegular w:fontKey="{00000000-0000-0000-0000-000000000000}" r:id="rId25" w:subsetted="0"/>
    <w:embedBold w:fontKey="{00000000-0000-0000-0000-000000000000}" r:id="rId26" w:subsetted="0"/>
    <w:embedItalic w:fontKey="{00000000-0000-0000-0000-000000000000}" r:id="rId27" w:subsetted="0"/>
    <w:embedBoldItalic w:fontKey="{00000000-0000-0000-0000-000000000000}" r:id="rId28" w:subsetted="0"/>
  </w:font>
  <w:font w:name="PT Mono">
    <w:embedRegular w:fontKey="{00000000-0000-0000-0000-000000000000}" r:id="rId2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ageBreakBefore w:val="0"/>
      <w:tabs>
        <w:tab w:val="right" w:leader="none" w:pos="8993"/>
      </w:tabs>
      <w:spacing w:after="0" w:line="240" w:lineRule="auto"/>
      <w:ind w:left="0" w:right="33" w:firstLine="0"/>
      <w:jc w:val="left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MTG Research and Development Lab Proposta</w:t>
    </w:r>
    <w:r w:rsidDel="00000000" w:rsidR="00000000" w:rsidRPr="00000000">
      <w:rPr>
        <w:color w:val="999999"/>
        <w:sz w:val="16"/>
        <w:szCs w:val="16"/>
        <w:rtl w:val="0"/>
      </w:rPr>
      <w:tab/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ageBreakBefore w:val="0"/>
      <w:tabs>
        <w:tab w:val="left" w:leader="none" w:pos="3240"/>
        <w:tab w:val="right" w:leader="none" w:pos="9000"/>
        <w:tab w:val="left" w:leader="none" w:pos="6376"/>
        <w:tab w:val="left" w:leader="none" w:pos="5040"/>
        <w:tab w:val="left" w:leader="none" w:pos="2340"/>
      </w:tabs>
      <w:spacing w:after="0" w:line="276" w:lineRule="auto"/>
      <w:rPr>
        <w:b w:val="1"/>
        <w:bCs w:val="1"/>
        <w:color w:val="005172"/>
        <w:sz w:val="16"/>
        <w:szCs w:val="16"/>
      </w:rPr>
    </w:pPr>
    <w:r w:rsidDel="00000000" w:rsidR="00000000" w:rsidRPr="00000000">
      <w:rPr>
        <w:b w:val="1"/>
        <w:bCs w:val="1"/>
        <w:color w:val="005172"/>
        <w:sz w:val="16"/>
        <w:szCs w:val="16"/>
        <w:rtl w:val="0"/>
      </w:rPr>
      <w:t xml:space="preserve">Projecto </w:t>
    </w:r>
    <w:r w:rsidDel="00000000" w:rsidR="00000000" w:rsidRPr="00000000">
      <w:rPr>
        <w:b w:val="1"/>
        <w:bCs w:val="1"/>
        <w:color w:val="005172"/>
        <w:sz w:val="16"/>
        <w:szCs w:val="16"/>
        <w:rtl w:val="0"/>
      </w:rPr>
      <w:t xml:space="preserve">                                     Tipo de Projecto</w:t>
      <w:tab/>
      <w:t xml:space="preserve">Tipo de Doc</w:t>
      <w:tab/>
      <w:t xml:space="preserve">Versão</w:t>
      <w:tab/>
      <w:t xml:space="preserve">Classe</w:t>
      <w:tab/>
      <w:t xml:space="preserve">Data</w:t>
    </w:r>
  </w:p>
  <w:p w:rsidR="00000000" w:rsidDel="00000000" w:rsidP="00000000" w:rsidRDefault="00000000" w:rsidRPr="00000000" w14:paraId="000000B4">
    <w:pPr>
      <w:pageBreakBefore w:val="0"/>
      <w:tabs>
        <w:tab w:val="left" w:leader="none" w:pos="3240"/>
        <w:tab w:val="right" w:leader="none" w:pos="9000"/>
        <w:tab w:val="left" w:leader="none" w:pos="6376"/>
        <w:tab w:val="left" w:leader="none" w:pos="5040"/>
        <w:tab w:val="left" w:leader="none" w:pos="2340"/>
      </w:tabs>
      <w:spacing w:after="0" w:line="276" w:lineRule="auto"/>
      <w:rPr>
        <w:sz w:val="16"/>
        <w:szCs w:val="16"/>
      </w:rPr>
    </w:pPr>
    <w:r w:rsidDel="00000000" w:rsidR="00000000" w:rsidRPr="00000000">
      <w:rPr>
        <w:color w:val="434343"/>
        <w:sz w:val="16"/>
        <w:szCs w:val="16"/>
        <w:rtl w:val="0"/>
      </w:rPr>
      <w:t xml:space="preserve">SPS MAMA                                Dashpackage</w:t>
      <w:tab/>
      <w:t xml:space="preserve">Proposal</w:t>
      <w:tab/>
      <w:t xml:space="preserve">0.1</w:t>
      <w:tab/>
      <w:t xml:space="preserve">Confidencial</w:t>
      <w:tab/>
      <w:t xml:space="preserve">18 Mar 2026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20" w:line="240" w:lineRule="auto"/>
      <w:jc w:val="left"/>
    </w:pPr>
    <w:rPr>
      <w:rFonts w:ascii="Barlow Condensed Medium" w:cs="Barlow Condensed Medium" w:eastAsia="Barlow Condensed Medium" w:hAnsi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76" w:lineRule="auto"/>
      <w:jc w:val="left"/>
    </w:pPr>
    <w:rPr>
      <w:rFonts w:ascii="Barlow Condensed Medium" w:cs="Barlow Condensed Medium" w:eastAsia="Barlow Condensed Medium" w:hAnsi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Barlow Condensed Medium" w:cs="Barlow Condensed Medium" w:eastAsia="Barlow Condensed Medium" w:hAnsi="Barlow Condensed Medium"/>
      <w:color w:val="00517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BarlowCondensedMedium-boldItalic.ttf"/><Relationship Id="rId22" Type="http://schemas.openxmlformats.org/officeDocument/2006/relationships/font" Target="fonts/BarlowCondensed-bold.ttf"/><Relationship Id="rId21" Type="http://schemas.openxmlformats.org/officeDocument/2006/relationships/font" Target="fonts/BarlowCondensed-regular.ttf"/><Relationship Id="rId24" Type="http://schemas.openxmlformats.org/officeDocument/2006/relationships/font" Target="fonts/BarlowCondensed-boldItalic.ttf"/><Relationship Id="rId23" Type="http://schemas.openxmlformats.org/officeDocument/2006/relationships/font" Target="fonts/BarlowCondensed-italic.ttf"/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9" Type="http://schemas.openxmlformats.org/officeDocument/2006/relationships/font" Target="fonts/Nunito-regular.ttf"/><Relationship Id="rId26" Type="http://schemas.openxmlformats.org/officeDocument/2006/relationships/font" Target="fonts/LatoLight-bold.ttf"/><Relationship Id="rId25" Type="http://schemas.openxmlformats.org/officeDocument/2006/relationships/font" Target="fonts/LatoLight-regular.ttf"/><Relationship Id="rId28" Type="http://schemas.openxmlformats.org/officeDocument/2006/relationships/font" Target="fonts/LatoLight-boldItalic.ttf"/><Relationship Id="rId27" Type="http://schemas.openxmlformats.org/officeDocument/2006/relationships/font" Target="fonts/LatoLight-italic.ttf"/><Relationship Id="rId5" Type="http://schemas.openxmlformats.org/officeDocument/2006/relationships/font" Target="fonts/RubikLight-regular.ttf"/><Relationship Id="rId6" Type="http://schemas.openxmlformats.org/officeDocument/2006/relationships/font" Target="fonts/RubikLight-bold.ttf"/><Relationship Id="rId29" Type="http://schemas.openxmlformats.org/officeDocument/2006/relationships/font" Target="fonts/PTMono-regular.ttf"/><Relationship Id="rId7" Type="http://schemas.openxmlformats.org/officeDocument/2006/relationships/font" Target="fonts/RubikLight-italic.ttf"/><Relationship Id="rId8" Type="http://schemas.openxmlformats.org/officeDocument/2006/relationships/font" Target="fonts/RubikLight-boldItalic.ttf"/><Relationship Id="rId11" Type="http://schemas.openxmlformats.org/officeDocument/2006/relationships/font" Target="fonts/Nunito-italic.ttf"/><Relationship Id="rId10" Type="http://schemas.openxmlformats.org/officeDocument/2006/relationships/font" Target="fonts/Nunito-bold.ttf"/><Relationship Id="rId13" Type="http://schemas.openxmlformats.org/officeDocument/2006/relationships/font" Target="fonts/Lato-regular.ttf"/><Relationship Id="rId12" Type="http://schemas.openxmlformats.org/officeDocument/2006/relationships/font" Target="fonts/Nunito-boldItalic.ttf"/><Relationship Id="rId15" Type="http://schemas.openxmlformats.org/officeDocument/2006/relationships/font" Target="fonts/Lato-italic.ttf"/><Relationship Id="rId14" Type="http://schemas.openxmlformats.org/officeDocument/2006/relationships/font" Target="fonts/Lato-bold.ttf"/><Relationship Id="rId17" Type="http://schemas.openxmlformats.org/officeDocument/2006/relationships/font" Target="fonts/BarlowCondensedMedium-regular.ttf"/><Relationship Id="rId16" Type="http://schemas.openxmlformats.org/officeDocument/2006/relationships/font" Target="fonts/Lato-boldItalic.ttf"/><Relationship Id="rId19" Type="http://schemas.openxmlformats.org/officeDocument/2006/relationships/font" Target="fonts/BarlowCondensedMedium-italic.ttf"/><Relationship Id="rId18" Type="http://schemas.openxmlformats.org/officeDocument/2006/relationships/font" Target="fonts/BarlowCondense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