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1086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56550" y="411000"/>
                          <a:ext cx="4731300" cy="7120800"/>
                        </a:xfrm>
                        <a:prstGeom prst="rect">
                          <a:avLst/>
                        </a:prstGeom>
                        <a:solidFill>
                          <a:srgbClr val="0133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10863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7108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-2057399</wp:posOffset>
            </wp:positionH>
            <wp:positionV relativeFrom="margin">
              <wp:posOffset>481013</wp:posOffset>
            </wp:positionV>
            <wp:extent cx="4835470" cy="873918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470" cy="8739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238125</wp:posOffset>
            </wp:positionH>
            <wp:positionV relativeFrom="page">
              <wp:posOffset>246099</wp:posOffset>
            </wp:positionV>
            <wp:extent cx="3643659" cy="896901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6007" l="8980" r="1983" t="25641"/>
                    <a:stretch>
                      <a:fillRect/>
                    </a:stretch>
                  </pic:blipFill>
                  <pic:spPr>
                    <a:xfrm>
                      <a:off x="0" y="0"/>
                      <a:ext cx="3643659" cy="896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Barlow Condensed" w:cs="Barlow Condensed" w:eastAsia="Barlow Condensed" w:hAnsi="Barlow Condensed"/>
          <w:color w:val="ffffff"/>
          <w:sz w:val="100"/>
          <w:szCs w:val="100"/>
        </w:rPr>
      </w:pPr>
      <w:r w:rsidDel="00000000" w:rsidR="00000000" w:rsidRPr="00000000">
        <w:rPr>
          <w:rFonts w:ascii="Barlow Condensed" w:cs="Barlow Condensed" w:eastAsia="Barlow Condensed" w:hAnsi="Barlow Condensed"/>
          <w:color w:val="178ecb"/>
          <w:sz w:val="58"/>
          <w:szCs w:val="58"/>
          <w:rtl w:val="0"/>
        </w:rPr>
        <w:t xml:space="preserve">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3330" w:right="-60" w:firstLine="0"/>
        <w:jc w:val="right"/>
        <w:rPr>
          <w:rFonts w:ascii="Lato Light" w:cs="Lato Light" w:eastAsia="Lato Light" w:hAnsi="Lato Light"/>
          <w:color w:val="ffffff"/>
          <w:sz w:val="38"/>
          <w:szCs w:val="38"/>
        </w:rPr>
      </w:pPr>
      <w:r w:rsidDel="00000000" w:rsidR="00000000" w:rsidRPr="00000000">
        <w:rPr>
          <w:rFonts w:ascii="Lato Light" w:cs="Lato Light" w:eastAsia="Lato Light" w:hAnsi="Lato Light"/>
          <w:color w:val="ffffff"/>
          <w:sz w:val="38"/>
          <w:szCs w:val="38"/>
          <w:rtl w:val="0"/>
        </w:rPr>
        <w:t xml:space="preserve">Registo Inteligente de Cancro da Mama - SPS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right"/>
        <w:rPr>
          <w:rFonts w:ascii="Lato Light" w:cs="Lato Light" w:eastAsia="Lato Light" w:hAnsi="Lato Light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right"/>
        <w:rPr>
          <w:rFonts w:ascii="Lato Light" w:cs="Lato Light" w:eastAsia="Lato Light" w:hAnsi="Lato Light"/>
          <w:color w:val="ffffff"/>
          <w:sz w:val="26"/>
          <w:szCs w:val="26"/>
        </w:rPr>
      </w:pP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t xml:space="preserve">Version </w:t>
      </w: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t xml:space="preserve">0.1.1</w:t>
      </w: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br w:type="textWrapping"/>
        <w:t xml:space="preserve">25 </w:t>
      </w:r>
      <w:r w:rsidDel="00000000" w:rsidR="00000000" w:rsidRPr="00000000">
        <w:rPr>
          <w:rFonts w:ascii="Lato Light" w:cs="Lato Light" w:eastAsia="Lato Light" w:hAnsi="Lato Light"/>
          <w:color w:val="ffffff"/>
          <w:sz w:val="26"/>
          <w:szCs w:val="26"/>
          <w:rtl w:val="0"/>
        </w:rPr>
        <w:t xml:space="preserve">março 2026</w:t>
      </w:r>
    </w:p>
    <w:p w:rsidR="00000000" w:rsidDel="00000000" w:rsidP="00000000" w:rsidRDefault="00000000" w:rsidRPr="00000000" w14:paraId="0000000C">
      <w:pPr>
        <w:pageBreakBefore w:val="0"/>
        <w:jc w:val="right"/>
        <w:rPr>
          <w:rFonts w:ascii="Lato Light" w:cs="Lato Light" w:eastAsia="Lato Light" w:hAnsi="Lato Light"/>
          <w:color w:val="ffffff"/>
          <w:sz w:val="28"/>
          <w:szCs w:val="28"/>
        </w:rPr>
      </w:pPr>
      <w:r w:rsidDel="00000000" w:rsidR="00000000" w:rsidRPr="00000000">
        <w:rPr>
          <w:rFonts w:ascii="Lato Light" w:cs="Lato Light" w:eastAsia="Lato Light" w:hAnsi="Lato Light"/>
          <w:color w:val="ffffff"/>
          <w:sz w:val="28"/>
          <w:szCs w:val="28"/>
          <w:rtl w:val="0"/>
        </w:rPr>
        <w:t xml:space="preserve">--</w:t>
      </w:r>
    </w:p>
    <w:p w:rsidR="00000000" w:rsidDel="00000000" w:rsidP="00000000" w:rsidRDefault="00000000" w:rsidRPr="00000000" w14:paraId="0000000D">
      <w:pPr>
        <w:pageBreakBefore w:val="0"/>
        <w:jc w:val="right"/>
        <w:rPr>
          <w:b w:val="1"/>
          <w:bCs w:val="1"/>
          <w:color w:val="ffffff"/>
          <w:sz w:val="26"/>
          <w:szCs w:val="26"/>
          <w:shd w:fill="741b4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2438400</wp:posOffset>
            </wp:positionH>
            <wp:positionV relativeFrom="page">
              <wp:posOffset>7689215</wp:posOffset>
            </wp:positionV>
            <wp:extent cx="5334000" cy="31146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1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ato" w:cs="Lato" w:eastAsia="Lato" w:hAnsi="Lato"/>
          <w:b w:val="1"/>
          <w:bCs w:val="1"/>
          <w:color w:val="ffffff"/>
          <w:sz w:val="26"/>
          <w:szCs w:val="26"/>
          <w:rtl w:val="0"/>
        </w:rPr>
        <w:t xml:space="preserve">CONFIDEN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b w:val="1"/>
          <w:bCs w:val="1"/>
          <w:color w:val="ffffff"/>
          <w:sz w:val="26"/>
          <w:szCs w:val="26"/>
          <w:rtl w:val="0"/>
        </w:rPr>
        <w:t xml:space="preserve">IAL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</w:rPr>
      </w:pPr>
      <w:r w:rsidDel="00000000" w:rsidR="00000000" w:rsidRPr="00000000"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1111045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l15urp8jyffw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3h9fiqx072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Sumário Executivo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vjw1w3p5a9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Operacional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gydfanvw7td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Proposta Financeira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qbjcq8apf5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 1: Implementação do Projeto Piloto e Módulo EUSOMA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f4icqv2bqr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 2: Cenários Opcionais e Futuros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bkptqpyb37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ogu2jpyqcx">
            <w:r w:rsidDel="00000000" w:rsidR="00000000" w:rsidRPr="00000000">
              <w:rPr>
                <w:rFonts w:ascii="Lato Light" w:cs="Lato Light" w:eastAsia="Lato Light" w:hAnsi="Lato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Termos e Condições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rPr/>
      </w:pPr>
      <w:bookmarkStart w:colFirst="0" w:colLast="0" w:name="_9it53v43q9w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Barlow Condensed Medium" w:cs="Barlow Condensed Medium" w:eastAsia="Barlow Condensed Medium" w:hAnsi="Barlow Condensed Medium"/>
          <w:color w:val="005172"/>
          <w:sz w:val="40"/>
          <w:szCs w:val="4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ab/>
        <w:tab/>
        <w:t xml:space="preserve">SPS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Daniela Antunes, Tiago Taveira-Gomes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Recipient</w:t>
      </w:r>
      <w:r w:rsidDel="00000000" w:rsidR="00000000" w:rsidRPr="00000000">
        <w:rPr>
          <w:rtl w:val="0"/>
        </w:rPr>
        <w:tab/>
        <w:t xml:space="preserve">Adriana Salgueiro, Paulo Cortes, Ana Rita Garcia, Gabriela Sousa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rPr>
          <w:sz w:val="32"/>
          <w:szCs w:val="32"/>
        </w:rPr>
      </w:pPr>
      <w:bookmarkStart w:colFirst="0" w:colLast="0" w:name="_l15urp8jyffw" w:id="1"/>
      <w:bookmarkEnd w:id="1"/>
      <w:r w:rsidDel="00000000" w:rsidR="00000000" w:rsidRPr="00000000">
        <w:rPr>
          <w:rtl w:val="0"/>
        </w:rPr>
        <w:t xml:space="preserve">Change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jveq89wjfvva" w:id="2"/>
      <w:bookmarkEnd w:id="2"/>
      <w:r w:rsidDel="00000000" w:rsidR="00000000" w:rsidRPr="00000000">
        <w:rPr>
          <w:rtl w:val="0"/>
        </w:rPr>
        <w:t xml:space="preserve">Version 0.1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Proposta inicial baseada no pedido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sz w:val="40"/>
          <w:szCs w:val="40"/>
        </w:rPr>
      </w:pPr>
      <w:bookmarkStart w:colFirst="0" w:colLast="0" w:name="_1r3h9fiqx072" w:id="3"/>
      <w:bookmarkEnd w:id="3"/>
      <w:r w:rsidDel="00000000" w:rsidR="00000000" w:rsidRPr="00000000">
        <w:rPr>
          <w:rtl w:val="0"/>
        </w:rPr>
        <w:t xml:space="preserve">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MTG Research and Development Lab (MTG) propõe colaborar com a Sociedade Portuguesa de Senologia (SPS) para a implementação do Registo Inteligente de Cancro da Mama. Esta iniciativa visa superar as limitações dos registos tradicionais, implementando uma infraestrutura tecnológica avançada para geração de evidência em tempo real (</w:t>
      </w:r>
      <w:r w:rsidDel="00000000" w:rsidR="00000000" w:rsidRPr="00000000">
        <w:rPr>
          <w:i w:val="1"/>
          <w:iCs w:val="1"/>
          <w:rtl w:val="0"/>
        </w:rPr>
        <w:t xml:space="preserve">Real-World Evidence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projeto assenta numa colaboração estratégica entre três entidades e respetivas tecnologias: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Opvance (Hardware e Cibersegurança): Num cenário futuro de centralização de dados agregados, fornecerá a plataforma TERAS (Zero-Trust), garantindo o hardware/infraestrutura central inviolável e federada.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Asklepic (Extração IA e Refinamento): Fornece a ferramenta PARSE, utilizando Modelos de Linguagem de Grande Escala (LLMs) para curadoria e validação de dados clínicos não estruturados.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MTG (Engenharia de Dados e Visualização):Desenvolve os processos ETL (como investimento de risco, sem custo) e o módulo específico de extração de relatórios EUSOMA para instalação local. Numa fase futura, caso a SPS pretenda centralizar indicadores, a MTG desenvolverá o Dashpackage (dashboard interativo central).</w:t>
      </w:r>
    </w:p>
    <w:p w:rsidR="00000000" w:rsidDel="00000000" w:rsidP="00000000" w:rsidRDefault="00000000" w:rsidRPr="00000000" w14:paraId="00000028">
      <w:pPr>
        <w:pStyle w:val="Heading1"/>
        <w:spacing w:after="80" w:before="280" w:line="240" w:lineRule="auto"/>
        <w:rPr/>
      </w:pPr>
      <w:bookmarkStart w:colFirst="0" w:colLast="0" w:name="_eavjw1w3p5a9" w:id="4"/>
      <w:bookmarkEnd w:id="4"/>
      <w:r w:rsidDel="00000000" w:rsidR="00000000" w:rsidRPr="00000000">
        <w:rPr>
          <w:rtl w:val="0"/>
        </w:rPr>
        <w:t xml:space="preserve">Modelo Operacional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Para garantir o rigor científico, a soberania dos dados e a conformidade legal, a operacionalização do projeto segue um fluxo tecnológico e metodológico concebido para operar numa arquitetura federada. Este modelo assenta no paradigma </w:t>
      </w:r>
      <w:r w:rsidDel="00000000" w:rsidR="00000000" w:rsidRPr="00000000">
        <w:rPr>
          <w:i w:val="1"/>
          <w:iCs w:val="1"/>
          <w:rtl w:val="0"/>
        </w:rPr>
        <w:t xml:space="preserve">algorithm-goes-to-data</w:t>
      </w:r>
      <w:r w:rsidDel="00000000" w:rsidR="00000000" w:rsidRPr="00000000">
        <w:rPr>
          <w:rtl w:val="0"/>
        </w:rPr>
        <w:t xml:space="preserve">, assegurando que a informação sensível nunca abandona o perímetro físico e lógico de segurança das instituições de saúde. O ciclo de vida dos dados, desde a aprovação regulamentar até à extração de indicadores EUSOMA, desenvolve-se através das seguintes fases integradas: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Preparação Ética, Legal e Regulamentar (CES e EPD)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A operacionalização inicia-se com a submissão formal do projeto aos conselhos de administração, Comissões de Ética para a Saúde (CES) e Encarregados de Proteção de Dados (EPD) de cada hospital participante, um processo liderado e orquestrado pela SPS. A MTG fornece o pacote de documentação técnica basilar, que inclui o Protocolo do Estudo e o </w:t>
      </w:r>
      <w:r w:rsidDel="00000000" w:rsidR="00000000" w:rsidRPr="00000000">
        <w:rPr>
          <w:i w:val="1"/>
          <w:iCs w:val="1"/>
          <w:rtl w:val="0"/>
        </w:rPr>
        <w:t xml:space="preserve">Data Protection Impact Assessment</w:t>
      </w:r>
      <w:r w:rsidDel="00000000" w:rsidR="00000000" w:rsidRPr="00000000">
        <w:rPr>
          <w:rtl w:val="0"/>
        </w:rPr>
        <w:t xml:space="preserve"> (DPIA)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Implementação da Infraestrutura de Segurança e Soberania (Opvance)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Caso a SPS decida avançar com a centralização de indicadores no futuro, procede-se à implementação da plataforma TERAS (Zero-Trust Data Space Platform), fornecida pela Opvance. Esta plataforma atua como o eixo central de cibersegurança e orquestração, sendo implementada na infraestrutura própria gerida pela SPS. A sua função é garantir um canal de comunicação bidirecional seguro com as instituições de saúde e fornecer um ambiente inviolável (tamper-proof) e auditável para a receção exclusiva de resultados analíticos agregados. Na fase Piloto atual, os relatórios EUSOMA gerados localmente serão remetidos à SPS de forma estanque, sem recurso a esta infraestrutura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Engenharia de Dados e Normalização - Processo ETL (MTG)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A MTG desenvolve os processos de extração, transformação e carregamento (</w:t>
      </w:r>
      <w:r w:rsidDel="00000000" w:rsidR="00000000" w:rsidRPr="00000000">
        <w:rPr>
          <w:i w:val="1"/>
          <w:iCs w:val="1"/>
          <w:rtl w:val="0"/>
        </w:rPr>
        <w:t xml:space="preserve">ETL - Extract, Transform, Load</w:t>
      </w:r>
      <w:r w:rsidDel="00000000" w:rsidR="00000000" w:rsidRPr="00000000">
        <w:rPr>
          <w:rtl w:val="0"/>
        </w:rPr>
        <w:t xml:space="preserve">) especificamente para serem implementados na infraestrutura de cada hospital. Este processo permite a extração dos dados dos sistemas de informação heterogéneos da própria instituição (como o SClinico) e mapeia-os para um modelo de dados comum harmonizado (OMOP-CDM).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O objetivo central desta fase é dotar cada hospital da infraestrutura de dados e da capacidade tecnológica necessárias para conseguir correr o pacote de estudo (Dashpackage) de forma autónoma.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É esta normalização local que viabiliza todo o ecossistema: ao terem os dados estruturados no seu próprio ambiente, os hospitais ganham a capacidade de extrair os indicadores clínicos e de reportar à SPS a informação agregada necessária (como o relatório EUSOMA), garantindo em simultâneo a total interoperabilidade semântica e a soberania inegociável sobre os seus dados brutos.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Extração e Controlo de Qualidade via Inteligência Artificial (Asklepic)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Para colmatar a vasta quantidade de informação clínica que reside em formatos não estruturados, como notas clínicas em texto livre, o projeto introduz o framework </w:t>
      </w:r>
      <w:r w:rsidDel="00000000" w:rsidR="00000000" w:rsidRPr="00000000">
        <w:rPr>
          <w:i w:val="1"/>
          <w:iCs w:val="1"/>
          <w:rtl w:val="0"/>
        </w:rPr>
        <w:t xml:space="preserve">PARSE </w:t>
      </w:r>
      <w:r w:rsidDel="00000000" w:rsidR="00000000" w:rsidRPr="00000000">
        <w:rPr>
          <w:rtl w:val="0"/>
        </w:rPr>
        <w:t xml:space="preserve">da parceira Asklepic.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Esta ferramenta atua como um </w:t>
      </w:r>
      <w:r w:rsidDel="00000000" w:rsidR="00000000" w:rsidRPr="00000000">
        <w:rPr>
          <w:i w:val="1"/>
          <w:iCs w:val="1"/>
          <w:rtl w:val="0"/>
        </w:rPr>
        <w:t xml:space="preserve">board data manager</w:t>
      </w:r>
      <w:r w:rsidDel="00000000" w:rsidR="00000000" w:rsidRPr="00000000">
        <w:rPr>
          <w:rtl w:val="0"/>
        </w:rPr>
        <w:t xml:space="preserve"> local alimentado por Modelos de LLMs treinados para a curadoria de dados em saúde. A ferramenta processa os textos livres e extrai as variáveis clínicas necessárias (incluindo as exigidas para a norma EUSOMA). O processo de refinamento e controlo de qualidade é altamente parametrizável: o algoritmo calcula probabilisticamente o seu grau de certeza na extração. Variáveis com um nível de confiança abaixo de um limiar pré-definido (por exemplo, uma margem de erro estimada superior a 15%) são automaticamente isoladas numa fila de revisão. Os clínicos locais acedem ao </w:t>
      </w:r>
      <w:r w:rsidDel="00000000" w:rsidR="00000000" w:rsidRPr="00000000">
        <w:rPr>
          <w:i w:val="1"/>
          <w:iCs w:val="1"/>
          <w:rtl w:val="0"/>
        </w:rPr>
        <w:t xml:space="preserve">PARSE </w:t>
      </w:r>
      <w:r w:rsidDel="00000000" w:rsidR="00000000" w:rsidRPr="00000000">
        <w:rPr>
          <w:rtl w:val="0"/>
        </w:rPr>
        <w:t xml:space="preserve">para validar o grau de concordância entre a sugestão da IA e o documento original, baseando a sua decisão em </w:t>
      </w:r>
      <w:r w:rsidDel="00000000" w:rsidR="00000000" w:rsidRPr="00000000">
        <w:rPr>
          <w:i w:val="1"/>
          <w:iCs w:val="1"/>
          <w:rtl w:val="0"/>
        </w:rPr>
        <w:t xml:space="preserve">guidelines</w:t>
      </w:r>
      <w:r w:rsidDel="00000000" w:rsidR="00000000" w:rsidRPr="00000000">
        <w:rPr>
          <w:rtl w:val="0"/>
        </w:rPr>
        <w:t xml:space="preserve"> clínicas codificadas na plataforma. Quaisquer edições ou validações humanas alimentam diretamente o </w:t>
      </w:r>
      <w:r w:rsidDel="00000000" w:rsidR="00000000" w:rsidRPr="00000000">
        <w:rPr>
          <w:i w:val="1"/>
          <w:i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institucional, refinando o modelo e garantindo uma fidelidade clínica variável a variável sem paralelo nos registos convencionais.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5: Implementação do Package EUSOMA (MTG)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Com o repositório local devidamente populado com dados OMOP-CDM harmonizados e dados não estruturados já validados pela IA, a MTG procede à execução do Módulo EUSOMA, previamente desenvolvido no servidor de cada centro clínico participante. Este módulo contém a lógica de cálculo predefinida para agregar os dados validados localmente e gerar de forma automatizada o relatório exigido para a certificação EUSOMA, reduzindo drasticamente a carga administrativa local das ULS.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6: Agregação Central e Visualização Federada (SPS) - Cenário Futuro / Opcional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Caso a SPS decida, numa fase posterior, evoluir para a monitorização contínua (conforme orçamentado na Parte 2), o ciclo encerra-se com a comunicação dos resultados operacionais para o servidor central. É imperativo sublinhar que os nós locais executam as queries estipuladas e exportam de volta para a infraestrutura TERAS (Opvance) única e exclusivamente pacotes de dados rigorosamente agregados e anonimizados de forma irreversível. Nesse cenário futuro, na sede da infraestrutura do Registo, a SPS terá acesso a um painel de controlo central consolidado que apresenta a Real-World Evidence gerada em tempo real, combinando os indicadores de qualidade e as métricas EUSOMA de todos os centros participantes. Este modelo garante que a SPS atinge os seus objetivos de monitorização científica e clínica à escala nacional, cumprindo na íntegra os mais elevados preceitos éticos e de cibersegurança ao descentralizar o armazenamento do dado primário.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/>
      </w:pPr>
      <w:bookmarkStart w:colFirst="0" w:colLast="0" w:name="_fr6b3qewpz5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left"/>
        <w:rPr>
          <w:color w:val="005172"/>
          <w:sz w:val="40"/>
          <w:szCs w:val="40"/>
        </w:rPr>
      </w:pPr>
      <w:bookmarkStart w:colFirst="0" w:colLast="0" w:name="_8gydfanvw7td" w:id="6"/>
      <w:bookmarkEnd w:id="6"/>
      <w:r w:rsidDel="00000000" w:rsidR="00000000" w:rsidRPr="00000000">
        <w:rPr>
          <w:rtl w:val="0"/>
        </w:rPr>
        <w:t xml:space="preserve">Proposta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(Todos os valores apresentados excluem IVA)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modelo financeiro reflete a natureza mista deste ecossistema, distinguindo claramente os investimentos em inovação,  suportados a título de parceria e partilha de risco pela MTG e pela Asklepic, dos custos operacionais e de licenciamento tecnológico essenciais à infraestrutura. De forma a dar resposta ao pedido de detalhe unitário, a estrutura abaixo apresenta os custos de desenvolvimento central e a estimativa para a implementação do Piloto nos 3 Hospitais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120" w:lineRule="auto"/>
        <w:rPr/>
      </w:pPr>
      <w:bookmarkStart w:colFirst="0" w:colLast="0" w:name="_ipqbjcq8apf5" w:id="7"/>
      <w:bookmarkEnd w:id="7"/>
      <w:r w:rsidDel="00000000" w:rsidR="00000000" w:rsidRPr="00000000">
        <w:rPr>
          <w:rtl w:val="0"/>
        </w:rPr>
        <w:t xml:space="preserve">PARTE 1: Implementação do Projeto Piloto e Módulo EUSOMA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z8nfbx610a6" w:id="8"/>
      <w:bookmarkEnd w:id="8"/>
      <w:r w:rsidDel="00000000" w:rsidR="00000000" w:rsidRPr="00000000">
        <w:rPr>
          <w:rtl w:val="0"/>
        </w:rPr>
        <w:t xml:space="preserve">1.1. Valores a cobrar à SPS (Investimento Inicial - Piloto 3 Hospitais)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Esta fase cobre todo o planeamento e o desenvolvimento tecnológico necessário para o relatório EUSOMA diretamente na infraestrutura dos 3 hospitais piloto.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Planeamento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do Protocolo e Preparação do DPIA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€ 3 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Desenvolvimento e Implementação dos processos de ETL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e implementação dos processos ETL nos centros participantes para extração e harmonização de dados dos vários sistemas hospitalares.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(Investimento e risco assumido a 100% pela MTG na vertente de parceria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9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Desenvolvimento do Package EUSOMA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central do pacote de estudo específico (Package) para a extração das métricas EUSOMA. Este pacote de software autónomo é desenhado para correr nas instituições locais.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C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€ 20 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Licença PARSE (Piloto - 3 Hospitais)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Instalação standalone configurada especificamente para este projeto nos 3 hospitais piloto durante o 1º ano (investimento de risco assumido pela Asklepic para o piloto)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Refinamento e Configuração Local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Configuração e adaptação do Study Package na infraestrutura dos 3 hospitais piloto (2.000 € por instituição).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2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6 000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Reporte Agregado EUSOMA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eração do primeiro relatório de resultados agregados enviado para a SPS (que pode também alimentar o dashboard de indicadores).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€ 1 500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€ 30 500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pd4n50wuivlo" w:id="9"/>
      <w:bookmarkEnd w:id="9"/>
      <w:r w:rsidDel="00000000" w:rsidR="00000000" w:rsidRPr="00000000">
        <w:rPr>
          <w:rtl w:val="0"/>
        </w:rPr>
        <w:t xml:space="preserve">1.2. Valores de Manutenção a cobrar à SPS (Pós-Piloto)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Após a conclusão do piloto (1º ano), os serviços contínuos para manter a extração do relatório EUSOMA ficam a cargo da SPS.</w:t>
      </w: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Manutenção e Licença TERAS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Suporte técnico, licenciamento e cibersegurança da infraestrutura central da SPS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0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 000/ 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Manutenção e Execução do Módulo EUSOMA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Execução periódica do Study Package diretamente nas ULS (instituições locais) e envio contínuo do report de resultados agregados para a SPS, permitindo o reporte atualizado para o EUSOMA.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3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 € 1 500 / ano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€ 11 500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pak3cz6md29n" w:id="10"/>
      <w:bookmarkEnd w:id="10"/>
      <w:r w:rsidDel="00000000" w:rsidR="00000000" w:rsidRPr="00000000">
        <w:rPr>
          <w:rtl w:val="0"/>
        </w:rPr>
        <w:t xml:space="preserve">1.3. Valores de Expansão a cobrar à SPS (Pós-Piloto)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Após a conclusão do piloto (1º ano), para a integração de novos centros na rede do Registo ficam a cargo da SPS, haverá custos relativamente à plataforma PARSE.</w:t>
      </w:r>
      <w:r w:rsidDel="00000000" w:rsidR="00000000" w:rsidRPr="00000000">
        <w:rPr>
          <w:rtl w:val="0"/>
        </w:rPr>
      </w:r>
    </w:p>
    <w:tbl>
      <w:tblPr>
        <w:tblStyle w:val="Table3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Configuração PARSE (Expansão por Centro)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Configuração local da plataforma PARSE para cada novo centro (ULS) adicionado à rede do Registo durante a fase de expansão.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E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€ 5 000/ por centro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Validação Clínica Externa (Expansão por Centro)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Passo de validação externa obrigatória por clínicos especializados em cada novo centro, garantindo que a extração de dados e as métricas estão clinicamente precisas e adaptadas à realidade local.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€ 7 500/ por centro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€ 12 500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qd6nmpi1nnm5" w:id="11"/>
      <w:bookmarkEnd w:id="11"/>
      <w:r w:rsidDel="00000000" w:rsidR="00000000" w:rsidRPr="00000000">
        <w:rPr>
          <w:rtl w:val="0"/>
        </w:rPr>
        <w:t xml:space="preserve">1.4. Valores de Manutenção (Responsabilidade das ULS)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Após o 1º ano de piloto, o custo de licenciamento da tecnologia que fica a operar localmente transita para a responsabilidade das instituições, não onerando a SPS.</w:t>
      </w:r>
      <w:r w:rsidDel="00000000" w:rsidR="00000000" w:rsidRPr="00000000">
        <w:rPr>
          <w:rtl w:val="0"/>
        </w:rPr>
      </w:r>
    </w:p>
    <w:tbl>
      <w:tblPr>
        <w:tblStyle w:val="Table4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Licença PARSE 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Licença da plataforma autónoma de ingestão e estruturação automática de dados clínicos, ativada após o primeiro ano de piloto para suportar a operação contínua e em escala no âmbito deste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E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€ 30 000/ ano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€ 30 000</w:t>
            </w:r>
          </w:p>
        </w:tc>
      </w:tr>
    </w:tbl>
    <w:p w:rsidR="00000000" w:rsidDel="00000000" w:rsidP="00000000" w:rsidRDefault="00000000" w:rsidRPr="00000000" w14:paraId="00000082">
      <w:pPr>
        <w:pStyle w:val="Heading5"/>
        <w:spacing w:after="240" w:before="240" w:line="276" w:lineRule="auto"/>
        <w:rPr>
          <w:sz w:val="18"/>
          <w:szCs w:val="18"/>
        </w:rPr>
      </w:pPr>
      <w:bookmarkStart w:colFirst="0" w:colLast="0" w:name="_lou2a0je42r6" w:id="12"/>
      <w:bookmarkEnd w:id="12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É nosso objetivo estratégico que a plataforma PARSE seja internalizada pelas ULS à medida que o Registo é expandido. Dessa forma, após a fase inicial de implementação, os custos associados ao licenciamento e manutenção destas ferramentas transitarão e serão sustentados diretamente pelos respetivos hospitais, não onerando financeiramente a SPS.</w:t>
      </w:r>
    </w:p>
    <w:p w:rsidR="00000000" w:rsidDel="00000000" w:rsidP="00000000" w:rsidRDefault="00000000" w:rsidRPr="00000000" w14:paraId="00000083">
      <w:pPr>
        <w:pStyle w:val="Heading2"/>
        <w:spacing w:after="120" w:before="360" w:line="276" w:lineRule="auto"/>
        <w:rPr/>
      </w:pPr>
      <w:bookmarkStart w:colFirst="0" w:colLast="0" w:name="_w4f4icqv2bqr" w:id="13"/>
      <w:bookmarkEnd w:id="13"/>
      <w:r w:rsidDel="00000000" w:rsidR="00000000" w:rsidRPr="00000000">
        <w:rPr>
          <w:rtl w:val="0"/>
        </w:rPr>
        <w:t xml:space="preserve">PARTE 2: Cenários Opcionais e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acordo com o alinhamento atual, a SPS não terá, nesta fase, alojamento de dados ou dashboards centrais. Caso a SPS decida avançar no futuro para a visualização agregada e aquisição de hardware, aplicar-se-ão os seguintes valores:</w:t>
      </w:r>
    </w:p>
    <w:p w:rsidR="00000000" w:rsidDel="00000000" w:rsidP="00000000" w:rsidRDefault="00000000" w:rsidRPr="00000000" w14:paraId="00000085">
      <w:pPr>
        <w:pStyle w:val="Heading3"/>
        <w:rPr>
          <w:sz w:val="18"/>
          <w:szCs w:val="18"/>
          <w:highlight w:val="yellow"/>
        </w:rPr>
      </w:pPr>
      <w:bookmarkStart w:colFirst="0" w:colLast="0" w:name="_8j0gjhwme2ne" w:id="14"/>
      <w:bookmarkEnd w:id="14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.1. Valores a cobrar à SPS (Investimento Inicial - Piloto 3 Hospitais)</w:t>
      </w:r>
      <w:r w:rsidDel="00000000" w:rsidR="00000000" w:rsidRPr="00000000">
        <w:rPr>
          <w:rtl w:val="0"/>
        </w:rPr>
      </w:r>
    </w:p>
    <w:tbl>
      <w:tblPr>
        <w:tblStyle w:val="Table5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Aquisição de Hardware para SPS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Aquisição de hardware físico dedicado para a SPS.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Instalação e Configuração TERAS (Opvance)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Implementação e configuração da infraestrutura central de segurança (Zero-Trust) alojada na SPS (Opvance).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E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Desenvolvimento do Dashpackage ‘vanilla’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central do Dashpackage 'Vanilla'. Inclui a modelação de coortes complexos e a interface de visualização dos indicadores escolhidos.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25 000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Configuração e Refinamentos Locais do Dashpackage baseado nos primeiros resultados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Adaptação e configuração do Dashpackage e dos scripts de extração de dados para cada um dos três centros clínicos participantes.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Refinamento iterativo do modelo de agregação com base nos dados iniciais recebidos dos centros participantes.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€ 6 000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€ 51 000</w:t>
            </w:r>
          </w:p>
        </w:tc>
      </w:tr>
    </w:tbl>
    <w:p w:rsidR="00000000" w:rsidDel="00000000" w:rsidP="00000000" w:rsidRDefault="00000000" w:rsidRPr="00000000" w14:paraId="00000099">
      <w:pPr>
        <w:pStyle w:val="Heading5"/>
        <w:spacing w:after="240" w:before="240" w:lineRule="auto"/>
        <w:rPr>
          <w:sz w:val="18"/>
          <w:szCs w:val="18"/>
        </w:rPr>
      </w:pPr>
      <w:bookmarkStart w:colFirst="0" w:colLast="0" w:name="_jy4qh7yde5uv" w:id="15"/>
      <w:bookmarkEnd w:id="1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rFonts w:ascii="PT Mono" w:cs="PT Mono" w:eastAsia="PT Mono" w:hAnsi="PT Mono"/>
          <w:sz w:val="18"/>
          <w:szCs w:val="18"/>
          <w:rtl w:val="0"/>
        </w:rPr>
        <w:t xml:space="preserve"> Uma vez que o servidor central da SPS receberá e armazenará única e exclusivamente dados agregados (sem qualquer identificação de doentes), a aquisição de Hardware Físico (orçamentada em 10.000 €) pode ser substituída por uma solução Cloud. Caso a SPS opte por não comprar o hardware, podemos implementar o sistema numa Cloud Europeia soberana e segura (Scaleway). Optando por esta via, os 10.000 € iniciais são eliminados, passando a existir um custo de alojamento Cloud de aproximadamente 3.500 € / ano.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2vrt2aal2w9" w:id="16"/>
      <w:bookmarkEnd w:id="16"/>
      <w:r w:rsidDel="00000000" w:rsidR="00000000" w:rsidRPr="00000000">
        <w:rPr>
          <w:rtl w:val="0"/>
        </w:rPr>
        <w:t xml:space="preserve">2.2. Valores de Manutenção a cobrar à SPS (Pós-Piloto)</w:t>
      </w:r>
      <w:r w:rsidDel="00000000" w:rsidR="00000000" w:rsidRPr="00000000">
        <w:rPr>
          <w:rtl w:val="0"/>
        </w:rPr>
      </w:r>
    </w:p>
    <w:tbl>
      <w:tblPr>
        <w:tblStyle w:val="Table6"/>
        <w:tblW w:w="9495.0" w:type="dxa"/>
        <w:jc w:val="left"/>
        <w:tblInd w:w="-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405"/>
        <w:gridCol w:w="975"/>
        <w:tblGridChange w:id="0">
          <w:tblGrid>
            <w:gridCol w:w="2115"/>
            <w:gridCol w:w="6405"/>
            <w:gridCol w:w="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right"/>
              <w:rPr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Suporte e Atualização do Dashpackage </w:t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anual fixa que cobre atualizações de pequenas funcionalidades na base de código do Dashpackage (módulos analíticos e camada de visualização). Esta taxa assegura a fiabilidade operacional contínua, a compatibilidade com alterações no esquema de dados agregados e a aplicação de atualizações de segurança periódicas no ambiente do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0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 1 500/ 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0" w:val="nil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Manutenção e Licença TERAS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6" w:val="single"/>
              <w:bottom w:color="cccccc" w:space="0" w:sz="4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Suporte técnico, licenciamento e cibersegurança da infraestrutura central da SPS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cccccc" w:space="0" w:sz="4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3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sz w:val="18"/>
                <w:szCs w:val="18"/>
                <w:rtl w:val="0"/>
              </w:rPr>
              <w:t xml:space="preserve">€ 10  000/ ano</w:t>
            </w:r>
          </w:p>
        </w:tc>
      </w:tr>
      <w:tr>
        <w:trPr>
          <w:cantSplit w:val="0"/>
          <w:trHeight w:val="288.88888888888823" w:hRule="atLeast"/>
          <w:tblHeader w:val="0"/>
        </w:trPr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172" w:space="0" w:sz="12" w:val="single"/>
              <w:left w:color="ffffff" w:space="0" w:sz="6" w:val="single"/>
              <w:bottom w:color="005172" w:space="0" w:sz="12" w:val="single"/>
              <w:right w:color="000000" w:space="0" w:sz="0" w:val="nil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5172" w:space="0" w:sz="12" w:val="single"/>
              <w:left w:color="000000" w:space="0" w:sz="0" w:val="nil"/>
              <w:bottom w:color="005172" w:space="0" w:sz="12" w:val="single"/>
              <w:right w:color="ffffff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jc w:val="right"/>
              <w:rPr>
                <w:b w:val="1"/>
                <w:bCs w:val="1"/>
                <w:color w:val="005172"/>
                <w:sz w:val="18"/>
                <w:szCs w:val="18"/>
              </w:rPr>
            </w:pPr>
            <w:r w:rsidDel="00000000" w:rsidR="00000000" w:rsidRPr="00000000">
              <w:rPr>
                <w:rFonts w:ascii="PT Mono" w:cs="PT Mono" w:eastAsia="PT Mono" w:hAnsi="PT Mono"/>
                <w:b w:val="1"/>
                <w:bCs w:val="1"/>
                <w:color w:val="005172"/>
                <w:sz w:val="18"/>
                <w:szCs w:val="18"/>
                <w:rtl w:val="0"/>
              </w:rPr>
              <w:t xml:space="preserve">€ 10 500</w:t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amsmoihie8kb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5bbkptqpyb37" w:id="18"/>
      <w:bookmarkEnd w:id="18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Preparatória (Pré-Projeto - Responsabilidade da SPS)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início oficial dos trabalhos técnicos da MTG (que terão a duração estimada de 12 meses), é necessário iniciar as seguintes etapas prévias: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Identificação e formalização da participação dos 3 hospitais piloto.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 exata e final das variáveis clínicas a extrair para o relatório EUSOMA.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Nomeação dos interlocutores locais em cada ULS (Equipa Clínica/Investigador Principal e Equipa de TI).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Piloto (3 Hospitais)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Mês 1 a Mês 2 (Preparação e Setup Inicial): Elaboração e fecho do Protocolo Clínico/Técnico e do Data Protection Impact Assessment (DPIA) master. Início do desenvolvimento do Package EUSOMA.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Mês 3 a Mês 7 (Aprovações Regulamentares e Infraestrutura): Submissão e tramitação dos processos nas CES e EPD de cada uma das 3 instituições (prevendo-se uma sobreposição de processos, com uma duração média estimada de 4 meses por hospital). Configuração e implementação da infraestrutura de segurança TERAS (Opvance) na SPS (caso esta opção avance nesta fase).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Mês 8 a Mês 9 (Implementação Local e Extração IA): Implementação da ferramenta PARSE(Asklepic) nos hospitais piloto. Início do processo de estruturação de dados não estruturados via IA e validação pelos clínicos locais. Refinamentos e configuração do Package EUSOMA.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Mês 10 a Mês 12 (Refinamento, Execução e Primeiros Resultados): Refinamentos iterativos e controlo de qualidade dos dados estruturados. Execução do Study Package EUSOMA localmente nos 3 hospitais piloto e report dos resultados agregados.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Mês 12 (Avaliação Final do Piloto): Elaboração e análise de um relatório final de implementação dos centros piloto. A viabilidade da expansão do projeto</w:t>
      </w:r>
      <w:r w:rsidDel="00000000" w:rsidR="00000000" w:rsidRPr="00000000">
        <w:rPr>
          <w:b w:val="1"/>
          <w:bCs w:val="1"/>
          <w:rtl w:val="0"/>
        </w:rPr>
        <w:t xml:space="preserve"> (Rollout) para os restantes centros será avaliada pela SPS e parceiros com base nestes resultados.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de Expansão (Rollout) </w:t>
      </w:r>
      <w:r w:rsidDel="00000000" w:rsidR="00000000" w:rsidRPr="00000000">
        <w:rPr>
          <w:rtl w:val="0"/>
        </w:rPr>
        <w:t xml:space="preserve">– Mês 13 em diante: Alargamento progressivo do sistema e instalação do Package EUSOMA nos restantes 17 centros clínicos previstos.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Rule="auto"/>
        <w:rPr>
          <w:rFonts w:ascii="Rubik Light" w:cs="Rubik Light" w:eastAsia="Rubik Light" w:hAnsi="Rubik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6uogu2jpyqcx" w:id="19"/>
      <w:bookmarkEnd w:id="19"/>
      <w:r w:rsidDel="00000000" w:rsidR="00000000" w:rsidRPr="00000000">
        <w:rPr>
          <w:rtl w:val="0"/>
        </w:rPr>
        <w:t xml:space="preserve">Termos e Condições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Validade da Proposta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Esta proposta é válida para aceitação por um período de 60 dias a partir da data de submissão. Após este período, a MTG reserva-se o direito de rever a disponibilidade de recursos, o âmbito técnico e a estrutura de custos.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 Cronograma do Projeto e Governação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Estimativas: O cronograma proposto é uma estimativa baseada na colaboração atempada da SPS e dos centros clínicos participantes. A MTG não se responsabiliza por atrasos causados por fatores fora do seu controlo, nomeadamente o tempo necessário para a obtenção dos pareceres da Comissão de Ética e do Encarregado de Proteção de Dados de cada instituição.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Ciclos de Revisão: Para garantir o progresso do projeto, a SPS terá um prazo máximo de quinze (15) dias úteis para fornecer feedback consolidado sobre as entregas (ex: revisão técnica do Dashpackage e do DPIA master).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Aprovação Tácita: Caso não seja recebido feedback por escrito dentro deste período de 15 dias úteis, o documento ou artefacto sob revisão será considerado aprovado por defeito, permitindo o avanço para a fase seguinte.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Implementação de Software, Suporte e Code Freeze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Responsabilidade de Instalação e Soberania: O Dashpackage é instalado na infraestrutura local do centro de saúde. A instituição mantém a soberania total sobre os seus dados brutos. O centro de saúde permanece exclusivamente responsável pela cibersegurança e proteção de dados do seu ambiente.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Congelamento de Código (Code Freeze): Assim que a versão final do Dashpackage for formalmente aprovada e a fase de implementação começar, o âmbito analítico e a estrutura do código entrarão em Code Freeze. Quaisquer alterações fundamentais solicitadas durante este período serão tratadas como um Pedido de Alteração (Change Request), podendo impactar o cronograma e incorrer em custos adicionais.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Propriedade Intelectual e Licenciamento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Propriedade Intelectual Tecnológica: O código-fonte dos processos ETL, da ferramenta Asklepic (PARSE), do Dashpackage e da infraestrutura Opvance (TERAS) são propriedade da MTG e dos seus respetivos parceiros tecnológicos.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Propriedade e Licenciamento de Dados: Os dados clínicos originais permanecem propriedade e sob a soberania de cada centro clínico participante. Por sua vez, os dados agregados e anonimizados de forma irreversível, gerados pelo Registo, serão propriedade conjunta da SPS e dos centros clínicos que contribuíram com os dados.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5. Exclusões e Limitações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Para evitar qualquer ambiguidade, os seguintes serviços e responsabilidades estão explicitamente excluídos deste acordo: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Acesso Direto a Dados: A MTG nunca acede diretamente aos dados dos doentes, atuando em estrito cumprimento da metodologia algorithm-goes-to-data.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Submissões Institucionais e Éticas: A garantia de obtenção dos pareceres das CES e EPD de cada instituição é da responsabilidade da SPS. A MTG limita o seu envolvimento ao fornecimento do Protocolo e do DPIA Master.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Recrutamento de Centros: O orçamento não inclui atividades relacionadas com a identificação, recrutamento, contratação ou gestão da relação com os centros de saúde participantes. A SPS é exclusivamente responsável por garantir e manter o compromisso formal e a participação ativa de todos os centros.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Expansão do Âmbito da Doença: Qualquer trabalho relacionado com novas patologias para além do Cancro da Mama está excluído e requer uma negociação separada.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Plano de Pagamentos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de pagamentos será estruturado de forma parcelar, condicionado à entrega e aprovação de milestones (deliverables) chave do projeto. O detalhe destas tranches será acordado contratualmente a posteriori, alinhado com a perspetiva da SPS e o avanço da implementação.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Propriedade e Soberania dos Dados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clínicos originais permanecem propriedade e sob a soberania exclusiva de cada centro clínico (ULS) participante. Fica expressamente garantido que, independentemente da continuidade da parceria tecnológica com a MTG (por qualquer motivo), a ULS mantém a propriedade, o controlo total e o livre acesso aos dados estruturados na sua infraestrutura, podendo dar-lhes o uso que entender.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440" w:top="180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arlow Condensed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Barlow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Lato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PT Mono">
    <w:embedRegular w:fontKey="{00000000-0000-0000-0000-000000000000}" r:id="rId2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ageBreakBefore w:val="0"/>
      <w:tabs>
        <w:tab w:val="right" w:leader="none" w:pos="8993"/>
      </w:tabs>
      <w:spacing w:after="0" w:line="240" w:lineRule="auto"/>
      <w:ind w:left="0" w:right="33" w:firstLine="0"/>
      <w:jc w:val="left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MTG Research and Development Lab Proposta</w:t>
    </w:r>
    <w:r w:rsidDel="00000000" w:rsidR="00000000" w:rsidRPr="00000000">
      <w:rPr>
        <w:color w:val="999999"/>
        <w:sz w:val="16"/>
        <w:szCs w:val="16"/>
        <w:rtl w:val="0"/>
      </w:rPr>
      <w:tab/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ageBreakBefore w:val="0"/>
      <w:tabs>
        <w:tab w:val="left" w:leader="none" w:pos="3240"/>
        <w:tab w:val="right" w:leader="none" w:pos="9000"/>
        <w:tab w:val="left" w:leader="none" w:pos="6376"/>
        <w:tab w:val="left" w:leader="none" w:pos="5040"/>
        <w:tab w:val="left" w:leader="none" w:pos="2340"/>
      </w:tabs>
      <w:spacing w:after="0" w:line="276" w:lineRule="auto"/>
      <w:rPr>
        <w:b w:val="1"/>
        <w:bCs w:val="1"/>
        <w:color w:val="005172"/>
        <w:sz w:val="16"/>
        <w:szCs w:val="16"/>
      </w:rPr>
    </w:pPr>
    <w:r w:rsidDel="00000000" w:rsidR="00000000" w:rsidRPr="00000000">
      <w:rPr>
        <w:b w:val="1"/>
        <w:bCs w:val="1"/>
        <w:color w:val="005172"/>
        <w:sz w:val="16"/>
        <w:szCs w:val="16"/>
        <w:rtl w:val="0"/>
      </w:rPr>
      <w:t xml:space="preserve">Projecto </w:t>
    </w:r>
    <w:r w:rsidDel="00000000" w:rsidR="00000000" w:rsidRPr="00000000">
      <w:rPr>
        <w:b w:val="1"/>
        <w:bCs w:val="1"/>
        <w:color w:val="005172"/>
        <w:sz w:val="16"/>
        <w:szCs w:val="16"/>
        <w:rtl w:val="0"/>
      </w:rPr>
      <w:t xml:space="preserve">                                     Tipo de Projecto</w:t>
      <w:tab/>
      <w:t xml:space="preserve">Tipo de Doc</w:t>
      <w:tab/>
      <w:t xml:space="preserve">Versão</w:t>
      <w:tab/>
      <w:t xml:space="preserve">Classe</w:t>
      <w:tab/>
      <w:t xml:space="preserve">Data</w:t>
    </w:r>
  </w:p>
  <w:p w:rsidR="00000000" w:rsidDel="00000000" w:rsidP="00000000" w:rsidRDefault="00000000" w:rsidRPr="00000000" w14:paraId="000000D1">
    <w:pPr>
      <w:pageBreakBefore w:val="0"/>
      <w:tabs>
        <w:tab w:val="left" w:leader="none" w:pos="3240"/>
        <w:tab w:val="right" w:leader="none" w:pos="9000"/>
        <w:tab w:val="left" w:leader="none" w:pos="6376"/>
        <w:tab w:val="left" w:leader="none" w:pos="5040"/>
        <w:tab w:val="left" w:leader="none" w:pos="2340"/>
      </w:tabs>
      <w:spacing w:after="0" w:line="276" w:lineRule="auto"/>
      <w:rPr>
        <w:sz w:val="16"/>
        <w:szCs w:val="16"/>
      </w:rPr>
    </w:pPr>
    <w:r w:rsidDel="00000000" w:rsidR="00000000" w:rsidRPr="00000000">
      <w:rPr>
        <w:color w:val="434343"/>
        <w:sz w:val="16"/>
        <w:szCs w:val="16"/>
        <w:rtl w:val="0"/>
      </w:rPr>
      <w:t xml:space="preserve">SPS MAMA                                Registo</w:t>
      <w:tab/>
      <w:tab/>
      <w:t xml:space="preserve">Proposal</w:t>
      <w:tab/>
      <w:t xml:space="preserve">0.1.1.</w:t>
      <w:tab/>
      <w:t xml:space="preserve">Confidencial</w:t>
      <w:tab/>
      <w:t xml:space="preserve">25 Mar 2026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20" w:line="240" w:lineRule="auto"/>
      <w:jc w:val="left"/>
    </w:pPr>
    <w:rPr>
      <w:rFonts w:ascii="Barlow Condensed Medium" w:cs="Barlow Condensed Medium" w:eastAsia="Barlow Condensed Medium" w:hAnsi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="276" w:lineRule="auto"/>
      <w:jc w:val="left"/>
    </w:pPr>
    <w:rPr>
      <w:rFonts w:ascii="Barlow Condensed Medium" w:cs="Barlow Condensed Medium" w:eastAsia="Barlow Condensed Medium" w:hAnsi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Barlow Condensed Medium" w:cs="Barlow Condensed Medium" w:eastAsia="Barlow Condensed Medium" w:hAnsi="Barlow Condensed Medium"/>
      <w:color w:val="00517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BarlowCondensed-boldItalic.ttf"/><Relationship Id="rId22" Type="http://schemas.openxmlformats.org/officeDocument/2006/relationships/font" Target="fonts/LatoLight-bold.ttf"/><Relationship Id="rId21" Type="http://schemas.openxmlformats.org/officeDocument/2006/relationships/font" Target="fonts/LatoLight-regular.ttf"/><Relationship Id="rId24" Type="http://schemas.openxmlformats.org/officeDocument/2006/relationships/font" Target="fonts/LatoLight-boldItalic.ttf"/><Relationship Id="rId23" Type="http://schemas.openxmlformats.org/officeDocument/2006/relationships/font" Target="fonts/LatoLight-italic.ttf"/><Relationship Id="rId1" Type="http://schemas.openxmlformats.org/officeDocument/2006/relationships/font" Target="fonts/RubikLight-regular.ttf"/><Relationship Id="rId2" Type="http://schemas.openxmlformats.org/officeDocument/2006/relationships/font" Target="fonts/RubikLight-bold.ttf"/><Relationship Id="rId3" Type="http://schemas.openxmlformats.org/officeDocument/2006/relationships/font" Target="fonts/RubikLight-italic.ttf"/><Relationship Id="rId4" Type="http://schemas.openxmlformats.org/officeDocument/2006/relationships/font" Target="fonts/RubikLight-boldItalic.ttf"/><Relationship Id="rId9" Type="http://schemas.openxmlformats.org/officeDocument/2006/relationships/font" Target="fonts/Lato-regular.ttf"/><Relationship Id="rId25" Type="http://schemas.openxmlformats.org/officeDocument/2006/relationships/font" Target="fonts/PT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BarlowCondensedMedium-regular.ttf"/><Relationship Id="rId12" Type="http://schemas.openxmlformats.org/officeDocument/2006/relationships/font" Target="fonts/Lato-boldItalic.ttf"/><Relationship Id="rId15" Type="http://schemas.openxmlformats.org/officeDocument/2006/relationships/font" Target="fonts/BarlowCondensedMedium-italic.ttf"/><Relationship Id="rId14" Type="http://schemas.openxmlformats.org/officeDocument/2006/relationships/font" Target="fonts/BarlowCondensedMedium-bold.ttf"/><Relationship Id="rId17" Type="http://schemas.openxmlformats.org/officeDocument/2006/relationships/font" Target="fonts/BarlowCondensed-regular.ttf"/><Relationship Id="rId16" Type="http://schemas.openxmlformats.org/officeDocument/2006/relationships/font" Target="fonts/BarlowCondensedMedium-boldItalic.ttf"/><Relationship Id="rId19" Type="http://schemas.openxmlformats.org/officeDocument/2006/relationships/font" Target="fonts/BarlowCondensed-italic.ttf"/><Relationship Id="rId18" Type="http://schemas.openxmlformats.org/officeDocument/2006/relationships/font" Target="fonts/Barlow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