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color w:val="172e42"/>
        </w:rPr>
      </w:pPr>
      <w:bookmarkStart w:colFirst="0" w:colLast="0" w:name="_heading=h.tyjcwt" w:id="0"/>
      <w:bookmarkEnd w:id="0"/>
      <w:r w:rsidDel="00000000" w:rsidR="00000000" w:rsidRPr="00000000">
        <w:rPr>
          <w:rtl w:val="0"/>
        </w:rPr>
        <w:t xml:space="preserve">Enquadramento Estratégico</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PROJETO: REGISTO INTELIGENTE DE CANCRO DA MAMA PARA SOCIEDADE PORTUGUESA DE SENOLOGIA (SPS)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1. Enquadramento e Complexidade do Ecossistema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O presente projeto visa a implementação do Registo Inteligente de Cancro da Mama, uma infraestrutura tecnológica avançada desenhada para superar as limitações dos registos tradicionais. O objetivo central é capacitar a SPS com um sistema de geração de evidência em tempo real (</w:t>
      </w:r>
      <w:r w:rsidDel="00000000" w:rsidR="00000000" w:rsidRPr="00000000">
        <w:rPr>
          <w:i w:val="1"/>
          <w:iCs w:val="1"/>
          <w:rtl w:val="0"/>
        </w:rPr>
        <w:t xml:space="preserve">Real-World Evidence</w:t>
      </w:r>
      <w:r w:rsidDel="00000000" w:rsidR="00000000" w:rsidRPr="00000000">
        <w:rPr>
          <w:rtl w:val="0"/>
        </w:rPr>
        <w:t xml:space="preserve">) que opere de forma federada, garantindo que os dados sensíveis permaneçam sob a soberania absoluta das instituições de saúde, sem necessidade de centralização física.</w:t>
        <w:br w:type="textWrapping"/>
        <w:t xml:space="preserve">Para tal, propomos uma abordagem que combina a segurança na gestão de dados com a capacidade de transformar informação clínica não estruturada (notas médicas, relatórios) em variáveis estruturadas e analisáveis, garantindo a qualidade e validação clínica da extração, respondendo assim aos requisitos de geração de evidência em tempo real. A concretização desta visão exige a orquestração de competências distintas, asseguradas por três entidades parceiras: a MTG Research and Development Lab (MTG), a Opvance Lda (OPVANCE) e a Asklepic Lda (ASKLEPIC).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2. Caracterização das Entidades e Papéis no Ecossistema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Para concretizar esta visão, o ecossistema alicerça-se na colaboração estratégica de três entidades tecnológicas distintas, cada uma respondendo a um requisito crítico do sistema: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MTG RESEARCH AND DEVELOPMENT LAB</w:t>
        <w:br w:type="textWrapping"/>
        <w:t xml:space="preserve">A MTG desempenha o papel de integrador científico e tecnológico, operando num modelo misto que distingue o investimento em infraestrutura de dados da prestação de serviços de processamento de dados clínicos e visualização de resultados.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Na vertente de Parceria, a MTG assume a responsabilidade pela engenharia de dados, especificamente pelo desenvolvimento dos processos de ETL (</w:t>
      </w:r>
      <w:r w:rsidDel="00000000" w:rsidR="00000000" w:rsidRPr="00000000">
        <w:rPr>
          <w:i w:val="1"/>
          <w:iCs w:val="1"/>
          <w:rtl w:val="0"/>
        </w:rPr>
        <w:t xml:space="preserve">Extract, Transform, Load</w:t>
      </w:r>
      <w:r w:rsidDel="00000000" w:rsidR="00000000" w:rsidRPr="00000000">
        <w:rPr>
          <w:rtl w:val="0"/>
        </w:rPr>
        <w:t xml:space="preserve">). Estes processos são os mecanismos essenciais que extraem os dados dos sistemas de informação heterogéneos das várias instituições nacionais, transformam-nos e carregam-nos num modelo comum harmonizado. Com este projeto, a MTG capitaliza o seu know-how prévio e assume este desenvolvimento como um ativo de I&amp;D, sem custos para a SPS, garantindo a interoperabilidade semântica do registo.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Na vertente de Fornecedor, no âmbito deste projeto, a MTG visa desenvolver e fornecer a camada de processamento e interação com o utilizador, o Dashpackage, que permitirá o processamento e a visualizaçãoo de métricas específicas (como, por exemplo, o reporte de dados agregados para certificações EUSOMA) . Um Dashpackage é um artefacto de software autónomo (</w:t>
      </w:r>
      <w:r w:rsidDel="00000000" w:rsidR="00000000" w:rsidRPr="00000000">
        <w:rPr>
          <w:i w:val="1"/>
          <w:iCs w:val="1"/>
          <w:rtl w:val="0"/>
        </w:rPr>
        <w:t xml:space="preserve">codebase artifact</w:t>
      </w:r>
      <w:r w:rsidDel="00000000" w:rsidR="00000000" w:rsidRPr="00000000">
        <w:rPr>
          <w:rtl w:val="0"/>
        </w:rPr>
        <w:t xml:space="preserve">), desenvolvido externamente e entregue para execução na infraestrutura local de cada instituição. Baseado em tecnologias de visualização (Apache Superset) e entregue via contentorização (Docker), o </w:t>
      </w:r>
      <w:r w:rsidDel="00000000" w:rsidR="00000000" w:rsidRPr="00000000">
        <w:rPr>
          <w:i w:val="1"/>
          <w:iCs w:val="1"/>
          <w:rtl w:val="0"/>
        </w:rPr>
        <w:t xml:space="preserve">Dashpackage</w:t>
      </w:r>
      <w:r w:rsidDel="00000000" w:rsidR="00000000" w:rsidRPr="00000000">
        <w:rPr>
          <w:rtl w:val="0"/>
        </w:rPr>
        <w:t xml:space="preserve"> contém as configurações e esquemas de dados necessários para processar a informação localmente e gerar as interfaces gráficas dinâmicas e totalmente personalizadas. No âmbito deste projeto com a SPS, estes pacotes serão configurados para permitir a visualização de dados agregados e indicadores de gestão, garantindo que a evidência gerada é reprodutível, segura e visualmente acessível, configurando-se este componente como uma prestação de serviços onerosa a contratar pela SPS.</w:t>
      </w:r>
    </w:p>
    <w:p w:rsidR="00000000" w:rsidDel="00000000" w:rsidP="00000000" w:rsidRDefault="00000000" w:rsidRPr="00000000" w14:paraId="0000000C">
      <w:pPr>
        <w:rPr/>
      </w:pPr>
      <w:r w:rsidDel="00000000" w:rsidR="00000000" w:rsidRPr="00000000">
        <w:rPr>
          <w:rtl w:val="0"/>
        </w:rPr>
        <w:t xml:space="preserve">ASKLEPIC</w:t>
        <w:br w:type="textWrapping"/>
        <w:t xml:space="preserve">A Asklepic integra o consórcio como parceiro de inovação tecnológica. A sua contribuição centra-se na implementação de frameworks de Modelos de Linguagem de Grande Escala (LLMs) desenhados para a curadoria, extração e validação de dados clínicos a partir de fontes não estruturadas e complexas. O elemento central desta contribuição é a disponibilização da ferramenta Compass, que atua como um board data manager para cada hospital. Esta ferramenta garante a qualidade das extrações variável a variável, permitindo que os clínicos validem o grau de concordância (agreement) entre a extração automática feita pela IA e a validação humana, com base em guidelines pré-definidas. O Compass permite o tratamento tanto de dados históricos como de novos ímputs, utilizando algoritmos que calculam a probabilidade de acerto e permitem configurar margens de confiança (ex: rever manualmente apenas os casos inseridos numa margem de erro de 15%). Quaisquer correções efetuadas para uso primário alimentam diretamente o Data Lake institucional. Além disso, a ferramenta é escalável: caso surjam novas variáveis a considerar (ex: novos requisitos EUSOMA), o Compass é revisto, o algoritmo é corrido novamente, e a instituição procede à validação assistida, mantendo tudo centralizado na plataforma. Considerando que esta tecnologia se encontra numa fase de validação avançada (TRL 4 - Validação em Laboratório/Ambiente Controlado) e visa a prova de conceito em ambiente real hospitalar, a Asklepic participa neste projeto numa lógica de investimento e risco partilhado. A entidade assume o risco do desenvolvimento piloto sem custos de licenciamento para a SPS, com o objetivo estratégico de validar os seus modelos para futura exploração comercial autónoma, nomeadamente junto das instituições de saúde.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OPVANCE</w:t>
        <w:br w:type="textWrapping"/>
        <w:t xml:space="preserve">A Opvance é uma empresa especializada em DevSecOps que fornece a base de segurança, gestão e processamento dos dados do projeto através da sua plataforma TERAS (Zero-Trust Data Space Platform). Esta plataforma será implementada em infraestrutura própria da SPS, funcionando como o eixo central que permite a comunicação segura com as instituições de saúde e o armazenamento dos resultados agregados (provenientes do processamento local dos dados ao nível do doente). O seu papel será garantir que o processamento de dados ocorre num ambiente inviolável (tamper-proof) e auditável, permitindo a análise federada sem que os dados brutos saiam do perímetro de segurança das instituições de saúde. Dada a criticidade desta infraestrutura para a conformidade legal e operacional do Registo, a Opvance atua como fornecedor de tecnologia base para a SPS, assegurando a camada de soberania e cibersegurança essencial à existência do projeto. Importa salientar que esta infraestrutura fica capacitada para permitir o processamento de outros algoritmos e o alojamento de futuras soluções tecnológicas para além do âmbito deste projeto específico. Estrategicamente, e no que diz respeito à sustentabilidade do projeto, prevê-se que a continuidade e manutenção da infraestrutura local de extração e processamento transite, a médio/longo prazo, para a responsabilidade e alçada das próprias Unidades Locais de Saúde (ULS).</w:t>
      </w:r>
    </w:p>
    <w:p w:rsidR="00000000" w:rsidDel="00000000" w:rsidP="00000000" w:rsidRDefault="00000000" w:rsidRPr="00000000" w14:paraId="0000000E">
      <w:pPr>
        <w:pStyle w:val="Heading3"/>
        <w:keepNext w:val="0"/>
        <w:keepLines w:val="0"/>
        <w:spacing w:after="80" w:before="280" w:line="360" w:lineRule="auto"/>
        <w:rPr>
          <w:rFonts w:ascii="Rubik Light" w:cs="Rubik Light" w:eastAsia="Rubik Light" w:hAnsi="Rubik Light"/>
          <w:b w:val="1"/>
          <w:bCs w:val="1"/>
          <w:color w:val="000000"/>
          <w:sz w:val="26"/>
          <w:szCs w:val="26"/>
        </w:rPr>
      </w:pPr>
      <w:bookmarkStart w:colFirst="0" w:colLast="0" w:name="_heading=h.tmbtjm31r2ai" w:id="1"/>
      <w:bookmarkEnd w:id="1"/>
      <w:r w:rsidDel="00000000" w:rsidR="00000000" w:rsidRPr="00000000">
        <w:rPr>
          <w:rFonts w:ascii="Rubik Light" w:cs="Rubik Light" w:eastAsia="Rubik Light" w:hAnsi="Rubik Light"/>
          <w:b w:val="1"/>
          <w:bCs w:val="1"/>
          <w:color w:val="000000"/>
          <w:sz w:val="26"/>
          <w:szCs w:val="26"/>
          <w:rtl w:val="0"/>
        </w:rPr>
        <w:t xml:space="preserve">3. Modelo de Colaboração</w:t>
      </w:r>
    </w:p>
    <w:p w:rsidR="00000000" w:rsidDel="00000000" w:rsidP="00000000" w:rsidRDefault="00000000" w:rsidRPr="00000000" w14:paraId="0000000F">
      <w:pPr>
        <w:spacing w:after="240" w:before="240" w:lineRule="auto"/>
        <w:rPr/>
      </w:pPr>
      <w:r w:rsidDel="00000000" w:rsidR="00000000" w:rsidRPr="00000000">
        <w:rPr>
          <w:rtl w:val="0"/>
        </w:rPr>
        <w:t xml:space="preserve">A estrutura contratual proposta reflete a natureza distinta destes contributos. O modelo financeiro distingue claramente os custos operacionais recorrentes - associados ao licenciamento da infraestrutura Opvance e à manutenção dos Dashpackages da MTG - dos investimentos em inovação suportados pela Asklepic e pela MTG a título de parceria. </w:t>
      </w:r>
    </w:p>
    <w:p w:rsidR="00000000" w:rsidDel="00000000" w:rsidP="00000000" w:rsidRDefault="00000000" w:rsidRPr="00000000" w14:paraId="00000010">
      <w:pPr>
        <w:spacing w:after="240" w:before="240" w:lineRule="auto"/>
        <w:rPr/>
      </w:pPr>
      <w:r w:rsidDel="00000000" w:rsidR="00000000" w:rsidRPr="00000000">
        <w:rPr>
          <w:rtl w:val="0"/>
        </w:rPr>
        <w:t xml:space="preserve">A arquitetura técnica proposta prioriza a soberania dos dados através de uma federação segura (Zero-Trust), a valorização clínica através de inteligência artificial, e a análise e processamento de dados clínicos de forma federada, mantendo a soberania dos dados nas instituições de saúde, o que dita a necessidade de uma estrutura jurídica que reflita a natureza díspar dos recursos envolvidos.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Assim, a base da nossa proposta assenta na distinção clara e legalmente vinculativa entre as figuras de Fornecedor e Parceiro, definindo a relação da SPS com cada entidade da seguinte forma: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tl w:val="0"/>
        </w:rPr>
        <w:t xml:space="preserve">MTG (Relação Parceria e Fornecedor dependendo do serviço): Visa-se um vínculo dual que maximiza a eficiência do projeto: Na vertente de Parceria, a MTG assume o investimento no desenvolvimento dos processos ETL necessários à interoperabilidade dos sistemas de informação das várias instituições nacionais para o registo de cancro da mama. Na vertente de Fornecedor, a relação é comercial e foca-se na entrega dos Dashpackages (artefactos de software que constituem o processamento e a interface gráfica onde os utilizadores visualizam os resultados agregados). Este serviço inclui a adaptação e configuração dos scripts de extração para uma rede alargada de centros clínicos participantes — com um planeamento (timeline) escalonado que visa atingir um total de 20 centros, priorizando numa fase inicial hospitais como os do Algarve, Évora, Lusíadas, Lezíria, IPO de Coimbra, CHUC, Vila Real, bem como o apoio a centros como a Cova da Beira, Viseu e Santa Maria —, bem como o refinamento iterativo do modelo de agregação com base nos primeiros resultados obtidos.</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ASKLEPIC (Relação de Parceria): Estabelece-se um vínculo de colaboração científica e tecnológica. A SPS acolhe a inovação e a capacidade de processamento e validação de dados não estruturados, beneficiando do investimento de risco assumido pela entidade tecnológica.</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u w:val="none"/>
        </w:rPr>
      </w:pPr>
      <w:r w:rsidDel="00000000" w:rsidR="00000000" w:rsidRPr="00000000">
        <w:rPr>
          <w:rtl w:val="0"/>
        </w:rPr>
        <w:t xml:space="preserve">OPVANCE (Relação Fornecedor): Visa-se estabelecer um vínculo comercial de prestação de serviços essenciais, através do qual a SPS contrata a estabilidade, a segurança e a conformidade legal da infraestrutura, elementos sem os quais o projeto não pode operar.</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Para operacionalizar este modelo, o presente documento funciona como o normativo estratégico único que vincula todas as partes. No entanto, para responder legalmente às relações aqui estabelecidas, prevê-se a celebração subsequente de um Memorando de Entendimento conjunto entre a SPS e as 3 empresas. Estes instrumentos contratuais deverão respeitar integralmente as linhas e definições estabelecidas neste Enquadramento Estratégico, formalizando: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u w:val="none"/>
        </w:rPr>
      </w:pPr>
      <w:r w:rsidDel="00000000" w:rsidR="00000000" w:rsidRPr="00000000">
        <w:rPr>
          <w:rtl w:val="0"/>
        </w:rPr>
        <w:t xml:space="preserve">Contratos de Prestação de Serviços para as componentes definidas como fornecimento (com Opvance e MTG);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u w:val="none"/>
        </w:rPr>
      </w:pPr>
      <w:r w:rsidDel="00000000" w:rsidR="00000000" w:rsidRPr="00000000">
        <w:rPr>
          <w:rtl w:val="0"/>
        </w:rPr>
        <w:t xml:space="preserve">Acordos de Parceria e Investigação para as componentes definidas como inovação e risco partilhado (com Asklepic e MTG).</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Garante-se, desta forma, a segurança jurídica de todas as partes e a coerência entre a estratégia do consórcio e a execução comercial individual. A liderança da governação do ecossistema compete à SPS, com o apoio técnico das entidades parceiras, sendo que a SPS detém a titularidade exclusiva dos resultados agregados e da evidência gerada pelo Registo.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r>
    </w:p>
    <w:sectPr>
      <w:headerReference r:id="rId7" w:type="default"/>
      <w:headerReference r:id="rId8" w:type="first"/>
      <w:footerReference r:id="rId9" w:type="default"/>
      <w:pgSz w:h="16838" w:w="11906" w:orient="portrait"/>
      <w:pgMar w:bottom="1455" w:top="180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ubik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ubik">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tabs>
        <w:tab w:val="right" w:leader="none" w:pos="8993"/>
      </w:tabs>
      <w:spacing w:line="240" w:lineRule="auto"/>
      <w:ind w:right="33"/>
      <w:rPr>
        <w:rFonts w:ascii="Rubik Light" w:cs="Rubik Light" w:eastAsia="Rubik Light" w:hAnsi="Rubik Light"/>
        <w:color w:val="172e42"/>
        <w:sz w:val="18"/>
        <w:szCs w:val="18"/>
      </w:rPr>
    </w:pPr>
    <w:r w:rsidDel="00000000" w:rsidR="00000000" w:rsidRPr="00000000">
      <w:rPr>
        <w:rFonts w:ascii="Rubik Light" w:cs="Rubik Light" w:eastAsia="Rubik Light" w:hAnsi="Rubik Light"/>
        <w:color w:val="172e42"/>
        <w:sz w:val="18"/>
        <w:szCs w:val="18"/>
        <w:rtl w:val="0"/>
      </w:rPr>
      <w:t xml:space="preserve">SIGIL Scientific Enterprises</w:t>
      <w:tab/>
    </w:r>
    <w:r w:rsidDel="00000000" w:rsidR="00000000" w:rsidRPr="00000000">
      <w:rPr>
        <w:rFonts w:ascii="Rubik Light" w:cs="Rubik Light" w:eastAsia="Rubik Light" w:hAnsi="Rubik Light"/>
        <w:color w:val="172e42"/>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widowControl w:val="0"/>
      <w:spacing w:after="0" w:before="0" w:line="240" w:lineRule="auto"/>
      <w:rPr>
        <w:rFonts w:ascii="Rubik Medium" w:cs="Rubik Medium" w:eastAsia="Rubik Medium" w:hAnsi="Rubik Medium"/>
        <w:color w:val="172e42"/>
        <w:sz w:val="18"/>
        <w:szCs w:val="18"/>
      </w:rPr>
    </w:pPr>
    <w:r w:rsidDel="00000000" w:rsidR="00000000" w:rsidRPr="00000000">
      <w:rPr>
        <w:rFonts w:ascii="Rubik Medium" w:cs="Rubik Medium" w:eastAsia="Rubik Medium" w:hAnsi="Rubik Medium"/>
        <w:color w:val="172e42"/>
        <w:sz w:val="18"/>
        <w:szCs w:val="18"/>
        <w:rtl w:val="0"/>
      </w:rPr>
      <w:t xml:space="preserve">Project</w:t>
      <w:tab/>
      <w:tab/>
      <w:t xml:space="preserve">Document Type</w:t>
      <w:tab/>
      <w:tab/>
      <w:tab/>
      <w:t xml:space="preserve">Version </w:t>
      <w:tab/>
      <w:tab/>
      <w:t xml:space="preserve">Class   </w:t>
      <w:tab/>
      <w:tab/>
      <w:tab/>
      <w:t xml:space="preserve">Date</w:t>
    </w:r>
  </w:p>
  <w:p w:rsidR="00000000" w:rsidDel="00000000" w:rsidP="00000000" w:rsidRDefault="00000000" w:rsidRPr="00000000" w14:paraId="0000001B">
    <w:pPr>
      <w:widowControl w:val="0"/>
      <w:spacing w:after="0" w:before="0" w:line="240" w:lineRule="auto"/>
      <w:rPr>
        <w:rFonts w:ascii="Rubik Light" w:cs="Rubik Light" w:eastAsia="Rubik Light" w:hAnsi="Rubik Light"/>
        <w:sz w:val="18"/>
        <w:szCs w:val="18"/>
      </w:rPr>
    </w:pPr>
    <w:r w:rsidDel="00000000" w:rsidR="00000000" w:rsidRPr="00000000">
      <w:rPr>
        <w:color w:val="434343"/>
        <w:sz w:val="18"/>
        <w:szCs w:val="18"/>
        <w:rtl w:val="0"/>
      </w:rPr>
      <w:t xml:space="preserve">Registry breast</w:t>
    </w:r>
    <w:r w:rsidDel="00000000" w:rsidR="00000000" w:rsidRPr="00000000">
      <w:rPr>
        <w:rFonts w:ascii="Rubik Light" w:cs="Rubik Light" w:eastAsia="Rubik Light" w:hAnsi="Rubik Light"/>
        <w:color w:val="434343"/>
        <w:sz w:val="18"/>
        <w:szCs w:val="18"/>
        <w:rtl w:val="0"/>
      </w:rPr>
      <w:tab/>
    </w:r>
    <w:r w:rsidDel="00000000" w:rsidR="00000000" w:rsidRPr="00000000">
      <w:rPr>
        <w:color w:val="434343"/>
        <w:sz w:val="18"/>
        <w:szCs w:val="18"/>
        <w:rtl w:val="0"/>
      </w:rPr>
      <w:t xml:space="preserve">Enquadramento Estratégico</w:t>
    </w:r>
    <w:r w:rsidDel="00000000" w:rsidR="00000000" w:rsidRPr="00000000">
      <w:rPr>
        <w:rFonts w:ascii="Rubik Light" w:cs="Rubik Light" w:eastAsia="Rubik Light" w:hAnsi="Rubik Light"/>
        <w:color w:val="434343"/>
        <w:sz w:val="18"/>
        <w:szCs w:val="18"/>
        <w:rtl w:val="0"/>
      </w:rPr>
      <w:tab/>
      <w:t xml:space="preserve">0.1</w:t>
      <w:tab/>
      <w:tab/>
      <w:t xml:space="preserve">Confiden</w:t>
    </w:r>
    <w:r w:rsidDel="00000000" w:rsidR="00000000" w:rsidRPr="00000000">
      <w:rPr>
        <w:color w:val="434343"/>
        <w:sz w:val="18"/>
        <w:szCs w:val="18"/>
        <w:rtl w:val="0"/>
      </w:rPr>
      <w:t xml:space="preserve">c</w:t>
    </w:r>
    <w:r w:rsidDel="00000000" w:rsidR="00000000" w:rsidRPr="00000000">
      <w:rPr>
        <w:rFonts w:ascii="Rubik Light" w:cs="Rubik Light" w:eastAsia="Rubik Light" w:hAnsi="Rubik Light"/>
        <w:color w:val="434343"/>
        <w:sz w:val="18"/>
        <w:szCs w:val="18"/>
        <w:rtl w:val="0"/>
      </w:rPr>
      <w:t xml:space="preserve">ial</w:t>
      <w:tab/>
      <w:tab/>
    </w:r>
    <w:r w:rsidDel="00000000" w:rsidR="00000000" w:rsidRPr="00000000">
      <w:rPr>
        <w:color w:val="434343"/>
        <w:sz w:val="18"/>
        <w:szCs w:val="18"/>
        <w:rtl w:val="0"/>
      </w:rPr>
      <w:t xml:space="preserve">02 Fev</w:t>
    </w:r>
    <w:r w:rsidDel="00000000" w:rsidR="00000000" w:rsidRPr="00000000">
      <w:rPr>
        <w:rFonts w:ascii="Rubik Light" w:cs="Rubik Light" w:eastAsia="Rubik Light" w:hAnsi="Rubik Light"/>
        <w:color w:val="434343"/>
        <w:sz w:val="18"/>
        <w:szCs w:val="18"/>
        <w:rtl w:val="0"/>
      </w:rPr>
      <w:t xml:space="preserve">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spacing w:lin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ubik Light" w:cs="Rubik Light" w:eastAsia="Rubik Light" w:hAnsi="Rubik Light"/>
        <w:sz w:val="24"/>
        <w:szCs w:val="24"/>
        <w:lang w:val="en"/>
      </w:rPr>
    </w:rPrDefault>
    <w:pPrDefault>
      <w:pPr>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20" w:before="200" w:line="240" w:lineRule="auto"/>
    </w:pPr>
    <w:rPr>
      <w:rFonts w:ascii="Rubik Medium" w:cs="Rubik Medium" w:eastAsia="Rubik Medium" w:hAnsi="Rubik Medium"/>
      <w:color w:val="172e42"/>
      <w:sz w:val="40"/>
      <w:szCs w:val="40"/>
    </w:rPr>
  </w:style>
  <w:style w:type="paragraph" w:styleId="Heading2">
    <w:name w:val="heading 2"/>
    <w:basedOn w:val="Normal"/>
    <w:next w:val="Normal"/>
    <w:pPr>
      <w:keepNext w:val="1"/>
      <w:keepLines w:val="1"/>
      <w:spacing w:before="360" w:line="276" w:lineRule="auto"/>
    </w:pPr>
    <w:rPr>
      <w:rFonts w:ascii="Rubik Medium" w:cs="Rubik Medium" w:eastAsia="Rubik Medium" w:hAnsi="Rubik Medium"/>
      <w:color w:val="172e42"/>
      <w:sz w:val="32"/>
      <w:szCs w:val="32"/>
    </w:rPr>
  </w:style>
  <w:style w:type="paragraph" w:styleId="Heading3">
    <w:name w:val="heading 3"/>
    <w:basedOn w:val="Normal"/>
    <w:next w:val="Normal"/>
    <w:pPr>
      <w:keepNext w:val="1"/>
      <w:keepLines w:val="1"/>
      <w:spacing w:before="360" w:line="276" w:lineRule="auto"/>
    </w:pPr>
    <w:rPr>
      <w:rFonts w:ascii="Rubik Medium" w:cs="Rubik Medium" w:eastAsia="Rubik Medium" w:hAnsi="Rubik Medium"/>
      <w:color w:val="172e42"/>
    </w:rPr>
  </w:style>
  <w:style w:type="paragraph" w:styleId="Heading4">
    <w:name w:val="heading 4"/>
    <w:basedOn w:val="Normal"/>
    <w:next w:val="Normal"/>
    <w:pPr>
      <w:keepNext w:val="1"/>
      <w:keepLines w:val="1"/>
      <w:spacing w:after="80" w:lineRule="auto"/>
    </w:pPr>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Standardstycketeckensnitt" w:default="1">
    <w:name w:val="Default Paragraph Font"/>
    <w:uiPriority w:val="1"/>
    <w:unhideWhenUsed w:val="1"/>
  </w:style>
  <w:style w:type="table" w:styleId="Normaltabell" w:default="1">
    <w:name w:val="Normal Table"/>
    <w:uiPriority w:val="99"/>
    <w:semiHidden w:val="1"/>
    <w:unhideWhenUsed w:val="1"/>
    <w:tblPr>
      <w:tblInd w:w="0.0" w:type="dxa"/>
      <w:tblCellMar>
        <w:top w:w="0.0" w:type="dxa"/>
        <w:left w:w="108.0" w:type="dxa"/>
        <w:bottom w:w="0.0" w:type="dxa"/>
        <w:right w:w="108.0" w:type="dxa"/>
      </w:tblCellMar>
    </w:tblPr>
  </w:style>
  <w:style w:type="numbering" w:styleId="Inge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Kommentarer">
    <w:name w:val="annotation text"/>
    <w:basedOn w:val="Normal"/>
    <w:link w:val="KommentarerChar"/>
    <w:uiPriority w:val="99"/>
    <w:semiHidden w:val="1"/>
    <w:unhideWhenUsed w:val="1"/>
    <w:pPr>
      <w:spacing w:line="240" w:lineRule="auto"/>
    </w:pPr>
    <w:rPr>
      <w:sz w:val="20"/>
      <w:szCs w:val="20"/>
    </w:rPr>
  </w:style>
  <w:style w:type="character" w:styleId="KommentarerChar" w:customStyle="1">
    <w:name w:val="Kommentarer Char"/>
    <w:basedOn w:val="Standardstycketeckensnitt"/>
    <w:link w:val="Kommentarer"/>
    <w:uiPriority w:val="99"/>
    <w:semiHidden w:val="1"/>
    <w:rPr>
      <w:sz w:val="20"/>
      <w:szCs w:val="20"/>
    </w:rPr>
  </w:style>
  <w:style w:type="character" w:styleId="Kommentarsreferens">
    <w:name w:val="annotation reference"/>
    <w:basedOn w:val="Standardstycketeckensnitt"/>
    <w:uiPriority w:val="99"/>
    <w:semiHidden w:val="1"/>
    <w:unhideWhenUsed w:val="1"/>
    <w:rPr>
      <w:sz w:val="16"/>
      <w:szCs w:val="16"/>
    </w:rPr>
  </w:style>
  <w:style w:type="paragraph" w:styleId="Sidhuvud">
    <w:name w:val="header"/>
    <w:basedOn w:val="Normal"/>
    <w:link w:val="SidhuvudChar"/>
    <w:uiPriority w:val="99"/>
    <w:unhideWhenUsed w:val="1"/>
    <w:rsid w:val="00A3345B"/>
    <w:pPr>
      <w:tabs>
        <w:tab w:val="center" w:pos="4536"/>
        <w:tab w:val="right" w:pos="9072"/>
      </w:tabs>
      <w:spacing w:line="240" w:lineRule="auto"/>
    </w:pPr>
  </w:style>
  <w:style w:type="character" w:styleId="SidhuvudChar" w:customStyle="1">
    <w:name w:val="Sidhuvud Char"/>
    <w:basedOn w:val="Standardstycketeckensnitt"/>
    <w:link w:val="Sidhuvud"/>
    <w:uiPriority w:val="99"/>
    <w:rsid w:val="00A3345B"/>
  </w:style>
  <w:style w:type="paragraph" w:styleId="Sidfot">
    <w:name w:val="footer"/>
    <w:basedOn w:val="Normal"/>
    <w:link w:val="SidfotChar"/>
    <w:uiPriority w:val="99"/>
    <w:unhideWhenUsed w:val="1"/>
    <w:rsid w:val="00A3345B"/>
    <w:pPr>
      <w:tabs>
        <w:tab w:val="center" w:pos="4536"/>
        <w:tab w:val="right" w:pos="9072"/>
      </w:tabs>
      <w:spacing w:line="240" w:lineRule="auto"/>
    </w:pPr>
  </w:style>
  <w:style w:type="character" w:styleId="SidfotChar" w:customStyle="1">
    <w:name w:val="Sidfot Char"/>
    <w:basedOn w:val="Standardstycketeckensnitt"/>
    <w:link w:val="Sidfot"/>
    <w:uiPriority w:val="99"/>
    <w:rsid w:val="00A3345B"/>
  </w:style>
  <w:style w:type="table" w:styleId="Rutntstabell1ljus-dekorfrg2">
    <w:name w:val="Grid Table 1 Light Accent 2"/>
    <w:basedOn w:val="Normaltabell"/>
    <w:uiPriority w:val="46"/>
    <w:rsid w:val="00C152EB"/>
    <w:pPr>
      <w:spacing w:line="240" w:lineRule="auto"/>
    </w:pPr>
    <w:tblPr>
      <w:tblStyleRowBandSize w:val="1"/>
      <w:tblStyleColBandSize w:val="1"/>
      <w:tblBorders>
        <w:top w:color="e5b8b7" w:space="0" w:sz="4" w:themeColor="accent2" w:themeTint="000066" w:val="single"/>
        <w:left w:color="e5b8b7" w:space="0" w:sz="4" w:themeColor="accent2" w:themeTint="000066" w:val="single"/>
        <w:bottom w:color="e5b8b7" w:space="0" w:sz="4" w:themeColor="accent2" w:themeTint="000066" w:val="single"/>
        <w:right w:color="e5b8b7" w:space="0" w:sz="4" w:themeColor="accent2" w:themeTint="000066" w:val="single"/>
        <w:insideH w:color="e5b8b7" w:space="0" w:sz="4" w:themeColor="accent2" w:themeTint="000066" w:val="single"/>
        <w:insideV w:color="e5b8b7" w:space="0" w:sz="4" w:themeColor="accent2" w:themeTint="000066"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2" w:themeColor="accent2" w:themeTint="000099" w:val="double"/>
        </w:tcBorders>
      </w:tcPr>
    </w:tblStylePr>
    <w:tblStylePr w:type="firstCol">
      <w:rPr>
        <w:b w:val="1"/>
        <w:bCs w:val="1"/>
      </w:rPr>
    </w:tblStylePr>
    <w:tblStylePr w:type="lastCol">
      <w:rPr>
        <w:b w:val="1"/>
        <w:bCs w:val="1"/>
      </w:rPr>
    </w:tblStyle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ubikMedium-regular.ttf"/><Relationship Id="rId2" Type="http://schemas.openxmlformats.org/officeDocument/2006/relationships/font" Target="fonts/RubikMedium-bold.ttf"/><Relationship Id="rId3" Type="http://schemas.openxmlformats.org/officeDocument/2006/relationships/font" Target="fonts/RubikMedium-italic.ttf"/><Relationship Id="rId4" Type="http://schemas.openxmlformats.org/officeDocument/2006/relationships/font" Target="fonts/RubikMedium-boldItalic.ttf"/><Relationship Id="rId11" Type="http://schemas.openxmlformats.org/officeDocument/2006/relationships/font" Target="fonts/Rubik-italic.ttf"/><Relationship Id="rId10" Type="http://schemas.openxmlformats.org/officeDocument/2006/relationships/font" Target="fonts/Rubik-bold.ttf"/><Relationship Id="rId12" Type="http://schemas.openxmlformats.org/officeDocument/2006/relationships/font" Target="fonts/Rubik-boldItalic.ttf"/><Relationship Id="rId9" Type="http://schemas.openxmlformats.org/officeDocument/2006/relationships/font" Target="fonts/Rubik-regular.ttf"/><Relationship Id="rId5" Type="http://schemas.openxmlformats.org/officeDocument/2006/relationships/font" Target="fonts/RubikLight-regular.ttf"/><Relationship Id="rId6" Type="http://schemas.openxmlformats.org/officeDocument/2006/relationships/font" Target="fonts/RubikLight-bold.ttf"/><Relationship Id="rId7" Type="http://schemas.openxmlformats.org/officeDocument/2006/relationships/font" Target="fonts/RubikLight-italic.ttf"/><Relationship Id="rId8" Type="http://schemas.openxmlformats.org/officeDocument/2006/relationships/font" Target="fonts/Rubik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u/QpXjfSI3e0KitfIBibEnctEQ==">CgMxLjAyCGgudHlqY3d0Mg5oLnRtYnRqbTMxcjJhaTgAciExUGZpbGhIWS1ScnBFVWVka0x3SDJNWk5jczd6RGtuWlM=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2025-08-29T21:10:00Z</dcterms:created>
</cp:coreProperties>
</file>