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320" w:before="0" w:line="240" w:lineRule="auto"/>
        <w:ind w:firstLine="720"/>
        <w:rPr>
          <w:rFonts w:ascii="Barlow Condensed Medium" w:cs="Barlow Condensed Medium" w:eastAsia="Barlow Condensed Medium" w:hAnsi="Barlow Condensed Medium"/>
          <w:b w:val="0"/>
          <w:bCs w:val="0"/>
          <w:color w:val="005172"/>
          <w:sz w:val="40"/>
          <w:szCs w:val="40"/>
          <w:highlight w:val="white"/>
        </w:rPr>
      </w:pPr>
      <w:bookmarkStart w:colFirst="0" w:colLast="0" w:name="_5p3ojwz2qcuw" w:id="0"/>
      <w:bookmarkEnd w:id="0"/>
      <w:r w:rsidDel="00000000" w:rsidR="00000000" w:rsidRPr="00000000">
        <w:rPr>
          <w:rFonts w:ascii="Barlow Condensed Medium" w:cs="Barlow Condensed Medium" w:eastAsia="Barlow Condensed Medium" w:hAnsi="Barlow Condensed Medium"/>
          <w:b w:val="0"/>
          <w:bCs w:val="0"/>
          <w:color w:val="005172"/>
          <w:sz w:val="40"/>
          <w:szCs w:val="40"/>
          <w:highlight w:val="white"/>
          <w:rtl w:val="0"/>
        </w:rPr>
        <w:t xml:space="preserve">Acordo</w:t>
      </w:r>
    </w:p>
    <w:p w:rsidR="00000000" w:rsidDel="00000000" w:rsidP="00000000" w:rsidRDefault="00000000" w:rsidRPr="00000000" w14:paraId="00000002">
      <w:pPr>
        <w:pStyle w:val="Heading4"/>
        <w:spacing w:after="320" w:before="0" w:line="240" w:lineRule="auto"/>
        <w:rPr/>
      </w:pPr>
      <w:bookmarkStart w:colFirst="0" w:colLast="0" w:name="_5co7gbfcx4hl" w:id="1"/>
      <w:bookmarkEnd w:id="1"/>
      <w:r w:rsidDel="00000000" w:rsidR="00000000" w:rsidRPr="00000000">
        <w:rPr>
          <w:rtl w:val="0"/>
        </w:rPr>
        <w:t xml:space="preserve">Preâmbulo</w:t>
      </w:r>
    </w:p>
    <w:p w:rsidR="00000000" w:rsidDel="00000000" w:rsidP="00000000" w:rsidRDefault="00000000" w:rsidRPr="00000000" w14:paraId="00000003">
      <w:pPr>
        <w:jc w:val="both"/>
        <w:rPr>
          <w:highlight w:val="white"/>
        </w:rPr>
      </w:pPr>
      <w:r w:rsidDel="00000000" w:rsidR="00000000" w:rsidRPr="00000000">
        <w:rPr>
          <w:highlight w:val="white"/>
          <w:rtl w:val="0"/>
        </w:rPr>
        <w:t xml:space="preserve">A MTG Research and Development Lab (doravante designada MTG), fundada em 2015, é uma empresa especializada em atividades de Investigação e Desenvolvimento (I&amp;D) com recurso a registos eletrónicos de saúde. A Agência Nacional de Inovação reconhece desde 27 de fevereiro de 2020 a MTG como entidade com idoneidade para a prática de atividades de I&amp;D no domínio técnico-científico da saúde.</w:t>
      </w:r>
    </w:p>
    <w:p w:rsidR="00000000" w:rsidDel="00000000" w:rsidP="00000000" w:rsidRDefault="00000000" w:rsidRPr="00000000" w14:paraId="00000004">
      <w:pPr>
        <w:jc w:val="both"/>
        <w:rPr>
          <w:highlight w:val="white"/>
        </w:rPr>
      </w:pPr>
      <w:r w:rsidDel="00000000" w:rsidR="00000000" w:rsidRPr="00000000">
        <w:rPr>
          <w:highlight w:val="white"/>
          <w:rtl w:val="0"/>
        </w:rPr>
        <w:t xml:space="preserve">A MTG participa ativamente em redes internacionais. A visão da MTG alinha-se com a visão dos ecossistemas EHDEN - European Health Data Evidence Network e EHDS - European Health Data Space, ou seja, de uma Europa onde os registos eletrónicos de saúde são utilizados pelas comunidades clínicas e científicas para gerar eficazmente evidência de elevada qualidade, que permita melhorar os resultados em saúde para os cidadãos, contribuindo para a contínua promoção dos sistemas de saúde baseada na evidência e informada pela realidade local. Para o efeito, a MTG tem como objetivo promover a capacitação científica das instituições que têm à sua guarda registos eletrónicos de saúde, de modo a que estas se tornem aptas para participar e desenvolver iniciativas de I&amp;D com recurso a registos eletrónicos de saúde.</w:t>
      </w:r>
    </w:p>
    <w:p w:rsidR="00000000" w:rsidDel="00000000" w:rsidP="00000000" w:rsidRDefault="00000000" w:rsidRPr="00000000" w14:paraId="00000005">
      <w:pPr>
        <w:jc w:val="both"/>
        <w:rPr>
          <w:highlight w:val="white"/>
        </w:rPr>
      </w:pPr>
      <w:r w:rsidDel="00000000" w:rsidR="00000000" w:rsidRPr="00000000">
        <w:rPr>
          <w:highlight w:val="white"/>
          <w:rtl w:val="0"/>
        </w:rPr>
        <w:t xml:space="preserve">A Sociedade Portuguesa de Senologia (doravante designada SPS) é uma associação científica, de âmbito nacional, sem fins lucrativos, que tem como objetivo promover o estudo, a investigação e o desenvolvimento da Senologia em Portugal, fomentando a colaboração entre os seus membros e outras entidades nacionais e internacionais para a melhoria contínua dos cuidados prestados aos doentes com cancro da mama.</w:t>
      </w:r>
    </w:p>
    <w:p w:rsidR="00000000" w:rsidDel="00000000" w:rsidP="00000000" w:rsidRDefault="00000000" w:rsidRPr="00000000" w14:paraId="00000006">
      <w:pPr>
        <w:jc w:val="both"/>
        <w:rPr>
          <w:highlight w:val="white"/>
        </w:rPr>
      </w:pPr>
      <w:r w:rsidDel="00000000" w:rsidR="00000000" w:rsidRPr="00000000">
        <w:rPr>
          <w:highlight w:val="white"/>
          <w:rtl w:val="0"/>
        </w:rPr>
        <w:t xml:space="preserve">A MTG e a SPS partilham a visão de criar um ecossistema de dados de saúde que permita a geração de evidência de elevada qualidade para melhorar os resultados em saúde para os doentes com cancro da mama em Portugal. Para o efeito, pretendem colaborar no desenvolvimento e implementação de um Registo Inteligente de Cancro da Mama (doravante designado "Registo"), que utilize tecnologias avançadas para a estruturação e análise de dados clínicos em ambiente federado.</w:t>
      </w:r>
    </w:p>
    <w:p w:rsidR="00000000" w:rsidDel="00000000" w:rsidP="00000000" w:rsidRDefault="00000000" w:rsidRPr="00000000" w14:paraId="00000007">
      <w:pPr>
        <w:jc w:val="both"/>
        <w:rPr>
          <w:highlight w:val="white"/>
        </w:rPr>
      </w:pPr>
      <w:r w:rsidDel="00000000" w:rsidR="00000000" w:rsidRPr="00000000">
        <w:rPr>
          <w:highlight w:val="white"/>
          <w:rtl w:val="0"/>
        </w:rPr>
        <w:t xml:space="preserve">Este Registo visa capacitar a comunidade científica e clínica, facilitar a extração de informação e promover a investigação clínica de alta qualidade, respeitando sempre os mais elevados padrões de segurança, privacidade e soberania dos dados, em linha com a metodologia </w:t>
      </w:r>
      <w:r w:rsidDel="00000000" w:rsidR="00000000" w:rsidRPr="00000000">
        <w:rPr>
          <w:i w:val="1"/>
          <w:iCs w:val="1"/>
          <w:highlight w:val="white"/>
          <w:rtl w:val="0"/>
        </w:rPr>
        <w:t xml:space="preserve">algorithm-goes-to-data</w:t>
      </w:r>
      <w:r w:rsidDel="00000000" w:rsidR="00000000" w:rsidRPr="00000000">
        <w:rPr>
          <w:highlight w:val="white"/>
          <w:rtl w:val="0"/>
        </w:rPr>
        <w:t xml:space="preserve">.</w:t>
      </w:r>
    </w:p>
    <w:p w:rsidR="00000000" w:rsidDel="00000000" w:rsidP="00000000" w:rsidRDefault="00000000" w:rsidRPr="00000000" w14:paraId="00000008">
      <w:pPr>
        <w:jc w:val="both"/>
        <w:rPr>
          <w:highlight w:val="white"/>
        </w:rPr>
      </w:pPr>
      <w:r w:rsidDel="00000000" w:rsidR="00000000" w:rsidRPr="00000000">
        <w:rPr>
          <w:highlight w:val="white"/>
          <w:rtl w:val="0"/>
        </w:rPr>
        <w:t xml:space="preserve">É assim celebrado o presente Acordo:</w:t>
      </w:r>
    </w:p>
    <w:p w:rsidR="00000000" w:rsidDel="00000000" w:rsidP="00000000" w:rsidRDefault="00000000" w:rsidRPr="00000000" w14:paraId="00000009">
      <w:pPr>
        <w:jc w:val="both"/>
        <w:rPr>
          <w:highlight w:val="white"/>
        </w:rPr>
      </w:pPr>
      <w:r w:rsidDel="00000000" w:rsidR="00000000" w:rsidRPr="00000000">
        <w:rPr>
          <w:highlight w:val="white"/>
          <w:rtl w:val="0"/>
        </w:rPr>
        <w:t xml:space="preserve">Entre</w:t>
      </w:r>
    </w:p>
    <w:p w:rsidR="00000000" w:rsidDel="00000000" w:rsidP="00000000" w:rsidRDefault="00000000" w:rsidRPr="00000000" w14:paraId="0000000A">
      <w:pPr>
        <w:jc w:val="both"/>
        <w:rPr>
          <w:highlight w:val="white"/>
        </w:rPr>
      </w:pPr>
      <w:r w:rsidDel="00000000" w:rsidR="00000000" w:rsidRPr="00000000">
        <w:rPr>
          <w:highlight w:val="white"/>
          <w:rtl w:val="0"/>
        </w:rPr>
        <w:t xml:space="preserve">Entre</w:t>
      </w:r>
    </w:p>
    <w:p w:rsidR="00000000" w:rsidDel="00000000" w:rsidP="00000000" w:rsidRDefault="00000000" w:rsidRPr="00000000" w14:paraId="0000000B">
      <w:pPr>
        <w:jc w:val="both"/>
        <w:rPr>
          <w:b w:val="1"/>
          <w:bCs w:val="1"/>
          <w:highlight w:val="white"/>
        </w:rPr>
      </w:pPr>
      <w:r w:rsidDel="00000000" w:rsidR="00000000" w:rsidRPr="00000000">
        <w:rPr>
          <w:b w:val="1"/>
          <w:bCs w:val="1"/>
          <w:highlight w:val="white"/>
          <w:rtl w:val="0"/>
        </w:rPr>
        <w:t xml:space="preserve">MTG Research and Development Lab, </w:t>
      </w:r>
      <w:r w:rsidDel="00000000" w:rsidR="00000000" w:rsidRPr="00000000">
        <w:rPr>
          <w:highlight w:val="white"/>
          <w:rtl w:val="0"/>
        </w:rPr>
        <w:t xml:space="preserve">com sede em Rua Professor Joaquim Bastos, 102, 2A, 4200-604, Porto, pessoal coletiva nº 513 586 849, representada por</w:t>
      </w:r>
      <w:r w:rsidDel="00000000" w:rsidR="00000000" w:rsidRPr="00000000">
        <w:rPr>
          <w:b w:val="1"/>
          <w:bCs w:val="1"/>
          <w:highlight w:val="white"/>
          <w:rtl w:val="0"/>
        </w:rPr>
        <w:t xml:space="preserve"> Teresa Maria Salgado de Magalhães, </w:t>
      </w:r>
      <w:r w:rsidDel="00000000" w:rsidR="00000000" w:rsidRPr="00000000">
        <w:rPr>
          <w:highlight w:val="white"/>
          <w:rtl w:val="0"/>
        </w:rPr>
        <w:t xml:space="preserve">na qualidade de Gerente, e </w:t>
      </w:r>
      <w:r w:rsidDel="00000000" w:rsidR="00000000" w:rsidRPr="00000000">
        <w:rPr>
          <w:b w:val="1"/>
          <w:bCs w:val="1"/>
          <w:highlight w:val="white"/>
          <w:rtl w:val="0"/>
        </w:rPr>
        <w:t xml:space="preserve">Daniela Neves Antunes</w:t>
      </w:r>
      <w:r w:rsidDel="00000000" w:rsidR="00000000" w:rsidRPr="00000000">
        <w:rPr>
          <w:highlight w:val="white"/>
          <w:rtl w:val="0"/>
        </w:rPr>
        <w:t xml:space="preserve">, na qualidade de Procuradora da Gerência, com poderes para o ato, de ora em diante designada por </w:t>
      </w:r>
      <w:r w:rsidDel="00000000" w:rsidR="00000000" w:rsidRPr="00000000">
        <w:rPr>
          <w:b w:val="1"/>
          <w:bCs w:val="1"/>
          <w:highlight w:val="white"/>
          <w:rtl w:val="0"/>
        </w:rPr>
        <w:t xml:space="preserve">“Primeira Outorgante”</w:t>
      </w:r>
    </w:p>
    <w:p w:rsidR="00000000" w:rsidDel="00000000" w:rsidP="00000000" w:rsidRDefault="00000000" w:rsidRPr="00000000" w14:paraId="0000000C">
      <w:pPr>
        <w:jc w:val="both"/>
        <w:rPr>
          <w:b w:val="1"/>
          <w:bCs w:val="1"/>
          <w:highlight w:val="white"/>
        </w:rPr>
      </w:pPr>
      <w:r w:rsidDel="00000000" w:rsidR="00000000" w:rsidRPr="00000000">
        <w:rPr>
          <w:b w:val="1"/>
          <w:bCs w:val="1"/>
          <w:highlight w:val="white"/>
          <w:rtl w:val="0"/>
        </w:rPr>
        <w:t xml:space="preserve">E</w:t>
      </w:r>
    </w:p>
    <w:p w:rsidR="00000000" w:rsidDel="00000000" w:rsidP="00000000" w:rsidRDefault="00000000" w:rsidRPr="00000000" w14:paraId="0000000D">
      <w:pPr>
        <w:jc w:val="both"/>
        <w:rPr>
          <w:b w:val="1"/>
          <w:bCs w:val="1"/>
          <w:highlight w:val="white"/>
        </w:rPr>
      </w:pPr>
      <w:r w:rsidDel="00000000" w:rsidR="00000000" w:rsidRPr="00000000">
        <w:rPr>
          <w:b w:val="1"/>
          <w:bCs w:val="1"/>
          <w:highlight w:val="white"/>
          <w:rtl w:val="0"/>
        </w:rPr>
        <w:t xml:space="preserve">Sociedade Portuguesa de Senologia, </w:t>
      </w:r>
      <w:r w:rsidDel="00000000" w:rsidR="00000000" w:rsidRPr="00000000">
        <w:rPr>
          <w:highlight w:val="white"/>
          <w:rtl w:val="0"/>
        </w:rPr>
        <w:t xml:space="preserve">com sede na {Morada da SPS}, pessoa coletiva n.º {NIF da SPS}, aqui representada pela </w:t>
      </w:r>
      <w:r w:rsidDel="00000000" w:rsidR="00000000" w:rsidRPr="00000000">
        <w:rPr>
          <w:b w:val="1"/>
          <w:bCs w:val="1"/>
          <w:highlight w:val="white"/>
          <w:rtl w:val="0"/>
        </w:rPr>
        <w:t xml:space="preserve">{Cargo e Nome do representante da SPS} c</w:t>
      </w:r>
      <w:r w:rsidDel="00000000" w:rsidR="00000000" w:rsidRPr="00000000">
        <w:rPr>
          <w:highlight w:val="white"/>
          <w:rtl w:val="0"/>
        </w:rPr>
        <w:t xml:space="preserve">om poderes para o ato, de ora em diante designada por</w:t>
      </w:r>
      <w:r w:rsidDel="00000000" w:rsidR="00000000" w:rsidRPr="00000000">
        <w:rPr>
          <w:b w:val="1"/>
          <w:bCs w:val="1"/>
          <w:highlight w:val="white"/>
          <w:rtl w:val="0"/>
        </w:rPr>
        <w:t xml:space="preserve"> “Segunda Outorgante”</w:t>
      </w:r>
    </w:p>
    <w:p w:rsidR="00000000" w:rsidDel="00000000" w:rsidP="00000000" w:rsidRDefault="00000000" w:rsidRPr="00000000" w14:paraId="0000000E">
      <w:pPr>
        <w:jc w:val="both"/>
        <w:rPr>
          <w:b w:val="1"/>
          <w:bCs w:val="1"/>
          <w:highlight w:val="white"/>
        </w:rPr>
      </w:pPr>
      <w:r w:rsidDel="00000000" w:rsidR="00000000" w:rsidRPr="00000000">
        <w:rPr>
          <w:rtl w:val="0"/>
        </w:rPr>
      </w:r>
    </w:p>
    <w:p w:rsidR="00000000" w:rsidDel="00000000" w:rsidP="00000000" w:rsidRDefault="00000000" w:rsidRPr="00000000" w14:paraId="0000000F">
      <w:pPr>
        <w:pStyle w:val="Heading4"/>
        <w:jc w:val="center"/>
        <w:rPr>
          <w:highlight w:val="white"/>
        </w:rPr>
      </w:pPr>
      <w:bookmarkStart w:colFirst="0" w:colLast="0" w:name="_witmeujtxq4j" w:id="2"/>
      <w:bookmarkEnd w:id="2"/>
      <w:r w:rsidDel="00000000" w:rsidR="00000000" w:rsidRPr="00000000">
        <w:rPr>
          <w:highlight w:val="white"/>
          <w:rtl w:val="0"/>
        </w:rPr>
        <w:t xml:space="preserve">Cláusula Primeira</w:t>
      </w:r>
    </w:p>
    <w:p w:rsidR="00000000" w:rsidDel="00000000" w:rsidP="00000000" w:rsidRDefault="00000000" w:rsidRPr="00000000" w14:paraId="00000010">
      <w:pPr>
        <w:pStyle w:val="Heading4"/>
        <w:jc w:val="center"/>
        <w:rPr>
          <w:highlight w:val="white"/>
        </w:rPr>
      </w:pPr>
      <w:bookmarkStart w:colFirst="0" w:colLast="0" w:name="_yh4k7fm67p3" w:id="3"/>
      <w:bookmarkEnd w:id="3"/>
      <w:r w:rsidDel="00000000" w:rsidR="00000000" w:rsidRPr="00000000">
        <w:rPr>
          <w:highlight w:val="white"/>
          <w:rtl w:val="0"/>
        </w:rPr>
        <w:t xml:space="preserve">(Objeto)</w:t>
      </w:r>
    </w:p>
    <w:p w:rsidR="00000000" w:rsidDel="00000000" w:rsidP="00000000" w:rsidRDefault="00000000" w:rsidRPr="00000000" w14:paraId="00000011">
      <w:pPr>
        <w:jc w:val="both"/>
        <w:rPr>
          <w:highlight w:val="white"/>
        </w:rPr>
      </w:pPr>
      <w:r w:rsidDel="00000000" w:rsidR="00000000" w:rsidRPr="00000000">
        <w:rPr>
          <w:highlight w:val="white"/>
          <w:rtl w:val="0"/>
        </w:rPr>
        <w:t xml:space="preserve">O presente Memorando de Entendimento tem por objeto estabelecer os termos da colaboração entre os Outorgantes para o desenvolvimento, implementação e manutenção do Registo Inteligente de Cancro da Mama. Este Registo visa criar uma infraestrutura de dados federada e inteligente para a recolha, estruturação e análise de dados de vida real no contexto do cancro da mama em Portugal, com o objetivo de gerar evidência científica, melhorar a qualidade dos cuidados e apoiar a certificação de unidades de mama.</w:t>
      </w:r>
    </w:p>
    <w:p w:rsidR="00000000" w:rsidDel="00000000" w:rsidP="00000000" w:rsidRDefault="00000000" w:rsidRPr="00000000" w14:paraId="00000012">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aiibjgghj35p" w:id="4"/>
      <w:bookmarkEnd w:id="4"/>
      <w:r w:rsidDel="00000000" w:rsidR="00000000" w:rsidRPr="00000000">
        <w:rPr>
          <w:rFonts w:ascii="Lato" w:cs="Lato" w:eastAsia="Lato" w:hAnsi="Lato"/>
          <w:b w:val="1"/>
          <w:bCs w:val="1"/>
          <w:color w:val="000000"/>
          <w:sz w:val="22"/>
          <w:szCs w:val="22"/>
          <w:highlight w:val="white"/>
          <w:rtl w:val="0"/>
        </w:rPr>
        <w:t xml:space="preserve">Cláusula Segunda </w:t>
        <w:br w:type="textWrapping"/>
        <w:t xml:space="preserve">(Âmbito e Componentes do Projeto)</w:t>
      </w:r>
      <w:r w:rsidDel="00000000" w:rsidR="00000000" w:rsidRPr="00000000">
        <w:rPr>
          <w:rtl w:val="0"/>
        </w:rPr>
      </w:r>
    </w:p>
    <w:p w:rsidR="00000000" w:rsidDel="00000000" w:rsidP="00000000" w:rsidRDefault="00000000" w:rsidRPr="00000000" w14:paraId="00000013">
      <w:pPr>
        <w:jc w:val="both"/>
        <w:rPr>
          <w:highlight w:val="white"/>
        </w:rPr>
      </w:pPr>
      <w:r w:rsidDel="00000000" w:rsidR="00000000" w:rsidRPr="00000000">
        <w:rPr>
          <w:highlight w:val="white"/>
          <w:rtl w:val="0"/>
        </w:rPr>
        <w:t xml:space="preserve">O âmbito do presente Memorando abrange a colaboração nas seguintes quatro áreas principais, cuja descrição técnica detalhada consta no Anexo I:</w:t>
      </w:r>
    </w:p>
    <w:p w:rsidR="00000000" w:rsidDel="00000000" w:rsidP="00000000" w:rsidRDefault="00000000" w:rsidRPr="00000000" w14:paraId="00000014">
      <w:pPr>
        <w:jc w:val="both"/>
        <w:rPr>
          <w:highlight w:val="white"/>
        </w:rPr>
      </w:pPr>
      <w:r w:rsidDel="00000000" w:rsidR="00000000" w:rsidRPr="00000000">
        <w:rPr>
          <w:highlight w:val="white"/>
          <w:rtl w:val="0"/>
        </w:rPr>
        <w:t xml:space="preserve">1.Desenvolvimento de Processos ETL (Extract, Transform, Load): A MTG desenvolverá, como investimento próprio, os processos ETL necessários para extrair e transformar os dados dos sistemas de informação dos centros clínicos participantes, mapeando-os para um modelo de dados comum (e.g., OMOP-CDM). A SPS será responsável por mobilizar os seus membros e os centros clínicos para garantir a colaboração necessária a esta implementação.</w:t>
      </w:r>
    </w:p>
    <w:p w:rsidR="00000000" w:rsidDel="00000000" w:rsidP="00000000" w:rsidRDefault="00000000" w:rsidRPr="00000000" w14:paraId="00000015">
      <w:pPr>
        <w:jc w:val="both"/>
        <w:rPr>
          <w:highlight w:val="yellow"/>
        </w:rPr>
      </w:pPr>
      <w:r w:rsidDel="00000000" w:rsidR="00000000" w:rsidRPr="00000000">
        <w:rPr>
          <w:highlight w:val="yellow"/>
          <w:rtl w:val="0"/>
        </w:rPr>
        <w:t xml:space="preserve">2.Estruturação de Dados com LLMs : A MTG fornecerá  um produto, que utiliza Modelos de Linguagem de Grande Escala (LLMs), para a estruturação de dados não estruturados em todos os centros clínicos aderentes, permitindo a extração de variáveis complexas com o mínimo de intervenção manual.</w:t>
      </w:r>
    </w:p>
    <w:p w:rsidR="00000000" w:rsidDel="00000000" w:rsidP="00000000" w:rsidRDefault="00000000" w:rsidRPr="00000000" w14:paraId="00000016">
      <w:pPr>
        <w:jc w:val="both"/>
        <w:rPr>
          <w:highlight w:val="yellow"/>
        </w:rPr>
      </w:pPr>
      <w:r w:rsidDel="00000000" w:rsidR="00000000" w:rsidRPr="00000000">
        <w:rPr>
          <w:highlight w:val="yellow"/>
          <w:rtl w:val="0"/>
        </w:rPr>
        <w:t xml:space="preserve">3.Infraestrutura de Cibersegurança e Processamento: A MTG apoiará a implementação da infraestrutura de cibersegurança para armazenamento e processamento da empresa Opvance, que funcionará como a camada central de cibersegurança, gestão de identidade e orquestração do processamento federado dos dados. Esta componente garante a conformidade com o RGPD e a soberania dos dados por parte de cada instituição, sendo a única componente com custos financeiros associados para a SPS, conforme detalhado no Anexo II.</w:t>
      </w:r>
    </w:p>
    <w:p w:rsidR="00000000" w:rsidDel="00000000" w:rsidP="00000000" w:rsidRDefault="00000000" w:rsidRPr="00000000" w14:paraId="00000017">
      <w:pPr>
        <w:jc w:val="both"/>
        <w:rPr>
          <w:highlight w:val="yellow"/>
        </w:rPr>
      </w:pPr>
      <w:r w:rsidDel="00000000" w:rsidR="00000000" w:rsidRPr="00000000">
        <w:rPr>
          <w:highlight w:val="yellow"/>
          <w:rtl w:val="0"/>
        </w:rPr>
        <w:t xml:space="preserve">4.Consumo e Integração de Dados por Terceiros: O acesso e a integração de dados agregados do Registo por parte de entidades terceiras (e.g., indústria farmacêutica, outros grupos de investigação) serão geridos através de um modelo de "bolsa de horas", permitindo a sustentabilidade do projeto e a partilha de valor com os centros contribuintes.</w:t>
      </w:r>
    </w:p>
    <w:p w:rsidR="00000000" w:rsidDel="00000000" w:rsidP="00000000" w:rsidRDefault="00000000" w:rsidRPr="00000000" w14:paraId="00000018">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751tf6t0p2v8" w:id="5"/>
      <w:bookmarkEnd w:id="5"/>
      <w:r w:rsidDel="00000000" w:rsidR="00000000" w:rsidRPr="00000000">
        <w:rPr>
          <w:rFonts w:ascii="Lato" w:cs="Lato" w:eastAsia="Lato" w:hAnsi="Lato"/>
          <w:b w:val="1"/>
          <w:bCs w:val="1"/>
          <w:color w:val="000000"/>
          <w:sz w:val="22"/>
          <w:szCs w:val="22"/>
          <w:highlight w:val="white"/>
          <w:rtl w:val="0"/>
        </w:rPr>
        <w:t xml:space="preserve">Cláusula Terceira </w:t>
        <w:br w:type="textWrapping"/>
        <w:t xml:space="preserve">(Compromissos da Primeira Outorgante - MTG)</w:t>
      </w:r>
      <w:r w:rsidDel="00000000" w:rsidR="00000000" w:rsidRPr="00000000">
        <w:rPr>
          <w:rtl w:val="0"/>
        </w:rPr>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São compromissos da Primeira Outorgante:</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1.Investimento e Desenvolvimento: Financiar e desenvolver o código-fonte dos processos ETL e do produto de Inteligência Artificial para a estruturação de dados para o âmbito deste projeto.</w:t>
      </w:r>
    </w:p>
    <w:p w:rsidR="00000000" w:rsidDel="00000000" w:rsidP="00000000" w:rsidRDefault="00000000" w:rsidRPr="00000000" w14:paraId="0000001B">
      <w:pPr>
        <w:jc w:val="both"/>
        <w:rPr>
          <w:highlight w:val="yellow"/>
        </w:rPr>
      </w:pPr>
      <w:r w:rsidDel="00000000" w:rsidR="00000000" w:rsidRPr="00000000">
        <w:rPr>
          <w:highlight w:val="yellow"/>
          <w:rtl w:val="0"/>
        </w:rPr>
        <w:t xml:space="preserve">2. Orquestração para a disponibilização da Infraestrutura: Fornecer, manter e garantir o suporte técnico da infraestrutura tecnológica Opvance para assegurar a operacionalidade e segurança do Registo.</w:t>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3.Desenvolvimento do Dashpackage: Desenvolver e manter o Dashpackage (conforme definido no Anexo I) que será instalado localmente em cada centro, permitindo a visualização de dados agregados e patient-level para uso clínico e de gestão, bem como a extração de dados para certificação EUSOMA.</w:t>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4.Capacitação e Suporte: Transferir conhecimento à SPS e aos seus membros sobre a metodologia, as ferramentas e as boas práticas para a utilização do Registo, incluindo a formação na conceção de estudos e análise de dados.</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5.Confidencialidade e Proteção de Dados: Garantir que todos os processos desenvolvidos cumprem a legislação em vigor (RGPD, Lei n.º 58/2019) e as melhores práticas de cibersegurança, sem nunca aceder diretamente aos dados dos doentes, em estrito cumprimento da metodologia algorithm-goes-to-data.</w:t>
      </w:r>
    </w:p>
    <w:p w:rsidR="00000000" w:rsidDel="00000000" w:rsidP="00000000" w:rsidRDefault="00000000" w:rsidRPr="00000000" w14:paraId="0000001F">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t73r4ck2ui87" w:id="6"/>
      <w:bookmarkEnd w:id="6"/>
      <w:r w:rsidDel="00000000" w:rsidR="00000000" w:rsidRPr="00000000">
        <w:rPr>
          <w:rFonts w:ascii="Lato" w:cs="Lato" w:eastAsia="Lato" w:hAnsi="Lato"/>
          <w:b w:val="1"/>
          <w:bCs w:val="1"/>
          <w:color w:val="000000"/>
          <w:sz w:val="22"/>
          <w:szCs w:val="22"/>
          <w:highlight w:val="white"/>
          <w:rtl w:val="0"/>
        </w:rPr>
        <w:t xml:space="preserve">Cláusula Quarta </w:t>
        <w:br w:type="textWrapping"/>
        <w:t xml:space="preserve">(Compromissos da Segunda Outorgante - SPS)</w:t>
      </w:r>
      <w:r w:rsidDel="00000000" w:rsidR="00000000" w:rsidRPr="00000000">
        <w:rPr>
          <w:rtl w:val="0"/>
        </w:rPr>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São compromissos da Segunda Outorgante:</w:t>
      </w:r>
    </w:p>
    <w:p w:rsidR="00000000" w:rsidDel="00000000" w:rsidP="00000000" w:rsidRDefault="00000000" w:rsidRPr="00000000" w14:paraId="00000021">
      <w:pPr>
        <w:jc w:val="both"/>
        <w:rPr>
          <w:highlight w:val="white"/>
        </w:rPr>
      </w:pPr>
      <w:r w:rsidDel="00000000" w:rsidR="00000000" w:rsidRPr="00000000">
        <w:rPr>
          <w:highlight w:val="white"/>
          <w:rtl w:val="0"/>
        </w:rPr>
        <w:t xml:space="preserve">1.Mobilização de Recursos: Atuar como facilitador e ponto de contacto central, mobilizando os seus membros e os centros clínicos de senologia para que colaborem ativamente no projeto, nomeadamente na disponibilização dos catálogos de metadados e no apoio necessário à implementação dos processos ETL e do Dashpackage local.</w:t>
      </w:r>
    </w:p>
    <w:p w:rsidR="00000000" w:rsidDel="00000000" w:rsidP="00000000" w:rsidRDefault="00000000" w:rsidRPr="00000000" w14:paraId="00000022">
      <w:pPr>
        <w:jc w:val="both"/>
        <w:rPr>
          <w:highlight w:val="white"/>
        </w:rPr>
      </w:pPr>
      <w:r w:rsidDel="00000000" w:rsidR="00000000" w:rsidRPr="00000000">
        <w:rPr>
          <w:highlight w:val="white"/>
          <w:rtl w:val="0"/>
        </w:rPr>
        <w:t xml:space="preserve">2.Financiamento da Infraestrutura: Assegurar o financiamento da componente de infraestrutura, que cobre os custos de cibersegurança, processamento de dados e manutenção do ambiente central. O valor e modelo de pagamento estão detalhados no Anexo II.</w:t>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3.Governança e Ética: Garantir que, para cada iniciativa de I&amp;D que utilize os dados do Registo, sejam obtidos os pareceres necessários da Comissão de Ética e do Encarregado de Proteção de Dados de cada instituição participante.</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4.Comité de Governança: Coliderar com a MTG a criação e manutenção de um Comité de Governança do Registo, responsável por definir as regras de acesso, validar os pedidos de estudos e supervisionar a utilização dos dados.</w:t>
      </w:r>
    </w:p>
    <w:p w:rsidR="00000000" w:rsidDel="00000000" w:rsidP="00000000" w:rsidRDefault="00000000" w:rsidRPr="00000000" w14:paraId="00000025">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5d5xsoiaa0kn" w:id="7"/>
      <w:bookmarkEnd w:id="7"/>
      <w:r w:rsidDel="00000000" w:rsidR="00000000" w:rsidRPr="00000000">
        <w:rPr>
          <w:rFonts w:ascii="Lato" w:cs="Lato" w:eastAsia="Lato" w:hAnsi="Lato"/>
          <w:b w:val="1"/>
          <w:bCs w:val="1"/>
          <w:color w:val="000000"/>
          <w:sz w:val="22"/>
          <w:szCs w:val="22"/>
          <w:highlight w:val="white"/>
          <w:rtl w:val="0"/>
        </w:rPr>
        <w:t xml:space="preserve">Cláusula Quinta </w:t>
        <w:br w:type="textWrapping"/>
        <w:t xml:space="preserve">(Modelo de Governança e Comercial)</w:t>
      </w:r>
      <w:r w:rsidDel="00000000" w:rsidR="00000000" w:rsidRPr="00000000">
        <w:rPr>
          <w:rtl w:val="0"/>
        </w:rPr>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1.Comité de Governança: Será estabelecido um Comité de Governança composto por representantes da MTG, da SPS e dos centros clínicos participantes. Este comité será responsável pela gestão estratégica do Registo, incluindo a aprovação de novos estudos, a política de acesso a dados e a supervisão da conformidade ética e legal.</w:t>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2.Acesso para Terceiros ("Bolsa de Horas"): O acesso aos dados agregados do Registo por parte de entidades terceiras será gerido por um modelo de subscrição ou "bolsa de horas". Os pedidos serão submetidos ao Comité de Governança para aprovação.</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3.Partilha de Receitas: As receitas geradas pelo acesso de terceiros serão partilhadas entre a MTG, a SPS e os centros clínicos contribuintes, segundo um modelo de repartição a ser definido no Anexo II, com o objetivo de garantir a sustentabilidade a longo prazo do Registo e recompensar a contribuição dos participantes.</w:t>
      </w:r>
    </w:p>
    <w:p w:rsidR="00000000" w:rsidDel="00000000" w:rsidP="00000000" w:rsidRDefault="00000000" w:rsidRPr="00000000" w14:paraId="00000029">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kzifbim8y5ev" w:id="8"/>
      <w:bookmarkEnd w:id="8"/>
      <w:r w:rsidDel="00000000" w:rsidR="00000000" w:rsidRPr="00000000">
        <w:rPr>
          <w:rFonts w:ascii="Lato" w:cs="Lato" w:eastAsia="Lato" w:hAnsi="Lato"/>
          <w:b w:val="1"/>
          <w:bCs w:val="1"/>
          <w:color w:val="000000"/>
          <w:sz w:val="22"/>
          <w:szCs w:val="22"/>
          <w:highlight w:val="white"/>
          <w:rtl w:val="0"/>
        </w:rPr>
        <w:t xml:space="preserve">Cláusula Sexta </w:t>
        <w:br w:type="textWrapping"/>
        <w:t xml:space="preserve">(Propriedade Intelectual)</w:t>
      </w:r>
      <w:r w:rsidDel="00000000" w:rsidR="00000000" w:rsidRPr="00000000">
        <w:rPr>
          <w:rtl w:val="0"/>
        </w:rPr>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1.O código-fonte dos processos ETL, do Asklepic, do Dashpackage e da infraestrutura Opvance são propriedade da MTG. A MTG licencia a sua utilização à SPS e aos centros participantes no âmbito exclusivo do presente Memorando.</w:t>
      </w:r>
    </w:p>
    <w:p w:rsidR="00000000" w:rsidDel="00000000" w:rsidP="00000000" w:rsidRDefault="00000000" w:rsidRPr="00000000" w14:paraId="0000002B">
      <w:pPr>
        <w:jc w:val="both"/>
        <w:rPr>
          <w:highlight w:val="white"/>
        </w:rPr>
      </w:pPr>
      <w:r w:rsidDel="00000000" w:rsidR="00000000" w:rsidRPr="00000000">
        <w:rPr>
          <w:highlight w:val="white"/>
          <w:rtl w:val="0"/>
        </w:rPr>
        <w:t xml:space="preserve">2.Os dados clínicos originais permanecem propriedade e sob a soberania de cada centro clínico participante.</w:t>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3.Os dados agregados e anonimizados de forma irreversível, gerados pelo Registo, serão propriedade conjunta da SPS e dos centros clínicos que contribuíram com os dados, sendo a sua utilização regulada pelo Comité de Governança.</w:t>
      </w:r>
    </w:p>
    <w:p w:rsidR="00000000" w:rsidDel="00000000" w:rsidP="00000000" w:rsidRDefault="00000000" w:rsidRPr="00000000" w14:paraId="0000002D">
      <w:pPr>
        <w:pStyle w:val="Heading3"/>
        <w:keepNext w:val="0"/>
        <w:keepLines w:val="0"/>
        <w:spacing w:after="80" w:before="280" w:line="312" w:lineRule="auto"/>
        <w:jc w:val="center"/>
        <w:rPr>
          <w:rFonts w:ascii="Lato" w:cs="Lato" w:eastAsia="Lato" w:hAnsi="Lato"/>
          <w:b w:val="1"/>
          <w:bCs w:val="1"/>
          <w:color w:val="000000"/>
          <w:sz w:val="26"/>
          <w:szCs w:val="26"/>
          <w:highlight w:val="white"/>
        </w:rPr>
      </w:pPr>
      <w:bookmarkStart w:colFirst="0" w:colLast="0" w:name="_4pmvjeulkqvh" w:id="9"/>
      <w:bookmarkEnd w:id="9"/>
      <w:r w:rsidDel="00000000" w:rsidR="00000000" w:rsidRPr="00000000">
        <w:rPr>
          <w:rFonts w:ascii="Lato" w:cs="Lato" w:eastAsia="Lato" w:hAnsi="Lato"/>
          <w:b w:val="1"/>
          <w:bCs w:val="1"/>
          <w:color w:val="000000"/>
          <w:sz w:val="22"/>
          <w:szCs w:val="22"/>
          <w:highlight w:val="white"/>
          <w:rtl w:val="0"/>
        </w:rPr>
        <w:t xml:space="preserve">Cláusula Sétima </w:t>
        <w:br w:type="textWrapping"/>
        <w:t xml:space="preserve">(Vigência, Renovação e Cessação)</w:t>
      </w:r>
      <w:r w:rsidDel="00000000" w:rsidR="00000000" w:rsidRPr="00000000">
        <w:rPr>
          <w:rtl w:val="0"/>
        </w:rPr>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1.O presente Memorando de Entendimento é válido por 3 (três) anos, entrando em vigor na data da respetiva assinatura.</w:t>
      </w:r>
    </w:p>
    <w:p w:rsidR="00000000" w:rsidDel="00000000" w:rsidP="00000000" w:rsidRDefault="00000000" w:rsidRPr="00000000" w14:paraId="0000002F">
      <w:pPr>
        <w:jc w:val="both"/>
        <w:rPr>
          <w:highlight w:val="white"/>
        </w:rPr>
      </w:pPr>
      <w:r w:rsidDel="00000000" w:rsidR="00000000" w:rsidRPr="00000000">
        <w:rPr>
          <w:highlight w:val="white"/>
          <w:rtl w:val="0"/>
        </w:rPr>
        <w:t xml:space="preserve">2.O Memorando renova-se automaticamente por períodos iguais e sucessivos de 1 (um) ano, salvo se denunciado por qualquer uma das partes, por carta registada com aviso de receção, com uma antecedência mínima de 90 (noventa) dias.</w:t>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3.Em caso de cessação, a MTG compromete-se a assegurar um período de transição para garantir a exportação dos dados agregados e a transferência de conhecimento necessária para a autonomia da SPS, se aplicável.</w:t>
      </w:r>
    </w:p>
    <w:p w:rsidR="00000000" w:rsidDel="00000000" w:rsidP="00000000" w:rsidRDefault="00000000" w:rsidRPr="00000000" w14:paraId="00000031">
      <w:pPr>
        <w:pStyle w:val="Heading3"/>
        <w:keepNext w:val="0"/>
        <w:keepLines w:val="0"/>
        <w:spacing w:after="80" w:before="280" w:line="312" w:lineRule="auto"/>
        <w:jc w:val="both"/>
        <w:rPr>
          <w:rFonts w:ascii="Lato" w:cs="Lato" w:eastAsia="Lato" w:hAnsi="Lato"/>
          <w:b w:val="1"/>
          <w:bCs w:val="1"/>
          <w:color w:val="000000"/>
          <w:sz w:val="22"/>
          <w:szCs w:val="22"/>
          <w:highlight w:val="white"/>
        </w:rPr>
      </w:pPr>
      <w:bookmarkStart w:colFirst="0" w:colLast="0" w:name="_4a9za7ert2bd" w:id="10"/>
      <w:bookmarkEnd w:id="10"/>
      <w:r w:rsidDel="00000000" w:rsidR="00000000" w:rsidRPr="00000000">
        <w:rPr>
          <w:rFonts w:ascii="Lato" w:cs="Lato" w:eastAsia="Lato" w:hAnsi="Lato"/>
          <w:b w:val="1"/>
          <w:bCs w:val="1"/>
          <w:color w:val="000000"/>
          <w:sz w:val="22"/>
          <w:szCs w:val="22"/>
          <w:highlight w:val="white"/>
          <w:rtl w:val="0"/>
        </w:rPr>
        <w:t xml:space="preserve">Cláusula Oitava </w:t>
        <w:br w:type="textWrapping"/>
        <w:t xml:space="preserve">(Comunicações)</w:t>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As comunicações realizadas no âmbito do presente Memorando devem observar critérios de rastreabilidade, sendo enviadas por correio eletrónico ou carta registada para os seguintes contactos:</w:t>
      </w:r>
    </w:p>
    <w:tbl>
      <w:tblPr>
        <w:tblStyle w:val="Table1"/>
        <w:tblW w:w="86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155"/>
        <w:tblGridChange w:id="0">
          <w:tblGrid>
            <w:gridCol w:w="4500"/>
            <w:gridCol w:w="415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76" w:lineRule="auto"/>
              <w:rPr>
                <w:b w:val="1"/>
                <w:bCs w:val="1"/>
                <w:highlight w:val="white"/>
              </w:rPr>
            </w:pPr>
            <w:r w:rsidDel="00000000" w:rsidR="00000000" w:rsidRPr="00000000">
              <w:rPr>
                <w:b w:val="1"/>
                <w:bCs w:val="1"/>
                <w:highlight w:val="white"/>
                <w:rtl w:val="0"/>
              </w:rPr>
              <w:t xml:space="preserve">Primeira Outorgante</w:t>
            </w:r>
          </w:p>
          <w:p w:rsidR="00000000" w:rsidDel="00000000" w:rsidP="00000000" w:rsidRDefault="00000000" w:rsidRPr="00000000" w14:paraId="00000034">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35">
            <w:pPr>
              <w:spacing w:after="0" w:line="276" w:lineRule="auto"/>
              <w:rPr>
                <w:b w:val="1"/>
                <w:bCs w:val="1"/>
                <w:highlight w:val="white"/>
              </w:rPr>
            </w:pPr>
            <w:r w:rsidDel="00000000" w:rsidR="00000000" w:rsidRPr="00000000">
              <w:rPr>
                <w:b w:val="1"/>
                <w:bCs w:val="1"/>
                <w:highlight w:val="white"/>
                <w:rtl w:val="0"/>
              </w:rPr>
              <w:t xml:space="preserve">Nome</w:t>
            </w:r>
          </w:p>
          <w:p w:rsidR="00000000" w:rsidDel="00000000" w:rsidP="00000000" w:rsidRDefault="00000000" w:rsidRPr="00000000" w14:paraId="00000036">
            <w:pPr>
              <w:spacing w:after="0" w:line="276" w:lineRule="auto"/>
              <w:rPr>
                <w:highlight w:val="white"/>
              </w:rPr>
            </w:pPr>
            <w:r w:rsidDel="00000000" w:rsidR="00000000" w:rsidRPr="00000000">
              <w:rPr>
                <w:highlight w:val="white"/>
                <w:rtl w:val="0"/>
              </w:rPr>
              <w:t xml:space="preserve">MTG Research and Development Lab</w:t>
            </w:r>
          </w:p>
          <w:p w:rsidR="00000000" w:rsidDel="00000000" w:rsidP="00000000" w:rsidRDefault="00000000" w:rsidRPr="00000000" w14:paraId="00000037">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38">
            <w:pPr>
              <w:spacing w:after="0" w:line="276" w:lineRule="auto"/>
              <w:rPr>
                <w:highlight w:val="white"/>
              </w:rPr>
            </w:pPr>
            <w:r w:rsidDel="00000000" w:rsidR="00000000" w:rsidRPr="00000000">
              <w:rPr>
                <w:b w:val="1"/>
                <w:bCs w:val="1"/>
                <w:highlight w:val="white"/>
                <w:rtl w:val="0"/>
              </w:rPr>
              <w:t xml:space="preserve">A/C de</w:t>
            </w:r>
            <w:r w:rsidDel="00000000" w:rsidR="00000000" w:rsidRPr="00000000">
              <w:rPr>
                <w:rtl w:val="0"/>
              </w:rPr>
            </w:r>
          </w:p>
          <w:p w:rsidR="00000000" w:rsidDel="00000000" w:rsidP="00000000" w:rsidRDefault="00000000" w:rsidRPr="00000000" w14:paraId="00000039">
            <w:pPr>
              <w:spacing w:after="0" w:line="276" w:lineRule="auto"/>
              <w:rPr>
                <w:highlight w:val="white"/>
              </w:rPr>
            </w:pPr>
            <w:r w:rsidDel="00000000" w:rsidR="00000000" w:rsidRPr="00000000">
              <w:rPr>
                <w:highlight w:val="white"/>
                <w:rtl w:val="0"/>
              </w:rPr>
              <w:t xml:space="preserve">Raquel Moreira</w:t>
            </w:r>
          </w:p>
          <w:p w:rsidR="00000000" w:rsidDel="00000000" w:rsidP="00000000" w:rsidRDefault="00000000" w:rsidRPr="00000000" w14:paraId="0000003A">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3B">
            <w:pPr>
              <w:spacing w:after="0" w:line="276" w:lineRule="auto"/>
              <w:rPr>
                <w:highlight w:val="white"/>
              </w:rPr>
            </w:pPr>
            <w:r w:rsidDel="00000000" w:rsidR="00000000" w:rsidRPr="00000000">
              <w:rPr>
                <w:b w:val="1"/>
                <w:bCs w:val="1"/>
                <w:highlight w:val="white"/>
                <w:rtl w:val="0"/>
              </w:rPr>
              <w:t xml:space="preserve">Morada</w:t>
            </w:r>
            <w:r w:rsidDel="00000000" w:rsidR="00000000" w:rsidRPr="00000000">
              <w:rPr>
                <w:rtl w:val="0"/>
              </w:rPr>
            </w:r>
          </w:p>
          <w:p w:rsidR="00000000" w:rsidDel="00000000" w:rsidP="00000000" w:rsidRDefault="00000000" w:rsidRPr="00000000" w14:paraId="0000003C">
            <w:pPr>
              <w:spacing w:after="0" w:line="276" w:lineRule="auto"/>
              <w:rPr>
                <w:highlight w:val="white"/>
              </w:rPr>
            </w:pPr>
            <w:r w:rsidDel="00000000" w:rsidR="00000000" w:rsidRPr="00000000">
              <w:rPr>
                <w:highlight w:val="white"/>
                <w:rtl w:val="0"/>
              </w:rPr>
              <w:t xml:space="preserve">Rua Professor Joaquim Bastos</w:t>
            </w:r>
          </w:p>
          <w:p w:rsidR="00000000" w:rsidDel="00000000" w:rsidP="00000000" w:rsidRDefault="00000000" w:rsidRPr="00000000" w14:paraId="0000003D">
            <w:pPr>
              <w:spacing w:after="0" w:line="276" w:lineRule="auto"/>
              <w:rPr>
                <w:highlight w:val="white"/>
              </w:rPr>
            </w:pPr>
            <w:r w:rsidDel="00000000" w:rsidR="00000000" w:rsidRPr="00000000">
              <w:rPr>
                <w:highlight w:val="white"/>
                <w:rtl w:val="0"/>
              </w:rPr>
              <w:t xml:space="preserve">102 2A 4200-604 Porto</w:t>
            </w:r>
          </w:p>
          <w:p w:rsidR="00000000" w:rsidDel="00000000" w:rsidP="00000000" w:rsidRDefault="00000000" w:rsidRPr="00000000" w14:paraId="0000003E">
            <w:pPr>
              <w:spacing w:after="0" w:line="276" w:lineRule="auto"/>
              <w:rPr>
                <w:highlight w:val="white"/>
              </w:rPr>
            </w:pPr>
            <w:r w:rsidDel="00000000" w:rsidR="00000000" w:rsidRPr="00000000">
              <w:rPr>
                <w:highlight w:val="white"/>
                <w:rtl w:val="0"/>
              </w:rPr>
              <w:t xml:space="preserve">Portugal</w:t>
            </w:r>
          </w:p>
          <w:p w:rsidR="00000000" w:rsidDel="00000000" w:rsidP="00000000" w:rsidRDefault="00000000" w:rsidRPr="00000000" w14:paraId="0000003F">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40">
            <w:pPr>
              <w:spacing w:after="0" w:line="276" w:lineRule="auto"/>
              <w:rPr>
                <w:highlight w:val="white"/>
              </w:rPr>
            </w:pPr>
            <w:r w:rsidDel="00000000" w:rsidR="00000000" w:rsidRPr="00000000">
              <w:rPr>
                <w:b w:val="1"/>
                <w:bCs w:val="1"/>
                <w:highlight w:val="white"/>
                <w:rtl w:val="0"/>
              </w:rPr>
              <w:t xml:space="preserve">E-mail</w:t>
            </w:r>
            <w:r w:rsidDel="00000000" w:rsidR="00000000" w:rsidRPr="00000000">
              <w:rPr>
                <w:rtl w:val="0"/>
              </w:rPr>
            </w:r>
          </w:p>
          <w:p w:rsidR="00000000" w:rsidDel="00000000" w:rsidP="00000000" w:rsidRDefault="00000000" w:rsidRPr="00000000" w14:paraId="00000041">
            <w:pPr>
              <w:spacing w:after="0" w:line="276" w:lineRule="auto"/>
              <w:rPr>
                <w:highlight w:val="white"/>
              </w:rPr>
            </w:pPr>
            <w:r w:rsidDel="00000000" w:rsidR="00000000" w:rsidRPr="00000000">
              <w:rPr>
                <w:highlight w:val="white"/>
                <w:rtl w:val="0"/>
              </w:rPr>
              <w:t xml:space="preserve">corporate@mtg.pt</w:t>
            </w:r>
          </w:p>
          <w:p w:rsidR="00000000" w:rsidDel="00000000" w:rsidP="00000000" w:rsidRDefault="00000000" w:rsidRPr="00000000" w14:paraId="00000042">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43">
            <w:pPr>
              <w:spacing w:after="0" w:line="276" w:lineRule="auto"/>
              <w:rPr>
                <w:b w:val="1"/>
                <w:bCs w:val="1"/>
                <w:highlight w:val="white"/>
              </w:rPr>
            </w:pPr>
            <w:r w:rsidDel="00000000" w:rsidR="00000000" w:rsidRPr="00000000">
              <w:rPr>
                <w:b w:val="1"/>
                <w:bCs w:val="1"/>
                <w:highlight w:val="white"/>
                <w:rtl w:val="0"/>
              </w:rPr>
              <w:t xml:space="preserve">Telefone</w:t>
            </w:r>
          </w:p>
          <w:p w:rsidR="00000000" w:rsidDel="00000000" w:rsidP="00000000" w:rsidRDefault="00000000" w:rsidRPr="00000000" w14:paraId="00000044">
            <w:pPr>
              <w:spacing w:after="0" w:line="276" w:lineRule="auto"/>
              <w:rPr>
                <w:highlight w:val="white"/>
              </w:rPr>
            </w:pPr>
            <w:r w:rsidDel="00000000" w:rsidR="00000000" w:rsidRPr="00000000">
              <w:rPr>
                <w:highlight w:val="white"/>
                <w:rtl w:val="0"/>
              </w:rPr>
              <w:t xml:space="preserve">+351 911 729 305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b w:val="1"/>
                <w:bCs w:val="1"/>
                <w:highlight w:val="white"/>
              </w:rPr>
            </w:pPr>
            <w:r w:rsidDel="00000000" w:rsidR="00000000" w:rsidRPr="00000000">
              <w:rPr>
                <w:b w:val="1"/>
                <w:bCs w:val="1"/>
                <w:highlight w:val="white"/>
                <w:rtl w:val="0"/>
              </w:rPr>
              <w:t xml:space="preserve">Segunda Outorgante</w:t>
            </w:r>
          </w:p>
          <w:p w:rsidR="00000000" w:rsidDel="00000000" w:rsidP="00000000" w:rsidRDefault="00000000" w:rsidRPr="00000000" w14:paraId="00000046">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47">
            <w:pPr>
              <w:spacing w:after="0" w:line="276" w:lineRule="auto"/>
              <w:rPr>
                <w:b w:val="1"/>
                <w:bCs w:val="1"/>
                <w:highlight w:val="white"/>
              </w:rPr>
            </w:pPr>
            <w:r w:rsidDel="00000000" w:rsidR="00000000" w:rsidRPr="00000000">
              <w:rPr>
                <w:b w:val="1"/>
                <w:bCs w:val="1"/>
                <w:highlight w:val="white"/>
                <w:rtl w:val="0"/>
              </w:rPr>
              <w:t xml:space="preserve">Nome</w:t>
            </w:r>
          </w:p>
          <w:p w:rsidR="00000000" w:rsidDel="00000000" w:rsidP="00000000" w:rsidRDefault="00000000" w:rsidRPr="00000000" w14:paraId="00000048">
            <w:pPr>
              <w:spacing w:after="0" w:line="276" w:lineRule="auto"/>
              <w:rPr>
                <w:b w:val="1"/>
                <w:bCs w:val="1"/>
                <w:highlight w:val="white"/>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49">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4A">
            <w:pPr>
              <w:spacing w:after="0" w:line="276" w:lineRule="auto"/>
              <w:rPr>
                <w:highlight w:val="white"/>
              </w:rPr>
            </w:pPr>
            <w:r w:rsidDel="00000000" w:rsidR="00000000" w:rsidRPr="00000000">
              <w:rPr>
                <w:b w:val="1"/>
                <w:bCs w:val="1"/>
                <w:highlight w:val="white"/>
                <w:rtl w:val="0"/>
              </w:rPr>
              <w:t xml:space="preserve">A/C de</w:t>
            </w:r>
            <w:r w:rsidDel="00000000" w:rsidR="00000000" w:rsidRPr="00000000">
              <w:rPr>
                <w:rtl w:val="0"/>
              </w:rPr>
            </w:r>
          </w:p>
          <w:p w:rsidR="00000000" w:rsidDel="00000000" w:rsidP="00000000" w:rsidRDefault="00000000" w:rsidRPr="00000000" w14:paraId="0000004B">
            <w:pPr>
              <w:spacing w:after="0" w:line="276" w:lineRule="auto"/>
              <w:rPr>
                <w:highlight w:val="white"/>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4C">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4D">
            <w:pPr>
              <w:spacing w:after="0" w:line="276" w:lineRule="auto"/>
              <w:rPr>
                <w:highlight w:val="white"/>
              </w:rPr>
            </w:pPr>
            <w:r w:rsidDel="00000000" w:rsidR="00000000" w:rsidRPr="00000000">
              <w:rPr>
                <w:b w:val="1"/>
                <w:bCs w:val="1"/>
                <w:highlight w:val="white"/>
                <w:rtl w:val="0"/>
              </w:rPr>
              <w:t xml:space="preserve">Morada</w:t>
            </w:r>
            <w:r w:rsidDel="00000000" w:rsidR="00000000" w:rsidRPr="00000000">
              <w:rPr>
                <w:rtl w:val="0"/>
              </w:rPr>
            </w:r>
          </w:p>
          <w:p w:rsidR="00000000" w:rsidDel="00000000" w:rsidP="00000000" w:rsidRDefault="00000000" w:rsidRPr="00000000" w14:paraId="0000004E">
            <w:pPr>
              <w:spacing w:after="0" w:line="276" w:lineRule="auto"/>
              <w:rPr>
                <w:shd w:fill="d9d9d9" w:val="clear"/>
              </w:rPr>
            </w:pPr>
            <w:r w:rsidDel="00000000" w:rsidR="00000000" w:rsidRPr="00000000">
              <w:rPr>
                <w:shd w:fill="d9d9d9" w:val="clear"/>
                <w:rtl w:val="0"/>
              </w:rPr>
              <w:t xml:space="preserve">[...]</w:t>
            </w:r>
            <w:r w:rsidDel="00000000" w:rsidR="00000000" w:rsidRPr="00000000">
              <w:rPr>
                <w:highlight w:val="white"/>
                <w:rtl w:val="0"/>
              </w:rPr>
              <w:br w:type="textWrapping"/>
            </w:r>
            <w:r w:rsidDel="00000000" w:rsidR="00000000" w:rsidRPr="00000000">
              <w:rPr>
                <w:shd w:fill="d9d9d9" w:val="clear"/>
                <w:rtl w:val="0"/>
              </w:rPr>
              <w:t xml:space="preserve">[...]</w:t>
            </w:r>
          </w:p>
          <w:p w:rsidR="00000000" w:rsidDel="00000000" w:rsidP="00000000" w:rsidRDefault="00000000" w:rsidRPr="00000000" w14:paraId="0000004F">
            <w:pPr>
              <w:spacing w:after="0" w:line="276" w:lineRule="auto"/>
              <w:rPr>
                <w:shd w:fill="d9d9d9" w:val="clear"/>
              </w:rPr>
            </w:pPr>
            <w:r w:rsidDel="00000000" w:rsidR="00000000" w:rsidRPr="00000000">
              <w:rPr>
                <w:shd w:fill="d9d9d9" w:val="clear"/>
                <w:rtl w:val="0"/>
              </w:rPr>
              <w:t xml:space="preserve">[...]</w:t>
            </w:r>
          </w:p>
          <w:p w:rsidR="00000000" w:rsidDel="00000000" w:rsidP="00000000" w:rsidRDefault="00000000" w:rsidRPr="00000000" w14:paraId="00000050">
            <w:pPr>
              <w:spacing w:after="0" w:line="276" w:lineRule="auto"/>
              <w:rPr>
                <w:b w:val="1"/>
                <w:bCs w:val="1"/>
                <w:highlight w:val="white"/>
              </w:rPr>
            </w:pPr>
            <w:r w:rsidDel="00000000" w:rsidR="00000000" w:rsidRPr="00000000">
              <w:rPr>
                <w:rtl w:val="0"/>
              </w:rPr>
            </w:r>
          </w:p>
          <w:p w:rsidR="00000000" w:rsidDel="00000000" w:rsidP="00000000" w:rsidRDefault="00000000" w:rsidRPr="00000000" w14:paraId="00000051">
            <w:pPr>
              <w:spacing w:after="0" w:line="276" w:lineRule="auto"/>
              <w:rPr>
                <w:highlight w:val="white"/>
              </w:rPr>
            </w:pPr>
            <w:r w:rsidDel="00000000" w:rsidR="00000000" w:rsidRPr="00000000">
              <w:rPr>
                <w:b w:val="1"/>
                <w:bCs w:val="1"/>
                <w:highlight w:val="white"/>
                <w:rtl w:val="0"/>
              </w:rPr>
              <w:t xml:space="preserve">E-mail</w:t>
            </w:r>
            <w:r w:rsidDel="00000000" w:rsidR="00000000" w:rsidRPr="00000000">
              <w:rPr>
                <w:rtl w:val="0"/>
              </w:rPr>
            </w:r>
          </w:p>
          <w:p w:rsidR="00000000" w:rsidDel="00000000" w:rsidP="00000000" w:rsidRDefault="00000000" w:rsidRPr="00000000" w14:paraId="00000052">
            <w:pPr>
              <w:spacing w:after="0" w:line="276" w:lineRule="auto"/>
              <w:rPr>
                <w:highlight w:val="white"/>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53">
            <w:pPr>
              <w:widowControl w:val="0"/>
              <w:spacing w:after="0" w:line="240" w:lineRule="auto"/>
              <w:rPr>
                <w:highlight w:val="white"/>
              </w:rPr>
            </w:pPr>
            <w:r w:rsidDel="00000000" w:rsidR="00000000" w:rsidRPr="00000000">
              <w:rPr>
                <w:rtl w:val="0"/>
              </w:rPr>
            </w:r>
          </w:p>
          <w:p w:rsidR="00000000" w:rsidDel="00000000" w:rsidP="00000000" w:rsidRDefault="00000000" w:rsidRPr="00000000" w14:paraId="00000054">
            <w:pPr>
              <w:spacing w:after="0" w:line="276" w:lineRule="auto"/>
              <w:rPr>
                <w:b w:val="1"/>
                <w:bCs w:val="1"/>
                <w:highlight w:val="white"/>
              </w:rPr>
            </w:pPr>
            <w:r w:rsidDel="00000000" w:rsidR="00000000" w:rsidRPr="00000000">
              <w:rPr>
                <w:b w:val="1"/>
                <w:bCs w:val="1"/>
                <w:highlight w:val="white"/>
                <w:rtl w:val="0"/>
              </w:rPr>
              <w:t xml:space="preserve">Telefone</w:t>
            </w:r>
          </w:p>
          <w:p w:rsidR="00000000" w:rsidDel="00000000" w:rsidP="00000000" w:rsidRDefault="00000000" w:rsidRPr="00000000" w14:paraId="00000055">
            <w:pPr>
              <w:spacing w:after="0" w:line="276" w:lineRule="auto"/>
              <w:rPr>
                <w:highlight w:val="white"/>
              </w:rPr>
            </w:pPr>
            <w:r w:rsidDel="00000000" w:rsidR="00000000" w:rsidRPr="00000000">
              <w:rPr>
                <w:shd w:fill="d9d9d9" w:val="clear"/>
                <w:rtl w:val="0"/>
              </w:rPr>
              <w:t xml:space="preserve">[...]</w:t>
            </w:r>
            <w:r w:rsidDel="00000000" w:rsidR="00000000" w:rsidRPr="00000000">
              <w:rPr>
                <w:rtl w:val="0"/>
              </w:rPr>
            </w:r>
          </w:p>
        </w:tc>
      </w:tr>
    </w:tbl>
    <w:p w:rsidR="00000000" w:rsidDel="00000000" w:rsidP="00000000" w:rsidRDefault="00000000" w:rsidRPr="00000000" w14:paraId="00000056">
      <w:pPr>
        <w:ind w:left="360"/>
        <w:jc w:val="both"/>
        <w:rPr>
          <w:highlight w:val="white"/>
        </w:rPr>
      </w:pPr>
      <w:r w:rsidDel="00000000" w:rsidR="00000000" w:rsidRPr="00000000">
        <w:rPr>
          <w:rtl w:val="0"/>
        </w:rPr>
      </w:r>
    </w:p>
    <w:p w:rsidR="00000000" w:rsidDel="00000000" w:rsidP="00000000" w:rsidRDefault="00000000" w:rsidRPr="00000000" w14:paraId="00000057">
      <w:pPr>
        <w:ind w:left="360"/>
        <w:jc w:val="both"/>
        <w:rPr>
          <w:highlight w:val="white"/>
        </w:rPr>
      </w:pPr>
      <w:r w:rsidDel="00000000" w:rsidR="00000000" w:rsidRPr="00000000">
        <w:rPr>
          <w:rtl w:val="0"/>
        </w:rPr>
      </w:r>
    </w:p>
    <w:p w:rsidR="00000000" w:rsidDel="00000000" w:rsidP="00000000" w:rsidRDefault="00000000" w:rsidRPr="00000000" w14:paraId="00000058">
      <w:pPr>
        <w:ind w:left="360"/>
        <w:jc w:val="both"/>
        <w:rPr>
          <w:highlight w:val="white"/>
        </w:rPr>
      </w:pPr>
      <w:r w:rsidDel="00000000" w:rsidR="00000000" w:rsidRPr="00000000">
        <w:rPr>
          <w:rtl w:val="0"/>
        </w:rPr>
      </w:r>
    </w:p>
    <w:p w:rsidR="00000000" w:rsidDel="00000000" w:rsidP="00000000" w:rsidRDefault="00000000" w:rsidRPr="00000000" w14:paraId="00000059">
      <w:pPr>
        <w:jc w:val="both"/>
        <w:rPr>
          <w:shd w:fill="d9d9d9" w:val="clear"/>
        </w:rPr>
      </w:pPr>
      <w:r w:rsidDel="00000000" w:rsidR="00000000" w:rsidRPr="00000000">
        <w:rPr>
          <w:highlight w:val="white"/>
          <w:rtl w:val="0"/>
        </w:rPr>
        <w:t xml:space="preserve">Feito em duplicado, </w:t>
      </w:r>
      <w:r w:rsidDel="00000000" w:rsidR="00000000" w:rsidRPr="00000000">
        <w:rPr>
          <w:shd w:fill="d9d9d9" w:val="clear"/>
          <w:rtl w:val="0"/>
        </w:rPr>
        <w:t xml:space="preserve">[Local]</w:t>
      </w:r>
      <w:r w:rsidDel="00000000" w:rsidR="00000000" w:rsidRPr="00000000">
        <w:rPr>
          <w:highlight w:val="white"/>
          <w:rtl w:val="0"/>
        </w:rPr>
        <w:t xml:space="preserve">, </w:t>
      </w:r>
      <w:r w:rsidDel="00000000" w:rsidR="00000000" w:rsidRPr="00000000">
        <w:rPr>
          <w:shd w:fill="d9d9d9" w:val="clear"/>
          <w:rtl w:val="0"/>
        </w:rPr>
        <w:t xml:space="preserve">[dia] </w:t>
      </w:r>
      <w:r w:rsidDel="00000000" w:rsidR="00000000" w:rsidRPr="00000000">
        <w:rPr>
          <w:highlight w:val="white"/>
          <w:rtl w:val="0"/>
        </w:rPr>
        <w:t xml:space="preserve">de </w:t>
      </w:r>
      <w:r w:rsidDel="00000000" w:rsidR="00000000" w:rsidRPr="00000000">
        <w:rPr>
          <w:shd w:fill="d9d9d9" w:val="clear"/>
          <w:rtl w:val="0"/>
        </w:rPr>
        <w:t xml:space="preserve">[mês]</w:t>
      </w:r>
      <w:r w:rsidDel="00000000" w:rsidR="00000000" w:rsidRPr="00000000">
        <w:rPr>
          <w:highlight w:val="white"/>
          <w:rtl w:val="0"/>
        </w:rPr>
        <w:t xml:space="preserve"> de 202</w:t>
      </w:r>
      <w:r w:rsidDel="00000000" w:rsidR="00000000" w:rsidRPr="00000000">
        <w:rPr>
          <w:shd w:fill="d9d9d9" w:val="clear"/>
          <w:rtl w:val="0"/>
        </w:rPr>
        <w:t xml:space="preserve">[...]</w:t>
      </w:r>
    </w:p>
    <w:p w:rsidR="00000000" w:rsidDel="00000000" w:rsidP="00000000" w:rsidRDefault="00000000" w:rsidRPr="00000000" w14:paraId="0000005A">
      <w:pPr>
        <w:jc w:val="both"/>
        <w:rPr>
          <w:shd w:fill="d9d9d9" w:val="clear"/>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rPr>
                <w:highlight w:val="white"/>
              </w:rPr>
            </w:pPr>
            <w:r w:rsidDel="00000000" w:rsidR="00000000" w:rsidRPr="00000000">
              <w:rPr>
                <w:highlight w:val="white"/>
                <w:rtl w:val="0"/>
              </w:rPr>
              <w:t xml:space="preserve">Pela Primeira Outorgante</w:t>
            </w:r>
          </w:p>
          <w:p w:rsidR="00000000" w:rsidDel="00000000" w:rsidP="00000000" w:rsidRDefault="00000000" w:rsidRPr="00000000" w14:paraId="0000005C">
            <w:pPr>
              <w:spacing w:after="0" w:line="276" w:lineRule="auto"/>
              <w:rPr>
                <w:highlight w:val="white"/>
              </w:rPr>
            </w:pPr>
            <w:r w:rsidDel="00000000" w:rsidR="00000000" w:rsidRPr="00000000">
              <w:rPr>
                <w:rtl w:val="0"/>
              </w:rPr>
            </w:r>
          </w:p>
          <w:p w:rsidR="00000000" w:rsidDel="00000000" w:rsidP="00000000" w:rsidRDefault="00000000" w:rsidRPr="00000000" w14:paraId="0000005D">
            <w:pPr>
              <w:spacing w:after="0" w:line="276" w:lineRule="auto"/>
              <w:rPr>
                <w:highlight w:val="white"/>
              </w:rPr>
            </w:pPr>
            <w:r w:rsidDel="00000000" w:rsidR="00000000" w:rsidRPr="00000000">
              <w:rPr>
                <w:rtl w:val="0"/>
              </w:rPr>
            </w:r>
          </w:p>
          <w:p w:rsidR="00000000" w:rsidDel="00000000" w:rsidP="00000000" w:rsidRDefault="00000000" w:rsidRPr="00000000" w14:paraId="0000005E">
            <w:pPr>
              <w:spacing w:after="0" w:line="276" w:lineRule="auto"/>
              <w:rPr>
                <w:highlight w:val="white"/>
              </w:rPr>
            </w:pPr>
            <w:r w:rsidDel="00000000" w:rsidR="00000000" w:rsidRPr="00000000">
              <w:rPr>
                <w:rtl w:val="0"/>
              </w:rPr>
            </w:r>
          </w:p>
          <w:p w:rsidR="00000000" w:rsidDel="00000000" w:rsidP="00000000" w:rsidRDefault="00000000" w:rsidRPr="00000000" w14:paraId="0000005F">
            <w:pPr>
              <w:spacing w:after="0" w:line="276" w:lineRule="auto"/>
              <w:rPr>
                <w:highlight w:val="white"/>
              </w:rPr>
            </w:pPr>
            <w:r w:rsidDel="00000000" w:rsidR="00000000" w:rsidRPr="00000000">
              <w:rPr>
                <w:highlight w:val="white"/>
                <w:rtl w:val="0"/>
              </w:rPr>
              <w:t xml:space="preserve">________________________________________</w:t>
            </w:r>
          </w:p>
          <w:p w:rsidR="00000000" w:rsidDel="00000000" w:rsidP="00000000" w:rsidRDefault="00000000" w:rsidRPr="00000000" w14:paraId="00000060">
            <w:pPr>
              <w:spacing w:after="0" w:line="276" w:lineRule="auto"/>
              <w:rPr>
                <w:b w:val="1"/>
                <w:bCs w:val="1"/>
                <w:highlight w:val="white"/>
              </w:rPr>
            </w:pPr>
            <w:r w:rsidDel="00000000" w:rsidR="00000000" w:rsidRPr="00000000">
              <w:rPr>
                <w:b w:val="1"/>
                <w:bCs w:val="1"/>
                <w:highlight w:val="white"/>
                <w:rtl w:val="0"/>
              </w:rPr>
              <w:t xml:space="preserve">Teresa Maria Salgado de Magalhães</w:t>
            </w:r>
          </w:p>
          <w:p w:rsidR="00000000" w:rsidDel="00000000" w:rsidP="00000000" w:rsidRDefault="00000000" w:rsidRPr="00000000" w14:paraId="00000061">
            <w:pPr>
              <w:spacing w:after="0" w:line="276" w:lineRule="auto"/>
              <w:rPr>
                <w:highlight w:val="white"/>
              </w:rPr>
            </w:pPr>
            <w:r w:rsidDel="00000000" w:rsidR="00000000" w:rsidRPr="00000000">
              <w:rPr>
                <w:highlight w:val="white"/>
                <w:rtl w:val="0"/>
              </w:rPr>
              <w:t xml:space="preserve">Gerente</w:t>
            </w:r>
          </w:p>
          <w:p w:rsidR="00000000" w:rsidDel="00000000" w:rsidP="00000000" w:rsidRDefault="00000000" w:rsidRPr="00000000" w14:paraId="00000062">
            <w:pPr>
              <w:spacing w:after="0" w:line="276" w:lineRule="auto"/>
              <w:rPr>
                <w:highlight w:val="white"/>
              </w:rPr>
            </w:pPr>
            <w:r w:rsidDel="00000000" w:rsidR="00000000" w:rsidRPr="00000000">
              <w:rPr>
                <w:rtl w:val="0"/>
              </w:rPr>
            </w:r>
          </w:p>
          <w:p w:rsidR="00000000" w:rsidDel="00000000" w:rsidP="00000000" w:rsidRDefault="00000000" w:rsidRPr="00000000" w14:paraId="00000063">
            <w:pPr>
              <w:spacing w:after="0" w:line="276" w:lineRule="auto"/>
              <w:rPr>
                <w:highlight w:val="white"/>
              </w:rPr>
            </w:pPr>
            <w:r w:rsidDel="00000000" w:rsidR="00000000" w:rsidRPr="00000000">
              <w:rPr>
                <w:rtl w:val="0"/>
              </w:rPr>
            </w:r>
          </w:p>
          <w:p w:rsidR="00000000" w:rsidDel="00000000" w:rsidP="00000000" w:rsidRDefault="00000000" w:rsidRPr="00000000" w14:paraId="00000064">
            <w:pPr>
              <w:spacing w:after="0" w:line="276" w:lineRule="auto"/>
              <w:rPr>
                <w:highlight w:val="white"/>
              </w:rPr>
            </w:pPr>
            <w:r w:rsidDel="00000000" w:rsidR="00000000" w:rsidRPr="00000000">
              <w:rPr>
                <w:rtl w:val="0"/>
              </w:rPr>
            </w:r>
          </w:p>
          <w:p w:rsidR="00000000" w:rsidDel="00000000" w:rsidP="00000000" w:rsidRDefault="00000000" w:rsidRPr="00000000" w14:paraId="00000065">
            <w:pPr>
              <w:spacing w:after="0" w:line="276" w:lineRule="auto"/>
              <w:rPr>
                <w:highlight w:val="white"/>
              </w:rPr>
            </w:pPr>
            <w:r w:rsidDel="00000000" w:rsidR="00000000" w:rsidRPr="00000000">
              <w:rPr>
                <w:highlight w:val="white"/>
                <w:rtl w:val="0"/>
              </w:rPr>
              <w:t xml:space="preserve">________________________________________</w:t>
            </w:r>
          </w:p>
          <w:p w:rsidR="00000000" w:rsidDel="00000000" w:rsidP="00000000" w:rsidRDefault="00000000" w:rsidRPr="00000000" w14:paraId="00000066">
            <w:pPr>
              <w:spacing w:line="276" w:lineRule="auto"/>
              <w:rPr>
                <w:highlight w:val="white"/>
              </w:rPr>
            </w:pPr>
            <w:r w:rsidDel="00000000" w:rsidR="00000000" w:rsidRPr="00000000">
              <w:rPr>
                <w:b w:val="1"/>
                <w:bCs w:val="1"/>
                <w:highlight w:val="white"/>
                <w:rtl w:val="0"/>
              </w:rPr>
              <w:t xml:space="preserve">Daniela Neves Antunes</w:t>
              <w:br w:type="textWrapping"/>
            </w:r>
            <w:r w:rsidDel="00000000" w:rsidR="00000000" w:rsidRPr="00000000">
              <w:rPr>
                <w:highlight w:val="white"/>
                <w:rtl w:val="0"/>
              </w:rPr>
              <w:t xml:space="preserve">Procuradora da Gerência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jc w:val="both"/>
              <w:rPr>
                <w:highlight w:val="white"/>
              </w:rPr>
            </w:pPr>
            <w:r w:rsidDel="00000000" w:rsidR="00000000" w:rsidRPr="00000000">
              <w:rPr>
                <w:highlight w:val="white"/>
                <w:rtl w:val="0"/>
              </w:rPr>
              <w:t xml:space="preserve">Pela Segunda Outorgante</w:t>
            </w:r>
          </w:p>
          <w:p w:rsidR="00000000" w:rsidDel="00000000" w:rsidP="00000000" w:rsidRDefault="00000000" w:rsidRPr="00000000" w14:paraId="00000068">
            <w:pPr>
              <w:spacing w:after="0" w:line="276" w:lineRule="auto"/>
              <w:jc w:val="both"/>
              <w:rPr>
                <w:highlight w:val="white"/>
              </w:rPr>
            </w:pPr>
            <w:r w:rsidDel="00000000" w:rsidR="00000000" w:rsidRPr="00000000">
              <w:rPr>
                <w:rtl w:val="0"/>
              </w:rPr>
            </w:r>
          </w:p>
          <w:p w:rsidR="00000000" w:rsidDel="00000000" w:rsidP="00000000" w:rsidRDefault="00000000" w:rsidRPr="00000000" w14:paraId="00000069">
            <w:pPr>
              <w:spacing w:after="0" w:line="276" w:lineRule="auto"/>
              <w:jc w:val="both"/>
              <w:rPr>
                <w:highlight w:val="white"/>
              </w:rPr>
            </w:pPr>
            <w:r w:rsidDel="00000000" w:rsidR="00000000" w:rsidRPr="00000000">
              <w:rPr>
                <w:rtl w:val="0"/>
              </w:rPr>
            </w:r>
          </w:p>
          <w:p w:rsidR="00000000" w:rsidDel="00000000" w:rsidP="00000000" w:rsidRDefault="00000000" w:rsidRPr="00000000" w14:paraId="0000006A">
            <w:pPr>
              <w:spacing w:after="0" w:line="276" w:lineRule="auto"/>
              <w:jc w:val="both"/>
              <w:rPr>
                <w:highlight w:val="white"/>
              </w:rPr>
            </w:pPr>
            <w:r w:rsidDel="00000000" w:rsidR="00000000" w:rsidRPr="00000000">
              <w:rPr>
                <w:rtl w:val="0"/>
              </w:rPr>
            </w:r>
          </w:p>
          <w:p w:rsidR="00000000" w:rsidDel="00000000" w:rsidP="00000000" w:rsidRDefault="00000000" w:rsidRPr="00000000" w14:paraId="0000006B">
            <w:pPr>
              <w:spacing w:after="0" w:line="276" w:lineRule="auto"/>
              <w:jc w:val="both"/>
              <w:rPr>
                <w:highlight w:val="white"/>
              </w:rPr>
            </w:pPr>
            <w:r w:rsidDel="00000000" w:rsidR="00000000" w:rsidRPr="00000000">
              <w:rPr>
                <w:highlight w:val="white"/>
                <w:rtl w:val="0"/>
              </w:rPr>
              <w:t xml:space="preserve">________________________________________</w:t>
            </w:r>
          </w:p>
          <w:p w:rsidR="00000000" w:rsidDel="00000000" w:rsidP="00000000" w:rsidRDefault="00000000" w:rsidRPr="00000000" w14:paraId="0000006C">
            <w:pPr>
              <w:spacing w:after="0" w:line="276" w:lineRule="auto"/>
              <w:jc w:val="both"/>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06D">
            <w:pPr>
              <w:spacing w:after="0" w:line="276" w:lineRule="auto"/>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6E">
            <w:pPr>
              <w:spacing w:after="0" w:line="276" w:lineRule="auto"/>
              <w:jc w:val="both"/>
              <w:rPr>
                <w:shd w:fill="d9d9d9" w:val="clear"/>
              </w:rPr>
            </w:pPr>
            <w:r w:rsidDel="00000000" w:rsidR="00000000" w:rsidRPr="00000000">
              <w:rPr>
                <w:rtl w:val="0"/>
              </w:rPr>
            </w:r>
          </w:p>
          <w:p w:rsidR="00000000" w:rsidDel="00000000" w:rsidP="00000000" w:rsidRDefault="00000000" w:rsidRPr="00000000" w14:paraId="0000006F">
            <w:pPr>
              <w:spacing w:after="0" w:line="276" w:lineRule="auto"/>
              <w:jc w:val="both"/>
              <w:rPr>
                <w:shd w:fill="d9d9d9" w:val="clear"/>
              </w:rPr>
            </w:pPr>
            <w:r w:rsidDel="00000000" w:rsidR="00000000" w:rsidRPr="00000000">
              <w:rPr>
                <w:rtl w:val="0"/>
              </w:rPr>
            </w:r>
          </w:p>
          <w:p w:rsidR="00000000" w:rsidDel="00000000" w:rsidP="00000000" w:rsidRDefault="00000000" w:rsidRPr="00000000" w14:paraId="00000070">
            <w:pPr>
              <w:spacing w:after="0" w:line="276" w:lineRule="auto"/>
              <w:jc w:val="both"/>
              <w:rPr>
                <w:highlight w:val="white"/>
              </w:rPr>
            </w:pPr>
            <w:r w:rsidDel="00000000" w:rsidR="00000000" w:rsidRPr="00000000">
              <w:rPr>
                <w:rtl w:val="0"/>
              </w:rPr>
            </w:r>
          </w:p>
          <w:p w:rsidR="00000000" w:rsidDel="00000000" w:rsidP="00000000" w:rsidRDefault="00000000" w:rsidRPr="00000000" w14:paraId="00000071">
            <w:pPr>
              <w:spacing w:after="0" w:line="276" w:lineRule="auto"/>
              <w:jc w:val="both"/>
              <w:rPr>
                <w:highlight w:val="white"/>
              </w:rPr>
            </w:pPr>
            <w:r w:rsidDel="00000000" w:rsidR="00000000" w:rsidRPr="00000000">
              <w:rPr>
                <w:highlight w:val="white"/>
                <w:rtl w:val="0"/>
              </w:rPr>
              <w:t xml:space="preserve">________________________________________</w:t>
            </w:r>
          </w:p>
          <w:p w:rsidR="00000000" w:rsidDel="00000000" w:rsidP="00000000" w:rsidRDefault="00000000" w:rsidRPr="00000000" w14:paraId="00000072">
            <w:pPr>
              <w:spacing w:after="0" w:line="276" w:lineRule="auto"/>
              <w:jc w:val="both"/>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073">
            <w:pPr>
              <w:spacing w:after="0" w:line="276" w:lineRule="auto"/>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74">
      <w:pPr>
        <w:ind w:left="360" w:firstLine="0"/>
        <w:jc w:val="both"/>
        <w:rPr>
          <w:highlight w:val="white"/>
        </w:rPr>
      </w:pPr>
      <w:r w:rsidDel="00000000" w:rsidR="00000000" w:rsidRPr="00000000">
        <w:rPr>
          <w:rtl w:val="0"/>
        </w:rPr>
      </w:r>
    </w:p>
    <w:p w:rsidR="00000000" w:rsidDel="00000000" w:rsidP="00000000" w:rsidRDefault="00000000" w:rsidRPr="00000000" w14:paraId="00000075">
      <w:pPr>
        <w:ind w:left="360" w:firstLine="0"/>
        <w:jc w:val="both"/>
        <w:rPr>
          <w:highlight w:val="white"/>
        </w:rPr>
      </w:pPr>
      <w:r w:rsidDel="00000000" w:rsidR="00000000" w:rsidRPr="00000000">
        <w:rPr>
          <w:rtl w:val="0"/>
        </w:rPr>
      </w:r>
    </w:p>
    <w:p w:rsidR="00000000" w:rsidDel="00000000" w:rsidP="00000000" w:rsidRDefault="00000000" w:rsidRPr="00000000" w14:paraId="00000076">
      <w:pPr>
        <w:pStyle w:val="Heading1"/>
        <w:spacing w:after="320" w:before="0" w:line="240" w:lineRule="auto"/>
        <w:rPr/>
      </w:pPr>
      <w:bookmarkStart w:colFirst="0" w:colLast="0" w:name="_8hqch5uf1js9" w:id="11"/>
      <w:bookmarkEnd w:id="11"/>
      <w:r w:rsidDel="00000000" w:rsidR="00000000" w:rsidRPr="00000000">
        <w:rPr>
          <w:rtl w:val="0"/>
        </w:rPr>
      </w:r>
    </w:p>
    <w:p w:rsidR="00000000" w:rsidDel="00000000" w:rsidP="00000000" w:rsidRDefault="00000000" w:rsidRPr="00000000" w14:paraId="00000077">
      <w:pPr>
        <w:pStyle w:val="Heading1"/>
        <w:spacing w:after="320" w:before="0" w:line="240" w:lineRule="auto"/>
        <w:rPr/>
      </w:pPr>
      <w:bookmarkStart w:colFirst="0" w:colLast="0" w:name="_trnpq2gsw977" w:id="12"/>
      <w:bookmarkEnd w:id="12"/>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320" w:before="0" w:line="240" w:lineRule="auto"/>
        <w:rPr/>
      </w:pPr>
      <w:bookmarkStart w:colFirst="0" w:colLast="0" w:name="_rrw19cvia4hn" w:id="13"/>
      <w:bookmarkEnd w:id="13"/>
      <w:r w:rsidDel="00000000" w:rsidR="00000000" w:rsidRPr="00000000">
        <w:rPr>
          <w:rtl w:val="0"/>
        </w:rPr>
        <w:t xml:space="preserve">Anexo I - Descrição Técnica do Sistema de Registo</w:t>
      </w:r>
    </w:p>
    <w:p w:rsidR="00000000" w:rsidDel="00000000" w:rsidP="00000000" w:rsidRDefault="00000000" w:rsidRPr="00000000" w14:paraId="00000079">
      <w:pPr>
        <w:pStyle w:val="Heading4"/>
        <w:spacing w:after="80" w:before="280" w:line="312" w:lineRule="auto"/>
        <w:rPr/>
      </w:pPr>
      <w:bookmarkStart w:colFirst="0" w:colLast="0" w:name="_fk8zbkmzmyy" w:id="14"/>
      <w:bookmarkEnd w:id="14"/>
      <w:r w:rsidDel="00000000" w:rsidR="00000000" w:rsidRPr="00000000">
        <w:rPr>
          <w:rtl w:val="0"/>
        </w:rPr>
        <w:t xml:space="preserve">1. Arquitetura Federada e Zero-Trust</w:t>
      </w:r>
    </w:p>
    <w:p w:rsidR="00000000" w:rsidDel="00000000" w:rsidP="00000000" w:rsidRDefault="00000000" w:rsidRPr="00000000" w14:paraId="0000007A">
      <w:pPr>
        <w:spacing w:after="320" w:before="0" w:line="240" w:lineRule="auto"/>
        <w:rPr/>
      </w:pPr>
      <w:r w:rsidDel="00000000" w:rsidR="00000000" w:rsidRPr="00000000">
        <w:rPr>
          <w:rtl w:val="0"/>
        </w:rPr>
        <w:t xml:space="preserve">O Registo operará sobre uma arquitetura federada, garantindo que os dados dos doentes nunca saem da infraestrutura de cada centro clínico. A segurança é garantida por um modelo Zero-Trust, onde todo o acesso é estritamente verificado. A plataforma Opvance atuará como o orquestrador central, gerindo a execução de análises de forma segura e distribuída.</w:t>
      </w:r>
    </w:p>
    <w:p w:rsidR="00000000" w:rsidDel="00000000" w:rsidP="00000000" w:rsidRDefault="00000000" w:rsidRPr="00000000" w14:paraId="0000007B">
      <w:pPr>
        <w:pStyle w:val="Heading4"/>
        <w:spacing w:after="80" w:before="280" w:line="312" w:lineRule="auto"/>
        <w:rPr/>
      </w:pPr>
      <w:bookmarkStart w:colFirst="0" w:colLast="0" w:name="_nmdywxbextat" w:id="15"/>
      <w:bookmarkEnd w:id="15"/>
      <w:r w:rsidDel="00000000" w:rsidR="00000000" w:rsidRPr="00000000">
        <w:rPr>
          <w:rtl w:val="0"/>
        </w:rPr>
        <w:t xml:space="preserve">2. Definição de Dashpackage</w:t>
      </w:r>
    </w:p>
    <w:p w:rsidR="00000000" w:rsidDel="00000000" w:rsidP="00000000" w:rsidRDefault="00000000" w:rsidRPr="00000000" w14:paraId="0000007C">
      <w:pPr>
        <w:spacing w:after="320" w:before="0" w:line="240" w:lineRule="auto"/>
        <w:rPr/>
      </w:pPr>
      <w:r w:rsidDel="00000000" w:rsidR="00000000" w:rsidRPr="00000000">
        <w:rPr>
          <w:rtl w:val="0"/>
        </w:rPr>
        <w:t xml:space="preserve">Um dashpackage (dashboard package) é um artefacto de software que é instalado no ambiente local de cada centro clínico. Este pacote contém o código necessário para:</w:t>
      </w:r>
    </w:p>
    <w:p w:rsidR="00000000" w:rsidDel="00000000" w:rsidP="00000000" w:rsidRDefault="00000000" w:rsidRPr="00000000" w14:paraId="0000007D">
      <w:pPr>
        <w:spacing w:after="320" w:before="0" w:line="240" w:lineRule="auto"/>
        <w:rPr/>
      </w:pPr>
      <w:r w:rsidDel="00000000" w:rsidR="00000000" w:rsidRPr="00000000">
        <w:rPr>
          <w:rtl w:val="0"/>
        </w:rPr>
        <w:t xml:space="preserve">•Processar os dados locais (após ETL).</w:t>
      </w:r>
    </w:p>
    <w:p w:rsidR="00000000" w:rsidDel="00000000" w:rsidP="00000000" w:rsidRDefault="00000000" w:rsidRPr="00000000" w14:paraId="0000007E">
      <w:pPr>
        <w:spacing w:after="320" w:before="0" w:line="240" w:lineRule="auto"/>
        <w:rPr/>
      </w:pPr>
      <w:r w:rsidDel="00000000" w:rsidR="00000000" w:rsidRPr="00000000">
        <w:rPr>
          <w:rtl w:val="0"/>
        </w:rPr>
        <w:t xml:space="preserve">•Gerar um dashboard interativo com dados agregados e patient-level para uso interno do centro (e.g., monitorização de KPIs, apoio à decisão clínica).</w:t>
      </w:r>
    </w:p>
    <w:p w:rsidR="00000000" w:rsidDel="00000000" w:rsidP="00000000" w:rsidRDefault="00000000" w:rsidRPr="00000000" w14:paraId="0000007F">
      <w:pPr>
        <w:spacing w:after="320" w:before="0" w:line="240" w:lineRule="auto"/>
        <w:rPr/>
      </w:pPr>
      <w:r w:rsidDel="00000000" w:rsidR="00000000" w:rsidRPr="00000000">
        <w:rPr>
          <w:rtl w:val="0"/>
        </w:rPr>
        <w:t xml:space="preserve">•Executar as análises federadas solicitadas centralmente.</w:t>
      </w:r>
    </w:p>
    <w:p w:rsidR="00000000" w:rsidDel="00000000" w:rsidP="00000000" w:rsidRDefault="00000000" w:rsidRPr="00000000" w14:paraId="00000080">
      <w:pPr>
        <w:spacing w:after="320" w:before="0" w:line="240" w:lineRule="auto"/>
        <w:rPr/>
      </w:pPr>
      <w:r w:rsidDel="00000000" w:rsidR="00000000" w:rsidRPr="00000000">
        <w:rPr>
          <w:rtl w:val="0"/>
        </w:rPr>
        <w:t xml:space="preserve">•Gerar os relatórios agregados e anonimizados que são enviados para a infraestrutura central, formando o Registo agregado.</w:t>
      </w:r>
    </w:p>
    <w:p w:rsidR="00000000" w:rsidDel="00000000" w:rsidP="00000000" w:rsidRDefault="00000000" w:rsidRPr="00000000" w14:paraId="00000081">
      <w:pPr>
        <w:pStyle w:val="Heading4"/>
        <w:spacing w:after="80" w:before="280" w:line="312" w:lineRule="auto"/>
        <w:rPr/>
      </w:pPr>
      <w:bookmarkStart w:colFirst="0" w:colLast="0" w:name="_98a0likgr245" w:id="16"/>
      <w:bookmarkEnd w:id="16"/>
      <w:r w:rsidDel="00000000" w:rsidR="00000000" w:rsidRPr="00000000">
        <w:rPr>
          <w:rtl w:val="0"/>
        </w:rPr>
        <w:t xml:space="preserve">3. Componentes do Ecossistema e Fluxo de Dados</w:t>
      </w:r>
    </w:p>
    <w:p w:rsidR="00000000" w:rsidDel="00000000" w:rsidP="00000000" w:rsidRDefault="00000000" w:rsidRPr="00000000" w14:paraId="00000082">
      <w:pPr>
        <w:spacing w:after="320" w:before="0" w:line="240" w:lineRule="auto"/>
        <w:rPr/>
      </w:pPr>
      <w:r w:rsidDel="00000000" w:rsidR="00000000" w:rsidRPr="00000000">
        <w:rPr>
          <w:rtl w:val="0"/>
        </w:rPr>
        <w:t xml:space="preserve">•Fontes de Dados: O sistema irá extrair dados de múltiplas fontes, incluindo o Sistema Clínico Hospitalar (e.g., SClinico) e dados não estruturados como PDFs e notas clínicas.</w:t>
      </w:r>
    </w:p>
    <w:p w:rsidR="00000000" w:rsidDel="00000000" w:rsidP="00000000" w:rsidRDefault="00000000" w:rsidRPr="00000000" w14:paraId="00000083">
      <w:pPr>
        <w:spacing w:after="320" w:before="0" w:line="240" w:lineRule="auto"/>
        <w:rPr/>
      </w:pPr>
      <w:r w:rsidDel="00000000" w:rsidR="00000000" w:rsidRPr="00000000">
        <w:rPr>
          <w:rtl w:val="0"/>
        </w:rPr>
        <w:t xml:space="preserve">•Asklepic (LLM): O motor de IA que processa os dados não estruturados, extraindo e estruturando variáveis clínicas relevantes.</w:t>
      </w:r>
    </w:p>
    <w:p w:rsidR="00000000" w:rsidDel="00000000" w:rsidP="00000000" w:rsidRDefault="00000000" w:rsidRPr="00000000" w14:paraId="00000084">
      <w:pPr>
        <w:spacing w:after="320" w:before="0" w:line="240" w:lineRule="auto"/>
        <w:rPr/>
      </w:pPr>
      <w:r w:rsidDel="00000000" w:rsidR="00000000" w:rsidRPr="00000000">
        <w:rPr>
          <w:rtl w:val="0"/>
        </w:rPr>
        <w:t xml:space="preserve">•ETL e OMOP-CDM: Os dados são transformados e mapeados para o modelo de dados comum OMOP-CDM, garantindo a interoperabilidade.</w:t>
      </w:r>
    </w:p>
    <w:p w:rsidR="00000000" w:rsidDel="00000000" w:rsidP="00000000" w:rsidRDefault="00000000" w:rsidRPr="00000000" w14:paraId="00000085">
      <w:pPr>
        <w:spacing w:after="320" w:before="0" w:line="240" w:lineRule="auto"/>
        <w:rPr/>
      </w:pPr>
      <w:r w:rsidDel="00000000" w:rsidR="00000000" w:rsidRPr="00000000">
        <w:rPr>
          <w:rtl w:val="0"/>
        </w:rPr>
        <w:t xml:space="preserve">•Dashpackage Local: Executa as análises na infraestrutura do hospital.</w:t>
      </w:r>
    </w:p>
    <w:p w:rsidR="00000000" w:rsidDel="00000000" w:rsidP="00000000" w:rsidRDefault="00000000" w:rsidRPr="00000000" w14:paraId="00000086">
      <w:pPr>
        <w:spacing w:after="320" w:before="0" w:line="240" w:lineRule="auto"/>
        <w:rPr/>
      </w:pPr>
      <w:r w:rsidDel="00000000" w:rsidR="00000000" w:rsidRPr="00000000">
        <w:rPr>
          <w:rtl w:val="0"/>
        </w:rPr>
        <w:t xml:space="preserve">•Opvance (Infraestrutura Central): Recebe apenas os resultados agregados e anonimizados, que são visualizados no dashboard central do Registo, acessível aos utilizadores autorizados pela SPS.</w:t>
      </w:r>
    </w:p>
    <w:p w:rsidR="00000000" w:rsidDel="00000000" w:rsidP="00000000" w:rsidRDefault="00000000" w:rsidRPr="00000000" w14:paraId="00000087">
      <w:pPr>
        <w:pStyle w:val="Heading1"/>
        <w:spacing w:after="320" w:before="0" w:line="240" w:lineRule="auto"/>
        <w:rPr/>
      </w:pPr>
      <w:bookmarkStart w:colFirst="0" w:colLast="0" w:name="_zha7vu7r1q8" w:id="17"/>
      <w:bookmarkEnd w:id="17"/>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320" w:before="0" w:line="240" w:lineRule="auto"/>
        <w:rPr/>
      </w:pPr>
      <w:bookmarkStart w:colFirst="0" w:colLast="0" w:name="_46i32xkr8v9e" w:id="18"/>
      <w:bookmarkEnd w:id="18"/>
      <w:r w:rsidDel="00000000" w:rsidR="00000000" w:rsidRPr="00000000">
        <w:rPr>
          <w:rtl w:val="0"/>
        </w:rPr>
        <w:t xml:space="preserve">Anexo II - Glossário</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320" w:before="0" w:line="240" w:lineRule="auto"/>
        <w:rPr/>
      </w:pPr>
      <w:bookmarkStart w:colFirst="0" w:colLast="0" w:name="_ccy8occecm6m" w:id="19"/>
      <w:bookmarkEnd w:id="19"/>
      <w:r w:rsidDel="00000000" w:rsidR="00000000" w:rsidRPr="00000000">
        <w:rPr>
          <w:rtl w:val="0"/>
        </w:rPr>
        <w:t xml:space="preserve">Anexo III - Plano de Desenvolvimento e Orçamento</w:t>
      </w:r>
    </w:p>
    <w:p w:rsidR="00000000" w:rsidDel="00000000" w:rsidP="00000000" w:rsidRDefault="00000000" w:rsidRPr="00000000" w14:paraId="0000008A">
      <w:pPr>
        <w:spacing w:line="276" w:lineRule="auto"/>
        <w:rPr/>
      </w:pPr>
      <w:r w:rsidDel="00000000" w:rsidR="00000000" w:rsidRPr="00000000">
        <w:rPr>
          <w:rtl w:val="0"/>
        </w:rPr>
        <w:t xml:space="preserve">Este anexo detalha as fases de desenvolvimento do Registo, o orçamento associado e as considerações técnicas, adaptado do modelo de referência para sistemas de registo clínico.</w:t>
      </w:r>
    </w:p>
    <w:p w:rsidR="00000000" w:rsidDel="00000000" w:rsidP="00000000" w:rsidRDefault="00000000" w:rsidRPr="00000000" w14:paraId="0000008B">
      <w:pPr>
        <w:pStyle w:val="Heading3"/>
        <w:spacing w:after="80" w:before="280" w:line="312" w:lineRule="auto"/>
        <w:rPr/>
      </w:pPr>
      <w:bookmarkStart w:colFirst="0" w:colLast="0" w:name="_xzeuxulcaw3i" w:id="20"/>
      <w:bookmarkEnd w:id="20"/>
      <w:r w:rsidDel="00000000" w:rsidR="00000000" w:rsidRPr="00000000">
        <w:rPr>
          <w:rtl w:val="0"/>
        </w:rPr>
        <w:t xml:space="preserve">1. Fases do Projeto</w:t>
      </w:r>
    </w:p>
    <w:p w:rsidR="00000000" w:rsidDel="00000000" w:rsidP="00000000" w:rsidRDefault="00000000" w:rsidRPr="00000000" w14:paraId="0000008C">
      <w:pPr>
        <w:spacing w:line="276" w:lineRule="auto"/>
        <w:rPr/>
      </w:pPr>
      <w:r w:rsidDel="00000000" w:rsidR="00000000" w:rsidRPr="00000000">
        <w:rPr>
          <w:rtl w:val="0"/>
        </w:rPr>
        <w:t xml:space="preserve">O projeto será dividido em duas fases principais:</w:t>
      </w:r>
    </w:p>
    <w:p w:rsidR="00000000" w:rsidDel="00000000" w:rsidP="00000000" w:rsidRDefault="00000000" w:rsidRPr="00000000" w14:paraId="0000008D">
      <w:pPr>
        <w:spacing w:line="276" w:lineRule="auto"/>
        <w:rPr/>
      </w:pPr>
      <w:r w:rsidDel="00000000" w:rsidR="00000000" w:rsidRPr="00000000">
        <w:rPr>
          <w:rtl w:val="0"/>
        </w:rPr>
        <w:t xml:space="preserve">1.Fase de Desenvolvimento (CAPEX - Capital Expenditure): Com uma duração estimada de 1 ano, esta fase culmina na implementação completa, instalação e prontidão operacional de todos os componentes do sistema nos centros clínicos participantes.</w:t>
      </w:r>
    </w:p>
    <w:p w:rsidR="00000000" w:rsidDel="00000000" w:rsidP="00000000" w:rsidRDefault="00000000" w:rsidRPr="00000000" w14:paraId="0000008E">
      <w:pPr>
        <w:spacing w:line="276" w:lineRule="auto"/>
        <w:rPr/>
      </w:pPr>
      <w:r w:rsidDel="00000000" w:rsidR="00000000" w:rsidRPr="00000000">
        <w:rPr>
          <w:rtl w:val="0"/>
        </w:rPr>
        <w:t xml:space="preserve">2.Fase Operacional (OPEX - Operational Expenditure): Inicia-se após a conclusão da Fase de Desenvolvimento. Os custos recorrentes centram-se na licença anual da infraestrutura central (Opvance) e na manutenção e atualização contínua do Dashpackage.</w:t>
      </w:r>
    </w:p>
    <w:p w:rsidR="00000000" w:rsidDel="00000000" w:rsidP="00000000" w:rsidRDefault="00000000" w:rsidRPr="00000000" w14:paraId="0000008F">
      <w:pPr>
        <w:pStyle w:val="Heading3"/>
        <w:spacing w:after="80" w:before="280" w:line="312" w:lineRule="auto"/>
        <w:rPr/>
      </w:pPr>
      <w:bookmarkStart w:colFirst="0" w:colLast="0" w:name="_us8c7pxymrm1" w:id="21"/>
      <w:bookmarkEnd w:id="21"/>
      <w:r w:rsidDel="00000000" w:rsidR="00000000" w:rsidRPr="00000000">
        <w:rPr>
          <w:rtl w:val="0"/>
        </w:rPr>
        <w:t xml:space="preserve">2. Orçamento Detalhado</w:t>
      </w:r>
    </w:p>
    <w:p w:rsidR="00000000" w:rsidDel="00000000" w:rsidP="00000000" w:rsidRDefault="00000000" w:rsidRPr="00000000" w14:paraId="00000090">
      <w:pPr>
        <w:spacing w:line="276" w:lineRule="auto"/>
        <w:rPr/>
      </w:pPr>
      <w:r w:rsidDel="00000000" w:rsidR="00000000" w:rsidRPr="00000000">
        <w:rPr>
          <w:rtl w:val="0"/>
        </w:rPr>
        <w:t xml:space="preserve">Todos os valores apresentados são exclusivos de IVA.</w:t>
      </w:r>
    </w:p>
    <w:p w:rsidR="00000000" w:rsidDel="00000000" w:rsidP="00000000" w:rsidRDefault="00000000" w:rsidRPr="00000000" w14:paraId="00000091">
      <w:pPr>
        <w:spacing w:after="40" w:before="240" w:line="312" w:lineRule="auto"/>
        <w:rPr/>
      </w:pPr>
      <w:r w:rsidDel="00000000" w:rsidR="00000000" w:rsidRPr="00000000">
        <w:rPr>
          <w:rtl w:val="0"/>
        </w:rPr>
        <w:t xml:space="preserve">Tabela 2.1: Orçamento para a Fase de Desenvolvimento (CAPEX)</w:t>
      </w:r>
    </w:p>
    <w:p w:rsidR="00000000" w:rsidDel="00000000" w:rsidP="00000000" w:rsidRDefault="00000000" w:rsidRPr="00000000" w14:paraId="00000092">
      <w:pPr>
        <w:pStyle w:val="Heading4"/>
        <w:rPr>
          <w:sz w:val="18"/>
          <w:szCs w:val="18"/>
          <w:highlight w:val="yellow"/>
        </w:rPr>
      </w:pPr>
      <w:bookmarkStart w:colFirst="0" w:colLast="0" w:name="_s57sqj394szl" w:id="22"/>
      <w:bookmarkEnd w:id="22"/>
      <w:r w:rsidDel="00000000" w:rsidR="00000000" w:rsidRPr="00000000">
        <w:rPr>
          <w:rtl w:val="0"/>
        </w:rPr>
      </w:r>
    </w:p>
    <w:tbl>
      <w:tblPr>
        <w:tblStyle w:val="Table3"/>
        <w:tblW w:w="9480.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840"/>
        <w:gridCol w:w="960"/>
        <w:tblGridChange w:id="0">
          <w:tblGrid>
            <w:gridCol w:w="1680"/>
            <w:gridCol w:w="6840"/>
            <w:gridCol w:w="960"/>
          </w:tblGrid>
        </w:tblGridChange>
      </w:tblGrid>
      <w:tr>
        <w:trPr>
          <w:cantSplit w:val="0"/>
          <w:tblHeader w:val="1"/>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3">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Fase</w:t>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4">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Descrição</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95">
            <w:pPr>
              <w:widowControl w:val="0"/>
              <w:spacing w:after="0" w:line="240" w:lineRule="auto"/>
              <w:jc w:val="right"/>
              <w:rPr>
                <w:color w:val="005172"/>
                <w:sz w:val="18"/>
                <w:szCs w:val="18"/>
              </w:rPr>
            </w:pPr>
            <w:r w:rsidDel="00000000" w:rsidR="00000000" w:rsidRPr="00000000">
              <w:rPr>
                <w:rFonts w:ascii="PT Mono" w:cs="PT Mono" w:eastAsia="PT Mono" w:hAnsi="PT Mono"/>
                <w:b w:val="1"/>
                <w:bCs w:val="1"/>
                <w:color w:val="005172"/>
                <w:sz w:val="18"/>
                <w:szCs w:val="18"/>
                <w:rtl w:val="0"/>
              </w:rPr>
              <w:t xml:space="preserve">Valor (€)</w:t>
            </w:r>
            <w:r w:rsidDel="00000000" w:rsidR="00000000" w:rsidRPr="00000000">
              <w:rPr>
                <w:rtl w:val="0"/>
              </w:rPr>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6">
            <w:pPr>
              <w:spacing w:after="0" w:lineRule="auto"/>
              <w:rPr>
                <w:b w:val="1"/>
                <w:bCs w:val="1"/>
                <w:color w:val="005172"/>
                <w:sz w:val="18"/>
                <w:szCs w:val="18"/>
              </w:rPr>
            </w:pPr>
            <w:r w:rsidDel="00000000" w:rsidR="00000000" w:rsidRPr="00000000">
              <w:rPr>
                <w:b w:val="1"/>
                <w:bCs w:val="1"/>
                <w:sz w:val="18"/>
                <w:szCs w:val="18"/>
                <w:rtl w:val="0"/>
              </w:rPr>
              <w:t xml:space="preserve">1. Planeamento</w:t>
            </w:r>
            <w:r w:rsidDel="00000000" w:rsidR="00000000" w:rsidRPr="00000000">
              <w:rPr>
                <w:rtl w:val="0"/>
              </w:rPr>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7">
            <w:pPr>
              <w:spacing w:after="0" w:lineRule="auto"/>
              <w:rPr>
                <w:sz w:val="18"/>
                <w:szCs w:val="18"/>
              </w:rPr>
            </w:pPr>
            <w:r w:rsidDel="00000000" w:rsidR="00000000" w:rsidRPr="00000000">
              <w:rPr>
                <w:sz w:val="18"/>
                <w:szCs w:val="18"/>
                <w:rtl w:val="0"/>
              </w:rPr>
              <w:t xml:space="preserve">Desenvolvimento dos ETL dos sistemas de informação das várias instituições nacionais necessários para o registo de cancro da mama</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98">
            <w:pPr>
              <w:jc w:val="right"/>
              <w:rPr>
                <w:sz w:val="18"/>
                <w:szCs w:val="18"/>
              </w:rPr>
            </w:pPr>
            <w:r w:rsidDel="00000000" w:rsidR="00000000" w:rsidRPr="00000000">
              <w:rPr>
                <w:sz w:val="18"/>
                <w:szCs w:val="18"/>
                <w:rtl w:val="0"/>
              </w:rPr>
              <w:t xml:space="preserve">MTG</w:t>
            </w:r>
          </w:p>
        </w:tc>
      </w:tr>
      <w:tr>
        <w:trPr>
          <w:cantSplit w:val="0"/>
          <w:tblHeader w:val="0"/>
        </w:trPr>
        <w:tc>
          <w:tcPr>
            <w:tcBorders>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9">
            <w:pPr>
              <w:spacing w:after="0" w:lineRule="auto"/>
              <w:rPr>
                <w:sz w:val="18"/>
                <w:szCs w:val="18"/>
              </w:rPr>
            </w:pPr>
            <w:r w:rsidDel="00000000" w:rsidR="00000000" w:rsidRPr="00000000">
              <w:rPr>
                <w:rtl w:val="0"/>
              </w:rPr>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A">
            <w:pPr>
              <w:spacing w:after="0" w:lineRule="auto"/>
              <w:rPr>
                <w:sz w:val="18"/>
                <w:szCs w:val="18"/>
              </w:rPr>
            </w:pPr>
            <w:r w:rsidDel="00000000" w:rsidR="00000000" w:rsidRPr="00000000">
              <w:rPr>
                <w:sz w:val="18"/>
                <w:szCs w:val="18"/>
                <w:rtl w:val="0"/>
              </w:rPr>
              <w:t xml:space="preserve">Desenvolvimento Dashpackage </w:t>
            </w:r>
          </w:p>
          <w:p w:rsidR="00000000" w:rsidDel="00000000" w:rsidP="00000000" w:rsidRDefault="00000000" w:rsidRPr="00000000" w14:paraId="0000009B">
            <w:pPr>
              <w:spacing w:after="0" w:lineRule="auto"/>
              <w:rPr>
                <w:color w:val="666666"/>
                <w:sz w:val="18"/>
                <w:szCs w:val="18"/>
              </w:rPr>
            </w:pPr>
            <w:r w:rsidDel="00000000" w:rsidR="00000000" w:rsidRPr="00000000">
              <w:rPr>
                <w:color w:val="666666"/>
                <w:sz w:val="18"/>
                <w:szCs w:val="18"/>
                <w:rtl w:val="0"/>
              </w:rPr>
              <w:t xml:space="preserve">Considerando epidemiologia descritiva avançada e o desenvolvimento de fentipos de coorte complexos.</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9C">
            <w:pPr>
              <w:jc w:val="right"/>
              <w:rPr>
                <w:sz w:val="18"/>
                <w:szCs w:val="18"/>
                <w:highlight w:val="yellow"/>
              </w:rPr>
            </w:pPr>
            <w:r w:rsidDel="00000000" w:rsidR="00000000" w:rsidRPr="00000000">
              <w:rPr>
                <w:rFonts w:ascii="PT Mono" w:cs="PT Mono" w:eastAsia="PT Mono" w:hAnsi="PT Mono"/>
                <w:sz w:val="18"/>
                <w:szCs w:val="18"/>
                <w:highlight w:val="yellow"/>
                <w:rtl w:val="0"/>
              </w:rPr>
              <w:t xml:space="preserve">€ 25 000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D">
            <w:pPr>
              <w:spacing w:after="0" w:lineRule="auto"/>
              <w:rPr>
                <w:b w:val="1"/>
                <w:bCs w:val="1"/>
                <w:sz w:val="18"/>
                <w:szCs w:val="18"/>
              </w:rPr>
            </w:pPr>
            <w:r w:rsidDel="00000000" w:rsidR="00000000" w:rsidRPr="00000000">
              <w:rPr>
                <w:b w:val="1"/>
                <w:bCs w:val="1"/>
                <w:sz w:val="18"/>
                <w:szCs w:val="18"/>
                <w:rtl w:val="0"/>
              </w:rPr>
              <w:t xml:space="preserve">2. Configuração do Produto de Estruturação de Dados</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9E">
            <w:pPr>
              <w:spacing w:after="0" w:lineRule="auto"/>
              <w:rPr>
                <w:sz w:val="18"/>
                <w:szCs w:val="18"/>
              </w:rPr>
            </w:pPr>
            <w:r w:rsidDel="00000000" w:rsidR="00000000" w:rsidRPr="00000000">
              <w:rPr>
                <w:sz w:val="18"/>
                <w:szCs w:val="18"/>
                <w:rtl w:val="0"/>
              </w:rPr>
              <w:t xml:space="preserve">Configuração dos campos de dados, regras de validação e pontos de integração para criar uma estrutura de dados padronizada e de alta qualidade para o Registo Local. Inclui a adaptação para o ambiente de cada centro.</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9F">
            <w:pPr>
              <w:jc w:val="right"/>
              <w:rPr>
                <w:sz w:val="18"/>
                <w:szCs w:val="18"/>
              </w:rPr>
            </w:pPr>
            <w:r w:rsidDel="00000000" w:rsidR="00000000" w:rsidRPr="00000000">
              <w:rPr>
                <w:sz w:val="18"/>
                <w:szCs w:val="18"/>
                <w:rtl w:val="0"/>
              </w:rPr>
              <w:t xml:space="preserve">MTG</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0">
            <w:pPr>
              <w:spacing w:after="0" w:lineRule="auto"/>
              <w:rPr>
                <w:b w:val="1"/>
                <w:bCs w:val="1"/>
                <w:sz w:val="18"/>
                <w:szCs w:val="18"/>
              </w:rPr>
            </w:pPr>
            <w:r w:rsidDel="00000000" w:rsidR="00000000" w:rsidRPr="00000000">
              <w:rPr>
                <w:b w:val="1"/>
                <w:bCs w:val="1"/>
                <w:sz w:val="18"/>
                <w:szCs w:val="18"/>
                <w:rtl w:val="0"/>
              </w:rPr>
              <w:t xml:space="preserve">3. Implementação da Infraestrutura central de registos agregados </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1">
            <w:pPr>
              <w:spacing w:after="0" w:lineRule="auto"/>
              <w:rPr>
                <w:color w:val="666666"/>
                <w:sz w:val="18"/>
                <w:szCs w:val="18"/>
              </w:rPr>
            </w:pPr>
            <w:r w:rsidDel="00000000" w:rsidR="00000000" w:rsidRPr="00000000">
              <w:rPr>
                <w:sz w:val="18"/>
                <w:szCs w:val="18"/>
                <w:rtl w:val="0"/>
              </w:rPr>
              <w:t xml:space="preserve">Infraestrutura Central para Processamento, Alojamento e Apresentação de Dados Agregados do Registo – Taxa de Licença de Implementação e Configuração </w:t>
              <w:br w:type="textWrapping"/>
            </w:r>
            <w:r w:rsidDel="00000000" w:rsidR="00000000" w:rsidRPr="00000000">
              <w:rPr>
                <w:color w:val="666666"/>
                <w:sz w:val="18"/>
                <w:szCs w:val="18"/>
                <w:rtl w:val="0"/>
              </w:rPr>
              <w:t xml:space="preserve">Inclui a implementação, configuração e manutenção da Infraestrutura Central do Registo Agregado no SPH. Esta infraestrutura fornece um ambiente seguro para o processamento, alojamento e apresentação de dados agregados. Isto inclui também o suporte técnico necessário para cada centro participante, garantindo que a análise do registo pode ser executada com sucesso e comunicar os resultados de forma segura</w:t>
            </w: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A2">
            <w:pPr>
              <w:jc w:val="right"/>
              <w:rPr>
                <w:sz w:val="18"/>
                <w:szCs w:val="18"/>
              </w:rPr>
            </w:pPr>
            <w:r w:rsidDel="00000000" w:rsidR="00000000" w:rsidRPr="00000000">
              <w:rPr>
                <w:rFonts w:ascii="PT Mono" w:cs="PT Mono" w:eastAsia="PT Mono" w:hAnsi="PT Mono"/>
                <w:sz w:val="18"/>
                <w:szCs w:val="18"/>
                <w:rtl w:val="0"/>
              </w:rPr>
              <w:t xml:space="preserve">€  10 000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3">
            <w:pPr>
              <w:spacing w:after="0" w:lineRule="auto"/>
              <w:rPr>
                <w:b w:val="1"/>
                <w:bCs w:val="1"/>
                <w:sz w:val="18"/>
                <w:szCs w:val="18"/>
              </w:rPr>
            </w:pPr>
            <w:r w:rsidDel="00000000" w:rsidR="00000000" w:rsidRPr="00000000">
              <w:rPr>
                <w:b w:val="1"/>
                <w:bCs w:val="1"/>
                <w:sz w:val="18"/>
                <w:szCs w:val="18"/>
                <w:rtl w:val="0"/>
              </w:rPr>
              <w:t xml:space="preserve">4. Execução do Sistema de Registo</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4">
            <w:pPr>
              <w:spacing w:after="0" w:lineRule="auto"/>
              <w:rPr>
                <w:b w:val="1"/>
                <w:bCs w:val="1"/>
                <w:sz w:val="18"/>
                <w:szCs w:val="18"/>
              </w:rPr>
            </w:pPr>
            <w:r w:rsidDel="00000000" w:rsidR="00000000" w:rsidRPr="00000000">
              <w:rPr>
                <w:sz w:val="18"/>
                <w:szCs w:val="18"/>
                <w:rtl w:val="0"/>
              </w:rPr>
              <w:t xml:space="preserve">Configuração do Dashpackage e Refinamentos baseados nos primeiros resultados</w:t>
            </w:r>
            <w:r w:rsidDel="00000000" w:rsidR="00000000" w:rsidRPr="00000000">
              <w:rPr>
                <w:rtl w:val="0"/>
              </w:rPr>
            </w:r>
          </w:p>
          <w:p w:rsidR="00000000" w:rsidDel="00000000" w:rsidP="00000000" w:rsidRDefault="00000000" w:rsidRPr="00000000" w14:paraId="000000A5">
            <w:pPr>
              <w:spacing w:after="0" w:lineRule="auto"/>
              <w:rPr>
                <w:b w:val="1"/>
                <w:bCs w:val="1"/>
                <w:sz w:val="18"/>
                <w:szCs w:val="18"/>
              </w:rPr>
            </w:pPr>
            <w:r w:rsidDel="00000000" w:rsidR="00000000" w:rsidRPr="00000000">
              <w:rPr>
                <w:color w:val="666666"/>
                <w:sz w:val="18"/>
                <w:szCs w:val="18"/>
                <w:rtl w:val="0"/>
              </w:rPr>
              <w:t xml:space="preserve">Adaptação e configuração do DashPackage e dos scripts de extração de dados para cada um dos cinco centros clínicos participantes. Refinamento iterativo do modelo de agregação com base no output inicial de dados recebido dos centros participantes.</w:t>
            </w:r>
            <w:r w:rsidDel="00000000" w:rsidR="00000000" w:rsidRPr="00000000">
              <w:rPr>
                <w:rtl w:val="0"/>
              </w:rPr>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A6">
            <w:pPr>
              <w:jc w:val="right"/>
              <w:rPr>
                <w:sz w:val="18"/>
                <w:szCs w:val="18"/>
                <w:highlight w:val="yellow"/>
              </w:rPr>
            </w:pPr>
            <w:r w:rsidDel="00000000" w:rsidR="00000000" w:rsidRPr="00000000">
              <w:rPr>
                <w:rFonts w:ascii="PT Mono" w:cs="PT Mono" w:eastAsia="PT Mono" w:hAnsi="PT Mono"/>
                <w:sz w:val="18"/>
                <w:szCs w:val="18"/>
                <w:highlight w:val="yellow"/>
                <w:rtl w:val="0"/>
              </w:rPr>
              <w:t xml:space="preserve">€ 6.500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7">
            <w:pPr>
              <w:spacing w:after="0" w:lineRule="auto"/>
              <w:rPr>
                <w:b w:val="1"/>
                <w:bCs w:val="1"/>
                <w:sz w:val="18"/>
                <w:szCs w:val="18"/>
              </w:rPr>
            </w:pPr>
            <w:r w:rsidDel="00000000" w:rsidR="00000000" w:rsidRPr="00000000">
              <w:rPr>
                <w:b w:val="1"/>
                <w:bCs w:val="1"/>
                <w:sz w:val="18"/>
                <w:szCs w:val="18"/>
                <w:rtl w:val="0"/>
              </w:rPr>
              <w:t xml:space="preserve">5. Suporte à Publicação</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8">
            <w:pPr>
              <w:spacing w:after="0" w:lineRule="auto"/>
              <w:rPr>
                <w:sz w:val="18"/>
                <w:szCs w:val="18"/>
              </w:rPr>
            </w:pPr>
            <w:r w:rsidDel="00000000" w:rsidR="00000000" w:rsidRPr="00000000">
              <w:rPr>
                <w:sz w:val="18"/>
                <w:szCs w:val="18"/>
                <w:rtl w:val="0"/>
              </w:rPr>
              <w:t xml:space="preserve">Apoio na preparação de um manuscrito científico descritivo do Registo e dos seus primeiros resultados. </w:t>
            </w:r>
          </w:p>
          <w:p w:rsidR="00000000" w:rsidDel="00000000" w:rsidP="00000000" w:rsidRDefault="00000000" w:rsidRPr="00000000" w14:paraId="000000A9">
            <w:pPr>
              <w:spacing w:after="0" w:lineRule="auto"/>
              <w:rPr>
                <w:sz w:val="18"/>
                <w:szCs w:val="18"/>
              </w:rPr>
            </w:pPr>
            <w:r w:rsidDel="00000000" w:rsidR="00000000" w:rsidRPr="00000000">
              <w:rPr>
                <w:color w:val="666666"/>
                <w:sz w:val="18"/>
                <w:szCs w:val="18"/>
                <w:rtl w:val="0"/>
              </w:rPr>
              <w:t xml:space="preserve">Inclui apoio na redação, análise estatística e revisão do manuscrito. Não inclui taxas de submissão ou publicação</w:t>
            </w:r>
            <w:r w:rsidDel="00000000" w:rsidR="00000000" w:rsidRPr="00000000">
              <w:rPr>
                <w:sz w:val="18"/>
                <w:szCs w:val="18"/>
                <w:rtl w:val="0"/>
              </w:rPr>
              <w:t xml:space="preserve">.</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AA">
            <w:pPr>
              <w:jc w:val="right"/>
              <w:rPr>
                <w:sz w:val="18"/>
                <w:szCs w:val="18"/>
                <w:highlight w:val="yellow"/>
              </w:rPr>
            </w:pPr>
            <w:r w:rsidDel="00000000" w:rsidR="00000000" w:rsidRPr="00000000">
              <w:rPr>
                <w:sz w:val="18"/>
                <w:szCs w:val="18"/>
                <w:rtl w:val="0"/>
              </w:rPr>
              <w:t xml:space="preserve">MTG</w:t>
            </w:r>
            <w:r w:rsidDel="00000000" w:rsidR="00000000" w:rsidRPr="00000000">
              <w:rPr>
                <w:rtl w:val="0"/>
              </w:rPr>
            </w:r>
          </w:p>
        </w:tc>
      </w:tr>
      <w:tr>
        <w:trPr>
          <w:cantSplit w:val="0"/>
          <w:trHeight w:val="288.88888888888823" w:hRule="atLeast"/>
          <w:tblHeader w:val="0"/>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B">
            <w:pPr>
              <w:widowControl w:val="0"/>
              <w:spacing w:after="0" w:line="240" w:lineRule="auto"/>
              <w:rPr>
                <w:b w:val="1"/>
                <w:bCs w:val="1"/>
                <w:color w:val="005172"/>
                <w:sz w:val="18"/>
                <w:szCs w:val="18"/>
              </w:rPr>
            </w:pPr>
            <w:r w:rsidDel="00000000" w:rsidR="00000000" w:rsidRPr="00000000">
              <w:rPr>
                <w:rtl w:val="0"/>
              </w:rPr>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AC">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Total</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AD">
            <w:pPr>
              <w:widowControl w:val="0"/>
              <w:spacing w:after="0" w:line="240" w:lineRule="auto"/>
              <w:jc w:val="right"/>
              <w:rPr>
                <w:b w:val="1"/>
                <w:bCs w:val="1"/>
                <w:color w:val="005172"/>
                <w:sz w:val="18"/>
                <w:szCs w:val="18"/>
              </w:rPr>
            </w:pPr>
            <w:r w:rsidDel="00000000" w:rsidR="00000000" w:rsidRPr="00000000">
              <w:rPr>
                <w:rFonts w:ascii="PT Mono" w:cs="PT Mono" w:eastAsia="PT Mono" w:hAnsi="PT Mono"/>
                <w:b w:val="1"/>
                <w:bCs w:val="1"/>
                <w:color w:val="005172"/>
                <w:sz w:val="18"/>
                <w:szCs w:val="18"/>
                <w:rtl w:val="0"/>
              </w:rPr>
              <w:t xml:space="preserve">€ 41 500</w:t>
            </w:r>
          </w:p>
        </w:tc>
      </w:tr>
    </w:tbl>
    <w:p w:rsidR="00000000" w:rsidDel="00000000" w:rsidP="00000000" w:rsidRDefault="00000000" w:rsidRPr="00000000" w14:paraId="000000AE">
      <w:pPr>
        <w:spacing w:after="40" w:before="240" w:line="312" w:lineRule="auto"/>
        <w:rPr/>
      </w:pPr>
      <w:r w:rsidDel="00000000" w:rsidR="00000000" w:rsidRPr="00000000">
        <w:rPr>
          <w:rtl w:val="0"/>
        </w:rPr>
        <w:t xml:space="preserve">Tabela 2.2: Orçamento para a Fase Operacional (OPEX - Anual)</w:t>
      </w:r>
    </w:p>
    <w:p w:rsidR="00000000" w:rsidDel="00000000" w:rsidP="00000000" w:rsidRDefault="00000000" w:rsidRPr="00000000" w14:paraId="000000AF">
      <w:pPr>
        <w:pStyle w:val="Heading4"/>
        <w:rPr>
          <w:sz w:val="18"/>
          <w:szCs w:val="18"/>
        </w:rPr>
      </w:pPr>
      <w:bookmarkStart w:colFirst="0" w:colLast="0" w:name="_tttbx9lzj3ww" w:id="23"/>
      <w:bookmarkEnd w:id="23"/>
      <w:r w:rsidDel="00000000" w:rsidR="00000000" w:rsidRPr="00000000">
        <w:rPr>
          <w:rtl w:val="0"/>
        </w:rPr>
      </w:r>
    </w:p>
    <w:tbl>
      <w:tblPr>
        <w:tblStyle w:val="Table4"/>
        <w:tblW w:w="9555.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900"/>
        <w:gridCol w:w="1050"/>
        <w:tblGridChange w:id="0">
          <w:tblGrid>
            <w:gridCol w:w="1605"/>
            <w:gridCol w:w="6900"/>
            <w:gridCol w:w="1050"/>
          </w:tblGrid>
        </w:tblGridChange>
      </w:tblGrid>
      <w:tr>
        <w:trPr>
          <w:cantSplit w:val="0"/>
          <w:tblHeader w:val="1"/>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0">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Fase</w:t>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1">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Descrição</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B2">
            <w:pPr>
              <w:widowControl w:val="0"/>
              <w:spacing w:after="0" w:line="240" w:lineRule="auto"/>
              <w:jc w:val="right"/>
              <w:rPr>
                <w:color w:val="005172"/>
                <w:sz w:val="18"/>
                <w:szCs w:val="18"/>
              </w:rPr>
            </w:pPr>
            <w:r w:rsidDel="00000000" w:rsidR="00000000" w:rsidRPr="00000000">
              <w:rPr>
                <w:rFonts w:ascii="PT Mono" w:cs="PT Mono" w:eastAsia="PT Mono" w:hAnsi="PT Mono"/>
                <w:b w:val="1"/>
                <w:bCs w:val="1"/>
                <w:color w:val="005172"/>
                <w:sz w:val="18"/>
                <w:szCs w:val="18"/>
                <w:rtl w:val="0"/>
              </w:rPr>
              <w:t xml:space="preserve">Valor (€)</w:t>
            </w:r>
            <w:r w:rsidDel="00000000" w:rsidR="00000000" w:rsidRPr="00000000">
              <w:rPr>
                <w:rtl w:val="0"/>
              </w:rPr>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3">
            <w:pPr>
              <w:spacing w:after="0" w:lineRule="auto"/>
              <w:rPr>
                <w:b w:val="1"/>
                <w:bCs w:val="1"/>
                <w:sz w:val="18"/>
                <w:szCs w:val="18"/>
              </w:rPr>
            </w:pPr>
            <w:r w:rsidDel="00000000" w:rsidR="00000000" w:rsidRPr="00000000">
              <w:rPr>
                <w:b w:val="1"/>
                <w:bCs w:val="1"/>
                <w:sz w:val="18"/>
                <w:szCs w:val="18"/>
                <w:rtl w:val="0"/>
              </w:rPr>
              <w:t xml:space="preserve">3. Suporte à Infraestrutura Central do Registo Agregadot</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4">
            <w:pPr>
              <w:spacing w:after="0" w:lineRule="auto"/>
              <w:rPr>
                <w:sz w:val="18"/>
                <w:szCs w:val="18"/>
              </w:rPr>
            </w:pPr>
            <w:r w:rsidDel="00000000" w:rsidR="00000000" w:rsidRPr="00000000">
              <w:rPr>
                <w:sz w:val="18"/>
                <w:szCs w:val="18"/>
                <w:rtl w:val="0"/>
              </w:rPr>
              <w:t xml:space="preserve">Taxa de Licença da Infraestrutura Central para Processamento, Alojamento e Apresentação de Dados Agregados do Registo</w:t>
            </w:r>
          </w:p>
          <w:p w:rsidR="00000000" w:rsidDel="00000000" w:rsidP="00000000" w:rsidRDefault="00000000" w:rsidRPr="00000000" w14:paraId="000000B5">
            <w:pPr>
              <w:spacing w:after="0" w:lineRule="auto"/>
              <w:rPr>
                <w:color w:val="666666"/>
                <w:sz w:val="18"/>
                <w:szCs w:val="18"/>
              </w:rPr>
            </w:pPr>
            <w:r w:rsidDel="00000000" w:rsidR="00000000" w:rsidRPr="00000000">
              <w:rPr>
                <w:color w:val="666666"/>
                <w:sz w:val="18"/>
                <w:szCs w:val="18"/>
                <w:rtl w:val="0"/>
              </w:rPr>
              <w:t xml:space="preserve">Uma taxa de serviço fixa que cobre o alojamento, manutenção e suporte operacional para a Infraestrutura Central do Registo Agregado no SPC.</w:t>
            </w:r>
          </w:p>
          <w:p w:rsidR="00000000" w:rsidDel="00000000" w:rsidP="00000000" w:rsidRDefault="00000000" w:rsidRPr="00000000" w14:paraId="000000B6">
            <w:pPr>
              <w:spacing w:after="0" w:lineRule="auto"/>
              <w:rPr>
                <w:color w:val="666666"/>
                <w:sz w:val="18"/>
                <w:szCs w:val="18"/>
              </w:rPr>
            </w:pPr>
            <w:r w:rsidDel="00000000" w:rsidR="00000000" w:rsidRPr="00000000">
              <w:rPr>
                <w:color w:val="666666"/>
                <w:sz w:val="18"/>
                <w:szCs w:val="18"/>
                <w:rtl w:val="0"/>
              </w:rPr>
              <w:t xml:space="preserve">Esta taxa total é calculada para cobrir a carga de trabalho completa de suporte em todos os centros de saúde participantes durante a duração do projeto. Isto inclui toda a monitorização e triagem de incidentes para o ambiente centralizado, bem como o fornecimento do suporte técnico necessário para a componente local, de forma a garantir o processamento fiável de dados.</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B7">
            <w:pPr>
              <w:jc w:val="right"/>
              <w:rPr>
                <w:sz w:val="18"/>
                <w:szCs w:val="18"/>
                <w:highlight w:val="yellow"/>
              </w:rPr>
            </w:pPr>
            <w:r w:rsidDel="00000000" w:rsidR="00000000" w:rsidRPr="00000000">
              <w:rPr>
                <w:rFonts w:ascii="PT Mono" w:cs="PT Mono" w:eastAsia="PT Mono" w:hAnsi="PT Mono"/>
                <w:sz w:val="18"/>
                <w:szCs w:val="18"/>
                <w:highlight w:val="yellow"/>
                <w:rtl w:val="0"/>
              </w:rPr>
              <w:t xml:space="preserve">€ 10 000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8">
            <w:pPr>
              <w:spacing w:after="0" w:lineRule="auto"/>
              <w:rPr>
                <w:b w:val="1"/>
                <w:bCs w:val="1"/>
                <w:sz w:val="18"/>
                <w:szCs w:val="18"/>
              </w:rPr>
            </w:pPr>
            <w:r w:rsidDel="00000000" w:rsidR="00000000" w:rsidRPr="00000000">
              <w:rPr>
                <w:b w:val="1"/>
                <w:bCs w:val="1"/>
                <w:sz w:val="18"/>
                <w:szCs w:val="18"/>
                <w:rtl w:val="0"/>
              </w:rPr>
              <w:t xml:space="preserve">4. Suporte de Manutenção e Atualização do Dashpackage</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9">
            <w:pPr>
              <w:spacing w:after="0" w:lineRule="auto"/>
              <w:rPr>
                <w:sz w:val="18"/>
                <w:szCs w:val="18"/>
              </w:rPr>
            </w:pPr>
            <w:r w:rsidDel="00000000" w:rsidR="00000000" w:rsidRPr="00000000">
              <w:rPr>
                <w:sz w:val="18"/>
                <w:szCs w:val="18"/>
                <w:rtl w:val="0"/>
              </w:rPr>
              <w:t xml:space="preserve">Suporte de Manutenção e Atualização do Dashpackage</w:t>
            </w:r>
          </w:p>
          <w:p w:rsidR="00000000" w:rsidDel="00000000" w:rsidP="00000000" w:rsidRDefault="00000000" w:rsidRPr="00000000" w14:paraId="000000BA">
            <w:pPr>
              <w:spacing w:after="0" w:lineRule="auto"/>
              <w:rPr>
                <w:b w:val="1"/>
                <w:bCs w:val="1"/>
                <w:sz w:val="18"/>
                <w:szCs w:val="18"/>
              </w:rPr>
            </w:pPr>
            <w:r w:rsidDel="00000000" w:rsidR="00000000" w:rsidRPr="00000000">
              <w:rPr>
                <w:color w:val="666666"/>
                <w:sz w:val="18"/>
                <w:szCs w:val="18"/>
                <w:rtl w:val="0"/>
              </w:rPr>
              <w:t xml:space="preserve">Taxa fixa anual que cobre pequenas atualizações de funcionalidades para a base de código do Dashpackage (módulos analíticos e camada de visualização). Esta taxa garante a fiabilidade operacional contínua, a compatibilidade com alterações no esquema de dados agregados e a aplicação de atualizações de segurança periódicas ao ambiente do dashboard.</w:t>
            </w:r>
            <w:r w:rsidDel="00000000" w:rsidR="00000000" w:rsidRPr="00000000">
              <w:rPr>
                <w:rtl w:val="0"/>
              </w:rPr>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BB">
            <w:pPr>
              <w:jc w:val="right"/>
              <w:rPr>
                <w:sz w:val="18"/>
                <w:szCs w:val="18"/>
                <w:highlight w:val="yellow"/>
              </w:rPr>
            </w:pPr>
            <w:r w:rsidDel="00000000" w:rsidR="00000000" w:rsidRPr="00000000">
              <w:rPr>
                <w:rFonts w:ascii="PT Mono" w:cs="PT Mono" w:eastAsia="PT Mono" w:hAnsi="PT Mono"/>
                <w:sz w:val="18"/>
                <w:szCs w:val="18"/>
                <w:highlight w:val="yellow"/>
                <w:rtl w:val="0"/>
              </w:rPr>
              <w:t xml:space="preserve">€ 1,500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C">
            <w:pPr>
              <w:spacing w:after="0" w:lineRule="auto"/>
              <w:rPr>
                <w:b w:val="1"/>
                <w:bCs w:val="1"/>
                <w:sz w:val="18"/>
                <w:szCs w:val="18"/>
              </w:rPr>
            </w:pPr>
            <w:r w:rsidDel="00000000" w:rsidR="00000000" w:rsidRPr="00000000">
              <w:rPr>
                <w:b w:val="1"/>
                <w:bCs w:val="1"/>
                <w:sz w:val="18"/>
                <w:szCs w:val="18"/>
                <w:rtl w:val="0"/>
              </w:rPr>
              <w:t xml:space="preserve">5. 4. Suporte para Consumo e Integração por Terceiros</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BD">
            <w:pPr>
              <w:spacing w:after="0" w:lineRule="auto"/>
              <w:rPr>
                <w:sz w:val="18"/>
                <w:szCs w:val="18"/>
              </w:rPr>
            </w:pPr>
            <w:r w:rsidDel="00000000" w:rsidR="00000000" w:rsidRPr="00000000">
              <w:rPr>
                <w:sz w:val="18"/>
                <w:szCs w:val="18"/>
                <w:rtl w:val="0"/>
              </w:rPr>
              <w:t xml:space="preserve">Suporte técnico a entidades terceiras que pretendam consumir ou integrar dados agregados do Registo. </w:t>
            </w:r>
          </w:p>
          <w:p w:rsidR="00000000" w:rsidDel="00000000" w:rsidP="00000000" w:rsidRDefault="00000000" w:rsidRPr="00000000" w14:paraId="000000BE">
            <w:pPr>
              <w:spacing w:after="0" w:lineRule="auto"/>
              <w:rPr>
                <w:sz w:val="18"/>
                <w:szCs w:val="18"/>
              </w:rPr>
            </w:pPr>
            <w:r w:rsidDel="00000000" w:rsidR="00000000" w:rsidRPr="00000000">
              <w:rPr>
                <w:color w:val="666666"/>
                <w:sz w:val="18"/>
                <w:szCs w:val="18"/>
                <w:rtl w:val="0"/>
              </w:rPr>
              <w:t xml:space="preserve">Taxa fixa anual que cobre inclui suporte à configuração de APIs, extração de dados customizada, integração com sistemas externos e consultoria técnica. </w:t>
            </w:r>
            <w:r w:rsidDel="00000000" w:rsidR="00000000" w:rsidRPr="00000000">
              <w:rPr>
                <w:rtl w:val="0"/>
              </w:rPr>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BF">
            <w:pPr>
              <w:jc w:val="right"/>
              <w:rPr>
                <w:sz w:val="18"/>
                <w:szCs w:val="18"/>
                <w:highlight w:val="yellow"/>
              </w:rPr>
            </w:pPr>
            <w:r w:rsidDel="00000000" w:rsidR="00000000" w:rsidRPr="00000000">
              <w:rPr>
                <w:rFonts w:ascii="PT Mono" w:cs="PT Mono" w:eastAsia="PT Mono" w:hAnsi="PT Mono"/>
                <w:sz w:val="18"/>
                <w:szCs w:val="18"/>
                <w:highlight w:val="yellow"/>
                <w:rtl w:val="0"/>
              </w:rPr>
              <w:t xml:space="preserve">€ 1,500</w:t>
            </w:r>
          </w:p>
          <w:p w:rsidR="00000000" w:rsidDel="00000000" w:rsidP="00000000" w:rsidRDefault="00000000" w:rsidRPr="00000000" w14:paraId="000000C0">
            <w:pPr>
              <w:jc w:val="right"/>
              <w:rPr>
                <w:sz w:val="18"/>
                <w:szCs w:val="18"/>
                <w:highlight w:val="yellow"/>
              </w:rPr>
            </w:pPr>
            <w:r w:rsidDel="00000000" w:rsidR="00000000" w:rsidRPr="00000000">
              <w:rPr>
                <w:rtl w:val="0"/>
              </w:rPr>
            </w:r>
          </w:p>
          <w:p w:rsidR="00000000" w:rsidDel="00000000" w:rsidP="00000000" w:rsidRDefault="00000000" w:rsidRPr="00000000" w14:paraId="000000C1">
            <w:pPr>
              <w:jc w:val="right"/>
              <w:rPr>
                <w:sz w:val="18"/>
                <w:szCs w:val="18"/>
                <w:highlight w:val="yellow"/>
              </w:rPr>
            </w:pPr>
            <w:r w:rsidDel="00000000" w:rsidR="00000000" w:rsidRPr="00000000">
              <w:rPr>
                <w:rtl w:val="0"/>
              </w:rPr>
            </w:r>
          </w:p>
        </w:tc>
      </w:tr>
      <w:tr>
        <w:trPr>
          <w:cantSplit w:val="0"/>
          <w:trHeight w:val="288.88888888888823" w:hRule="atLeast"/>
          <w:tblHeader w:val="0"/>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C2">
            <w:pPr>
              <w:widowControl w:val="0"/>
              <w:spacing w:after="0" w:line="240" w:lineRule="auto"/>
              <w:rPr>
                <w:b w:val="1"/>
                <w:bCs w:val="1"/>
                <w:color w:val="005172"/>
                <w:sz w:val="18"/>
                <w:szCs w:val="18"/>
              </w:rPr>
            </w:pPr>
            <w:r w:rsidDel="00000000" w:rsidR="00000000" w:rsidRPr="00000000">
              <w:rPr>
                <w:rtl w:val="0"/>
              </w:rPr>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C3">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Total</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C4">
            <w:pPr>
              <w:widowControl w:val="0"/>
              <w:spacing w:after="0" w:line="240" w:lineRule="auto"/>
              <w:jc w:val="right"/>
              <w:rPr>
                <w:b w:val="1"/>
                <w:bCs w:val="1"/>
                <w:color w:val="005172"/>
                <w:sz w:val="18"/>
                <w:szCs w:val="18"/>
                <w:highlight w:val="yellow"/>
              </w:rPr>
            </w:pPr>
            <w:r w:rsidDel="00000000" w:rsidR="00000000" w:rsidRPr="00000000">
              <w:rPr>
                <w:rFonts w:ascii="PT Mono" w:cs="PT Mono" w:eastAsia="PT Mono" w:hAnsi="PT Mono"/>
                <w:b w:val="1"/>
                <w:bCs w:val="1"/>
                <w:color w:val="005172"/>
                <w:sz w:val="18"/>
                <w:szCs w:val="18"/>
                <w:highlight w:val="yellow"/>
                <w:rtl w:val="0"/>
              </w:rPr>
              <w:t xml:space="preserve">€ 12 500</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80" w:before="280" w:line="312" w:lineRule="auto"/>
        <w:rPr/>
      </w:pPr>
      <w:r w:rsidDel="00000000" w:rsidR="00000000" w:rsidRPr="00000000">
        <w:rPr>
          <w:rFonts w:ascii="Barlow Condensed Medium" w:cs="Barlow Condensed Medium" w:eastAsia="Barlow Condensed Medium" w:hAnsi="Barlow Condensed Medium"/>
          <w:color w:val="005172"/>
          <w:sz w:val="28"/>
          <w:szCs w:val="28"/>
          <w:rtl w:val="0"/>
        </w:rPr>
        <w:t xml:space="preserve">3. Notas Adicionais e Considerações Técnicas</w:t>
      </w:r>
      <w:r w:rsidDel="00000000" w:rsidR="00000000" w:rsidRPr="00000000">
        <w:rPr>
          <w:rtl w:val="0"/>
        </w:rPr>
      </w:r>
    </w:p>
    <w:p w:rsidR="00000000" w:rsidDel="00000000" w:rsidP="00000000" w:rsidRDefault="00000000" w:rsidRPr="00000000" w14:paraId="000000C7">
      <w:pPr>
        <w:numPr>
          <w:ilvl w:val="0"/>
          <w:numId w:val="1"/>
        </w:numPr>
        <w:spacing w:after="0" w:afterAutospacing="0" w:line="276" w:lineRule="auto"/>
        <w:ind w:left="720" w:hanging="360"/>
        <w:rPr>
          <w:u w:val="none"/>
        </w:rPr>
      </w:pPr>
      <w:r w:rsidDel="00000000" w:rsidR="00000000" w:rsidRPr="00000000">
        <w:rPr>
          <w:rtl w:val="0"/>
        </w:rPr>
        <w:t xml:space="preserve">Soberania dos Dados e Responsabilidade pelo Processamento: O Dashpackage é instalado na infraestrutura local do centro de saúde. A instituição mantém a soberania total sobre os seus dados brutos. A responsabilidade da MTG limita-se a defeitos demonstrados no código-fonte do Dashpackage. O centro de saúde permanece exclusivamente responsável pela cibersegurança e proteção de dados do seu ambiente.</w:t>
      </w:r>
    </w:p>
    <w:p w:rsidR="00000000" w:rsidDel="00000000" w:rsidP="00000000" w:rsidRDefault="00000000" w:rsidRPr="00000000" w14:paraId="000000C8">
      <w:pPr>
        <w:numPr>
          <w:ilvl w:val="0"/>
          <w:numId w:val="1"/>
        </w:numPr>
        <w:spacing w:after="0" w:afterAutospacing="0" w:line="276" w:lineRule="auto"/>
        <w:ind w:left="720" w:hanging="360"/>
        <w:rPr>
          <w:u w:val="none"/>
        </w:rPr>
      </w:pPr>
      <w:r w:rsidDel="00000000" w:rsidR="00000000" w:rsidRPr="00000000">
        <w:rPr>
          <w:rtl w:val="0"/>
        </w:rPr>
        <w:t xml:space="preserve">Pré-requisitos da Infraestrutura Central: O orçamento pressupõe a implementação da Infraestrutura Central do Registo (Opvance) num ambiente de infraestrutura existente gerido pela SPS (seja on-premise ou numa instância de nuvem já controlada pela SPS). Se o projeto exigir que a MTG provisione novos recursos dedicados, será necessária uma reavaliação do orçamento.</w:t>
      </w:r>
    </w:p>
    <w:p w:rsidR="00000000" w:rsidDel="00000000" w:rsidP="00000000" w:rsidRDefault="00000000" w:rsidRPr="00000000" w14:paraId="000000C9">
      <w:pPr>
        <w:numPr>
          <w:ilvl w:val="0"/>
          <w:numId w:val="1"/>
        </w:numPr>
        <w:spacing w:after="0" w:afterAutospacing="0" w:line="276" w:lineRule="auto"/>
        <w:ind w:left="720" w:hanging="360"/>
        <w:rPr>
          <w:u w:val="none"/>
        </w:rPr>
      </w:pPr>
      <w:r w:rsidDel="00000000" w:rsidR="00000000" w:rsidRPr="00000000">
        <w:rPr>
          <w:rtl w:val="0"/>
        </w:rPr>
        <w:t xml:space="preserve">Congelamento de Código (Code Freeze): Assim que a versão final do Dashpackage for formalmente aprovada e a fase de implementação começar, o âmbito analítico e a estrutura do código entrarão em Code Freeze. Quaisquer alterações fundamentais solicitadas durante este período serão tratadas como um Pedido de Alteração (Change Request), podendo impactar o cronograma e incorrer em custos adicionais.</w:t>
      </w:r>
    </w:p>
    <w:p w:rsidR="00000000" w:rsidDel="00000000" w:rsidP="00000000" w:rsidRDefault="00000000" w:rsidRPr="00000000" w14:paraId="000000CA">
      <w:pPr>
        <w:numPr>
          <w:ilvl w:val="0"/>
          <w:numId w:val="1"/>
        </w:numPr>
        <w:spacing w:after="0" w:afterAutospacing="0" w:line="276" w:lineRule="auto"/>
        <w:ind w:left="720" w:hanging="360"/>
        <w:rPr>
          <w:b w:val="1"/>
          <w:bCs w:val="1"/>
        </w:rPr>
      </w:pPr>
      <w:r w:rsidDel="00000000" w:rsidR="00000000" w:rsidRPr="00000000">
        <w:rPr>
          <w:b w:val="1"/>
          <w:bCs w:val="1"/>
          <w:rtl w:val="0"/>
        </w:rPr>
        <w:t xml:space="preserve">Serviços Não Incluídos:</w:t>
      </w:r>
    </w:p>
    <w:p w:rsidR="00000000" w:rsidDel="00000000" w:rsidP="00000000" w:rsidRDefault="00000000" w:rsidRPr="00000000" w14:paraId="000000CB">
      <w:pPr>
        <w:numPr>
          <w:ilvl w:val="1"/>
          <w:numId w:val="1"/>
        </w:numPr>
        <w:spacing w:after="0" w:afterAutospacing="0" w:line="276" w:lineRule="auto"/>
        <w:ind w:left="1440" w:hanging="360"/>
        <w:rPr>
          <w:b w:val="1"/>
          <w:bCs w:val="1"/>
        </w:rPr>
      </w:pPr>
      <w:r w:rsidDel="00000000" w:rsidR="00000000" w:rsidRPr="00000000">
        <w:rPr>
          <w:rtl w:val="0"/>
        </w:rPr>
        <w:t xml:space="preserve">Recrutamento de Centros: O orçamento não inclui atividades relacionadas com a identificação, recrutamento, contratação ou gestão da relação com os centros de saúde participantes. A SPS é exclusivamente responsável por garantir e manter o compromisso formal e a participação ativa de todos os centros.</w:t>
      </w:r>
    </w:p>
    <w:p w:rsidR="00000000" w:rsidDel="00000000" w:rsidP="00000000" w:rsidRDefault="00000000" w:rsidRPr="00000000" w14:paraId="000000CC">
      <w:pPr>
        <w:numPr>
          <w:ilvl w:val="1"/>
          <w:numId w:val="1"/>
        </w:numPr>
        <w:spacing w:after="0" w:afterAutospacing="0" w:line="276" w:lineRule="auto"/>
        <w:ind w:left="1440" w:hanging="360"/>
        <w:rPr>
          <w:b w:val="1"/>
          <w:bCs w:val="1"/>
        </w:rPr>
      </w:pPr>
      <w:r w:rsidDel="00000000" w:rsidR="00000000" w:rsidRPr="00000000">
        <w:rPr>
          <w:rtl w:val="0"/>
        </w:rPr>
        <w:t xml:space="preserve">Suporte à Publicação: submissão de artigos científicos ou outros materiais de publicação está excluída.</w:t>
      </w:r>
    </w:p>
    <w:p w:rsidR="00000000" w:rsidDel="00000000" w:rsidP="00000000" w:rsidRDefault="00000000" w:rsidRPr="00000000" w14:paraId="000000CD">
      <w:pPr>
        <w:numPr>
          <w:ilvl w:val="1"/>
          <w:numId w:val="1"/>
        </w:numPr>
        <w:spacing w:line="276" w:lineRule="auto"/>
        <w:ind w:left="1440" w:hanging="360"/>
        <w:rPr>
          <w:b w:val="1"/>
          <w:bCs w:val="1"/>
        </w:rPr>
      </w:pPr>
      <w:r w:rsidDel="00000000" w:rsidR="00000000" w:rsidRPr="00000000">
        <w:rPr>
          <w:rtl w:val="0"/>
        </w:rPr>
        <w:t xml:space="preserve">Expansão do Âmbito da Doença: Qualquer trabalho relacionado com novas patologias para além do Cancro da Mama está excluído e requer uma negociação separada.</w:t>
      </w:r>
    </w:p>
    <w:p w:rsidR="00000000" w:rsidDel="00000000" w:rsidP="00000000" w:rsidRDefault="00000000" w:rsidRPr="00000000" w14:paraId="000000CE">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tabs>
        <w:tab w:val="right" w:leader="none" w:pos="8993"/>
      </w:tabs>
      <w:spacing w:after="0" w:line="240" w:lineRule="auto"/>
      <w:rPr>
        <w:sz w:val="18"/>
        <w:szCs w:val="18"/>
        <w:highlight w:val="white"/>
      </w:rPr>
    </w:pPr>
    <w:r w:rsidDel="00000000" w:rsidR="00000000" w:rsidRPr="00000000">
      <w:rPr>
        <w:b w:val="1"/>
        <w:bCs w:val="1"/>
        <w:sz w:val="18"/>
        <w:szCs w:val="18"/>
        <w:highlight w:val="white"/>
        <w:rtl w:val="0"/>
      </w:rPr>
      <w:t xml:space="preserve">MTG Research and Development Lab</w:t>
    </w:r>
    <w:r w:rsidDel="00000000" w:rsidR="00000000" w:rsidRPr="00000000">
      <w:rPr>
        <w:sz w:val="18"/>
        <w:szCs w:val="18"/>
        <w:highlight w:val="white"/>
        <w:rtl w:val="0"/>
      </w:rPr>
      <w:tab/>
    </w:r>
    <w:r w:rsidDel="00000000" w:rsidR="00000000" w:rsidRPr="00000000">
      <w:rPr>
        <w:sz w:val="18"/>
        <w:szCs w:val="18"/>
        <w:highlight w:val="white"/>
      </w:rPr>
      <w:fldChar w:fldCharType="begin"/>
      <w:instrText xml:space="preserve">PAGE</w:instrText>
      <w:fldChar w:fldCharType="separate"/>
      <w:fldChar w:fldCharType="end"/>
    </w:r>
    <w:r w:rsidDel="00000000" w:rsidR="00000000" w:rsidRPr="00000000">
      <w:rPr>
        <w:sz w:val="18"/>
        <w:szCs w:val="18"/>
        <w:highlight w:val="white"/>
        <w:rtl w:val="0"/>
      </w:rPr>
      <w:t xml:space="preserve">/</w:t>
    </w:r>
    <w:r w:rsidDel="00000000" w:rsidR="00000000" w:rsidRPr="00000000">
      <w:rPr>
        <w:sz w:val="18"/>
        <w:szCs w:val="18"/>
        <w:highlight w:val="whit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TMono-regular.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