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Paid Assessment Authorization</w:t>
      </w:r>
    </w:p>
    <w:p>
      <w:pPr>
        <w:jc w:val="center"/>
      </w:pPr>
      <w:r>
        <w:rPr>
          <w:i/>
          <w:color w:val="5A5A5A"/>
          <w:sz w:val="18"/>
        </w:rPr>
        <w:t>Use only when substantial hands-on discovery is required before a larger job can be estimated</w:t>
      </w:r>
    </w:p>
    <w:p>
      <w:pPr>
        <w:jc w:val="center"/>
      </w:pPr>
      <w:r>
        <w:rPr>
          <w:color w:val="646464"/>
          <w:sz w:val="16"/>
        </w:rPr>
        <w:t>Pilot Forms v1.0 | August 21, 2026</w:t>
      </w:r>
    </w:p>
    <w:p>
      <w:pPr>
        <w:spacing w:after="120"/>
      </w:pPr>
      <w:r>
        <w:rPr>
          <w:b/>
        </w:rPr>
        <w:t xml:space="preserve">Pilot operational template. </w:t>
      </w:r>
      <w:r>
        <w:t>This form documents the agreed RFR workflow. It is not legal, tax, medical, accounting, or cybersecurity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Job / lead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Assessment purpose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Material to assess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Maximum assessment hours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Rate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$30/hour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Assessment ceiling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$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Expected assessment output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Written scope/solution/estimate or feasibility finding; not full production unless separately authorized</w:t>
            </w:r>
          </w:p>
        </w:tc>
      </w:tr>
    </w:tbl>
    <w:p>
      <w:r>
        <w:t>A paid assessment is used only when RFR cannot responsibly estimate a complex project from ordinary intake/qualification. Production beyond the assessment requires a separate Scope/Quote and authorization.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Customer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RFR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Paid Assessment Authorization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