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Invoice</w:t>
      </w:r>
    </w:p>
    <w:p>
      <w:pPr>
        <w:jc w:val="center"/>
      </w:pPr>
      <w:r>
        <w:rPr>
          <w:i/>
          <w:color w:val="5A5A5A"/>
          <w:sz w:val="18"/>
        </w:rPr>
        <w:t>Customer-facing billing form</w:t>
      </w:r>
    </w:p>
    <w:p>
      <w:pPr>
        <w:jc w:val="center"/>
      </w:pPr>
      <w:r>
        <w:rPr>
          <w:color w:val="646464"/>
          <w:sz w:val="16"/>
        </w:rPr>
        <w:t>Pilot Forms v1.0 | August 21, 2026</w:t>
      </w:r>
    </w:p>
    <w:p>
      <w:pPr>
        <w:spacing w:after="120"/>
      </w:pPr>
      <w:r>
        <w:rPr>
          <w:b/>
        </w:rPr>
        <w:t xml:space="preserve">Pilot operational template. </w:t>
      </w:r>
      <w:r>
        <w:t>This form documents the agreed RFR workflow. It is not legal, tax, medical, accounting, or cybersecurity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Invoice #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Bill to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Payment terms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 ] Prepaid / applied   [ ] Due on receipt   [ ] Other: _________</w:t>
            </w:r>
          </w:p>
        </w:tc>
      </w:tr>
    </w:tbl>
    <w:p>
      <w:pPr>
        <w:pStyle w:val="Heading1"/>
      </w:pPr>
      <w:r>
        <w:t>Charges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489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Qty / hours</w:t>
            </w:r>
          </w:p>
        </w:tc>
        <w:tc>
          <w:tcPr>
            <w:tcW w:type="dxa" w:w="172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0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RFR labor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$30/hour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$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Travel time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$30/hour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$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Rideshare reimbursement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Actual fare + 20% tip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$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Authorized third-party expense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$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Other authorized charge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$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$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Payments / prepayment applied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$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Refund / credit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$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Amount due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$</w:t>
            </w:r>
          </w:p>
        </w:tc>
      </w:tr>
    </w:tbl>
    <w:p>
      <w:r>
        <w:t>Only earned labor and authorized incurred expenses are retained. Any unearned prepaid labor is refunded according to the accepted terms.</w:t>
      </w:r>
    </w:p>
    <w:p>
      <w:pPr>
        <w:pStyle w:val="Heading1"/>
      </w:pPr>
      <w:r>
        <w:t>Payment / Notes</w:t>
      </w:r>
    </w:p>
    <w:p>
      <w:r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Invoice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