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External AI Authorization</w:t>
      </w:r>
    </w:p>
    <w:p>
      <w:pPr>
        <w:jc w:val="center"/>
      </w:pPr>
      <w:r>
        <w:rPr>
          <w:i/>
          <w:color w:val="5A5A5A"/>
          <w:sz w:val="18"/>
        </w:rPr>
        <w:t>Use only when customer content will be submitted to a hosted AI service</w:t>
      </w:r>
    </w:p>
    <w:p>
      <w:pPr>
        <w:jc w:val="center"/>
      </w:pPr>
      <w:r>
        <w:rPr>
          <w:color w:val="646464"/>
          <w:sz w:val="16"/>
        </w:rPr>
        <w:t>Pilot Forms v1.1 | September 9,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AI provider/tool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Purpose of AI use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Material/categories to be submitted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Material explicitly excluded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Authorization Conditions</w:t>
      </w:r>
    </w:p>
    <w:p>
      <w:pPr>
        <w:ind w:left="115"/>
      </w:pPr>
      <w:r>
        <w:rPr>
          <w:b/>
        </w:rPr>
        <w:t xml:space="preserve">[ ] </w:t>
      </w:r>
      <w:r>
        <w:t>RFR has explained that the identified customer content may be transmitted to a third-party hosted AI service.</w:t>
      </w:r>
    </w:p>
    <w:p>
      <w:pPr>
        <w:ind w:left="115"/>
      </w:pPr>
      <w:r>
        <w:rPr>
          <w:b/>
        </w:rPr>
        <w:t xml:space="preserve">[ ] </w:t>
      </w:r>
      <w:r>
        <w:t>RFR will submit only the material reasonably necessary for the authorized task.</w:t>
      </w:r>
    </w:p>
    <w:p>
      <w:pPr>
        <w:ind w:left="115"/>
      </w:pPr>
      <w:r>
        <w:rPr>
          <w:b/>
        </w:rPr>
        <w:t xml:space="preserve">[ ] </w:t>
      </w:r>
      <w:r>
        <w:t>RFR will perform human QC of AI-assisted output.</w:t>
      </w:r>
    </w:p>
    <w:p>
      <w:pPr/>
      <w:r>
        <w:t>[ ] If the material is connected to active or reasonably anticipated litigation or a legal dispute, RFR has completed elevated-risk review. This authorization does not authorize legal-strategy work, and external AI use is limited to the expressly approved task and material.</w:t>
      </w:r>
    </w:p>
    <w:p>
      <w:pPr>
        <w:ind w:left="115"/>
      </w:pPr>
      <w:r>
        <w:rPr>
          <w:b/>
        </w:rPr>
        <w:t xml:space="preserve">[ ] </w:t>
      </w:r>
      <w:r>
        <w:t>RFR will not treat AI output as independently fact-checked unless external research/fact-checking is separately scoped.</w:t>
      </w:r>
    </w:p>
    <w:p>
      <w:pPr>
        <w:ind w:left="115"/>
      </w:pPr>
      <w:r>
        <w:rPr>
          <w:b/>
        </w:rPr>
        <w:t xml:space="preserve">[ ] </w:t>
      </w:r>
      <w:r>
        <w:t>Sensitive categories not listed above remain excluded from external AI.</w:t>
      </w:r>
    </w:p>
    <w:p>
      <w:pPr>
        <w:pStyle w:val="Heading1"/>
      </w:pPr>
      <w:r>
        <w:t>Customer Choice</w:t>
      </w:r>
    </w:p>
    <w:p>
      <w:pPr>
        <w:ind w:left="115"/>
      </w:pPr>
      <w:r>
        <w:rPr>
          <w:b/>
        </w:rPr>
        <w:t xml:space="preserve">[ ] </w:t>
      </w:r>
      <w:r>
        <w:t>AUTHORIZE the external AI use described above.</w:t>
      </w:r>
    </w:p>
    <w:p>
      <w:pPr>
        <w:ind w:left="115"/>
      </w:pPr>
      <w:r>
        <w:rPr>
          <w:b/>
        </w:rPr>
        <w:t xml:space="preserve">[ ] </w:t>
      </w:r>
      <w:r>
        <w:t>DO NOT AUTHORIZE external AI use; RFR must use another approved method or re-scope the job.</w:t>
      </w:r>
    </w:p>
    <w:p>
      <w:r>
        <w:t>Additional limits / conditions: 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Customer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RFR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External AI Authorization | Pilot Forms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