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Delivery &amp; Customer Review Notice</w:t>
      </w:r>
    </w:p>
    <w:p>
      <w:pPr>
        <w:jc w:val="center"/>
      </w:pPr>
      <w:r>
        <w:rPr>
          <w:i/>
          <w:color w:val="5A5A5A"/>
          <w:sz w:val="18"/>
        </w:rPr>
        <w:t>Customer-facing closeout notice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Deliverable(s)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Agreed delivery method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Delivery location / link / path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Delivery 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Delivery 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Successful Delivery</w:t>
      </w:r>
    </w:p>
    <w:p>
      <w:pPr>
        <w:ind w:left="115"/>
      </w:pPr>
      <w:r>
        <w:rPr>
          <w:b/>
        </w:rPr>
        <w:t xml:space="preserve">[ ] </w:t>
      </w:r>
      <w:r>
        <w:t>RFR successfully sent or made the final deliverable available using the agreed method.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7-day review / temporary-data deletion due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 acknowledgment received (optional)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Yes   [ ] No   Date/time: __________</w:t>
            </w:r>
          </w:p>
        </w:tc>
      </w:tr>
    </w:tbl>
    <w:p>
      <w:r>
        <w:t>The seven-day temporary-data retention period starts from successful delivery / availability using the agreed method. Customer acknowledgment is useful but is not required to start the countdown. If delivery fails, the countdown does not start.</w:t>
      </w:r>
    </w:p>
    <w:p>
      <w:pPr>
        <w:pStyle w:val="Heading1"/>
      </w:pPr>
      <w:r>
        <w:t>Customer Review</w:t>
      </w:r>
    </w:p>
    <w:p>
      <w:r>
        <w:t>Please review the delivered work during this period. Report any correction, discrepancy, or issue that requires RFR to re-check temporary working material before the deletion-due date. Timely notice pauses deletion of the relevant temporary working material while the issue is reviewed.</w:t>
      </w:r>
    </w:p>
    <w:p>
      <w:pPr>
        <w:pStyle w:val="Heading1"/>
      </w:pPr>
      <w:r>
        <w:t>Correction vs. New Scope</w:t>
      </w:r>
    </w:p>
    <w:p>
      <w:r>
        <w:t>Corrections needed to bring the work into conformity with the accepted scope are handled as corrections. New source material, changed preferences, additional research, or a different deliverable are new scope and may require a new estimate/authorization.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Delivery Review Notice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