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A35D" w14:textId="77777777" w:rsidR="00832BE1" w:rsidRDefault="00832BE1">
      <w:pPr>
        <w:pStyle w:val="Title"/>
        <w:rPr>
          <w:kern w:val="0"/>
          <w14:ligatures w14:val="none"/>
        </w:rPr>
      </w:pPr>
      <w:r>
        <w:t>Vrednost denarja v času: depoziti kot protiutež inflaciji</w:t>
      </w:r>
    </w:p>
    <w:p w14:paraId="740BF41C" w14:textId="77777777" w:rsidR="00832BE1" w:rsidRDefault="00832BE1">
      <w:pPr>
        <w:pStyle w:val="Subtitle"/>
      </w:pPr>
      <w:r>
        <w:t>Strokoven pregled časovne vrednosti denarja, vloge depozitov in praktičnih strategij za varčevalce</w:t>
      </w:r>
    </w:p>
    <w:p w14:paraId="09A0C166" w14:textId="77777777" w:rsidR="00832BE1" w:rsidRDefault="00832BE1">
      <w:pPr>
        <w:pStyle w:val="Heading1"/>
        <w:rPr>
          <w:rFonts w:eastAsia="Times New Roman"/>
        </w:rPr>
      </w:pPr>
      <w:r>
        <w:rPr>
          <w:rFonts w:eastAsia="Times New Roman"/>
        </w:rPr>
        <w:t>Uvod: Pomen časovne vrednosti denarja in vpliv inflacije</w:t>
      </w:r>
    </w:p>
    <w:p w14:paraId="772816D4" w14:textId="77777777" w:rsidR="00832BE1" w:rsidRDefault="00832BE1">
      <w:pPr>
        <w:rPr>
          <w:rFonts w:eastAsiaTheme="minorEastAsia"/>
        </w:rPr>
      </w:pPr>
      <w:r>
        <w:t>Časovna vrednost denarja je temeljni koncept finančnega sveta, ki neposredno vpliva na naše odločitve o varčevanju in investiranju. Inflacija, kot tihi nasprotnik prihrankov, spodkopava kupno moč denarja, depoziti pa so eno od ključnih orodij za blaženje njenih učinkov. V tem članku bomo pregledno in strokovno predstavili, zakaj evro danes ni enak evru jutri, kakšna je vloga depozitov, kako izračunati realno vrednost prihrankov ter kako optimalno vključiti depozite v osebno finančno strategijo.</w:t>
      </w:r>
    </w:p>
    <w:p w14:paraId="5800CCBC" w14:textId="77777777" w:rsidR="00832BE1" w:rsidRDefault="00832BE1">
      <w:pPr>
        <w:pStyle w:val="Heading2"/>
        <w:rPr>
          <w:rFonts w:eastAsia="Times New Roman"/>
        </w:rPr>
      </w:pPr>
      <w:r>
        <w:rPr>
          <w:rFonts w:eastAsia="Times New Roman"/>
        </w:rPr>
        <w:t>Temeljna pravila ekonomije: Zakaj evro danes ni enak evru jutri</w:t>
      </w:r>
    </w:p>
    <w:p w14:paraId="31BB1CBE" w14:textId="77777777" w:rsidR="00832BE1" w:rsidRDefault="00832BE1">
      <w:pPr>
        <w:rPr>
          <w:rFonts w:eastAsiaTheme="minorEastAsia"/>
        </w:rPr>
      </w:pPr>
      <w:r>
        <w:t>V ekonomiji velja preprosto pravilo: en evro danes ni enak enemu evru jutri. Razlogov je več. Prvič, današnji evro lahko investiramo in ustvarimo obresti ali donos. Drugič, zaradi inflacije bo isti evro jutri kupil manj dobrin in storitev. Ta dvojnost – obrestno-obrestni učinek na eni strani in inflacija na drugi – je srčika razumevanja časovne vrednosti denarja. Zato je ključno, da pri varčevanju in investiranju upoštevamo, kako se vrednost denarja spreminja skozi čas.</w:t>
      </w:r>
    </w:p>
    <w:p w14:paraId="724A73B2" w14:textId="77777777" w:rsidR="00832BE1" w:rsidRDefault="00832BE1">
      <w:pPr>
        <w:pStyle w:val="Heading2"/>
        <w:rPr>
          <w:rFonts w:eastAsia="Times New Roman"/>
        </w:rPr>
      </w:pPr>
      <w:r>
        <w:rPr>
          <w:rFonts w:eastAsia="Times New Roman"/>
        </w:rPr>
        <w:t>Bančni depoziti: definicija, vrste in obrestovanje</w:t>
      </w:r>
    </w:p>
    <w:p w14:paraId="2D45693A" w14:textId="77777777" w:rsidR="00832BE1" w:rsidRDefault="00832BE1">
      <w:pPr>
        <w:rPr>
          <w:rFonts w:eastAsiaTheme="minorEastAsia"/>
        </w:rPr>
      </w:pPr>
      <w:r>
        <w:t>Depozit je dogovor z banko, kjer vezano določeno vsoto denarja za določen čas v zameno za znano obrestno mero. Najpogostejše oblike depozitov so:</w:t>
      </w:r>
    </w:p>
    <w:p w14:paraId="5AE2AFC2" w14:textId="77777777" w:rsidR="00832BE1" w:rsidRDefault="00832BE1" w:rsidP="00832BE1">
      <w:pPr>
        <w:numPr>
          <w:ilvl w:val="0"/>
          <w:numId w:val="53"/>
        </w:numPr>
        <w:spacing w:line="256" w:lineRule="auto"/>
        <w:rPr>
          <w:rFonts w:eastAsia="Times New Roman"/>
        </w:rPr>
      </w:pPr>
      <w:r>
        <w:rPr>
          <w:rFonts w:eastAsia="Times New Roman"/>
          <w:b/>
          <w:bCs/>
        </w:rPr>
        <w:t>Vezani depozit (time deposit):</w:t>
      </w:r>
      <w:r>
        <w:rPr>
          <w:rFonts w:eastAsia="Times New Roman"/>
        </w:rPr>
        <w:t xml:space="preserve"> Sredstva so vezana na določen rok (npr. 3, 6, 12 ali 24 mesecev). Prednosti: običajno višje obresti in predvidljivost donosa. Slabosti: nižja likvidnost, predčasni dvig je možen le z izgubo obresti ali stroški.</w:t>
      </w:r>
    </w:p>
    <w:p w14:paraId="457D8F93" w14:textId="77777777" w:rsidR="00832BE1" w:rsidRDefault="00832BE1" w:rsidP="00832BE1">
      <w:pPr>
        <w:numPr>
          <w:ilvl w:val="0"/>
          <w:numId w:val="53"/>
        </w:numPr>
        <w:spacing w:line="256" w:lineRule="auto"/>
        <w:rPr>
          <w:rFonts w:eastAsia="Times New Roman"/>
        </w:rPr>
      </w:pPr>
      <w:r>
        <w:rPr>
          <w:rFonts w:eastAsia="Times New Roman"/>
          <w:b/>
          <w:bCs/>
        </w:rPr>
        <w:t>Varčevalni/hranilni račun:</w:t>
      </w:r>
      <w:r>
        <w:rPr>
          <w:rFonts w:eastAsia="Times New Roman"/>
        </w:rPr>
        <w:t xml:space="preserve"> Večja fleksibilnost, a praviloma nižje obresti. Primeren za izredni sklad.</w:t>
      </w:r>
    </w:p>
    <w:p w14:paraId="7CF9DC08" w14:textId="77777777" w:rsidR="00832BE1" w:rsidRDefault="00832BE1" w:rsidP="00832BE1">
      <w:pPr>
        <w:numPr>
          <w:ilvl w:val="0"/>
          <w:numId w:val="53"/>
        </w:numPr>
        <w:spacing w:line="256" w:lineRule="auto"/>
        <w:rPr>
          <w:rFonts w:eastAsia="Times New Roman"/>
        </w:rPr>
      </w:pPr>
      <w:r>
        <w:rPr>
          <w:rFonts w:eastAsia="Times New Roman"/>
          <w:b/>
          <w:bCs/>
        </w:rPr>
        <w:t>Stopničasti ali lestev depozitov:</w:t>
      </w:r>
      <w:r>
        <w:rPr>
          <w:rFonts w:eastAsia="Times New Roman"/>
        </w:rPr>
        <w:t xml:space="preserve"> Sklop več depozitov z različnimi ročnostmi, kar omogoča redno zapadanje dela sredstev in prilagajanje novim obrestnim ponudbam.</w:t>
      </w:r>
    </w:p>
    <w:p w14:paraId="187B12C0" w14:textId="77777777" w:rsidR="00832BE1" w:rsidRDefault="00832BE1">
      <w:pPr>
        <w:rPr>
          <w:rFonts w:eastAsiaTheme="minorEastAsia"/>
        </w:rPr>
      </w:pPr>
      <w:r>
        <w:t xml:space="preserve">Obrestno-obrestni učinek pri depozitih ni vedno avtomatski. Nekateri depoziti obresti izplačujejo periodično, drugi jih kapitalizirajo. Za primerljivost vedno preverite </w:t>
      </w:r>
      <w:r>
        <w:rPr>
          <w:b/>
          <w:bCs/>
        </w:rPr>
        <w:t>efektivno letno obrestno mero (EOM)</w:t>
      </w:r>
      <w:r>
        <w:t>.</w:t>
      </w:r>
    </w:p>
    <w:p w14:paraId="448AFC55" w14:textId="77777777" w:rsidR="00832BE1" w:rsidRDefault="00832BE1">
      <w:pPr>
        <w:pStyle w:val="Heading2"/>
        <w:rPr>
          <w:rFonts w:eastAsia="Times New Roman"/>
        </w:rPr>
      </w:pPr>
      <w:r>
        <w:rPr>
          <w:rFonts w:eastAsia="Times New Roman"/>
        </w:rPr>
        <w:t>Inflacija kot nasprotnik prihrankov</w:t>
      </w:r>
    </w:p>
    <w:p w14:paraId="22FF25A4" w14:textId="77777777" w:rsidR="00832BE1" w:rsidRDefault="00832BE1">
      <w:pPr>
        <w:rPr>
          <w:rFonts w:eastAsiaTheme="minorEastAsia"/>
        </w:rPr>
      </w:pPr>
      <w:r>
        <w:t>Inflacija deluje kot skrita »negativna obrestna mera« na kupno moč. Še posebej problematična je v obdobjih nenadno višje inflacije. Takrat se varčevalci pogosto umikajo iz tveganih naložb v bolj predvidljive in likvidne oblike, kot so depoziti, varčevalni računi in kratkoročne obveznice. Pomembno je vedeti, da depozit redko premaga inflacijo – njegova vloga je predvsem zmanjšanje realne izgube in zagotavljanje stabilnosti.</w:t>
      </w:r>
    </w:p>
    <w:p w14:paraId="3153D979" w14:textId="77777777" w:rsidR="00832BE1" w:rsidRDefault="00832BE1">
      <w:pPr>
        <w:pStyle w:val="Heading2"/>
        <w:rPr>
          <w:rFonts w:eastAsia="Times New Roman"/>
        </w:rPr>
      </w:pPr>
      <w:r>
        <w:rPr>
          <w:rFonts w:eastAsia="Times New Roman"/>
        </w:rPr>
        <w:lastRenderedPageBreak/>
        <w:t>Depozit kot blažilnik tveganj in stabilizator portfelja</w:t>
      </w:r>
    </w:p>
    <w:p w14:paraId="78CAC913" w14:textId="77777777" w:rsidR="00832BE1" w:rsidRDefault="00832BE1">
      <w:pPr>
        <w:rPr>
          <w:rFonts w:eastAsiaTheme="minorEastAsia"/>
        </w:rPr>
      </w:pPr>
      <w:r>
        <w:t>Čeprav depozit pogosto ne preseže inflacije, ima v portfelju pomembno vlogo:</w:t>
      </w:r>
    </w:p>
    <w:p w14:paraId="1690E11B" w14:textId="77777777" w:rsidR="00832BE1" w:rsidRDefault="00832BE1" w:rsidP="00832BE1">
      <w:pPr>
        <w:numPr>
          <w:ilvl w:val="0"/>
          <w:numId w:val="54"/>
        </w:numPr>
        <w:spacing w:line="256" w:lineRule="auto"/>
        <w:rPr>
          <w:rFonts w:eastAsia="Times New Roman"/>
        </w:rPr>
      </w:pPr>
      <w:r>
        <w:rPr>
          <w:rFonts w:eastAsia="Times New Roman"/>
          <w:b/>
          <w:bCs/>
        </w:rPr>
        <w:t>Manjša realna erozija kot pri 0 %:</w:t>
      </w:r>
      <w:r>
        <w:rPr>
          <w:rFonts w:eastAsia="Times New Roman"/>
        </w:rPr>
        <w:t xml:space="preserve"> Depozit z obrestmi je boljša izbira kot sredstva na računu brez obrestovanja.</w:t>
      </w:r>
    </w:p>
    <w:p w14:paraId="4F187E62" w14:textId="77777777" w:rsidR="00832BE1" w:rsidRDefault="00832BE1" w:rsidP="00832BE1">
      <w:pPr>
        <w:numPr>
          <w:ilvl w:val="0"/>
          <w:numId w:val="54"/>
        </w:numPr>
        <w:spacing w:line="256" w:lineRule="auto"/>
        <w:rPr>
          <w:rFonts w:eastAsia="Times New Roman"/>
        </w:rPr>
      </w:pPr>
      <w:r>
        <w:rPr>
          <w:rFonts w:eastAsia="Times New Roman"/>
          <w:b/>
          <w:bCs/>
        </w:rPr>
        <w:t>Stabilizator portfelja:</w:t>
      </w:r>
      <w:r>
        <w:rPr>
          <w:rFonts w:eastAsia="Times New Roman"/>
        </w:rPr>
        <w:t xml:space="preserve"> Depoziti znižujejo volatilnost celotnega portfelja in zmanjšujejo možnost impulzivnih napak ob tržnih padcih.</w:t>
      </w:r>
    </w:p>
    <w:p w14:paraId="79B54A91" w14:textId="77777777" w:rsidR="00832BE1" w:rsidRDefault="00832BE1" w:rsidP="00832BE1">
      <w:pPr>
        <w:numPr>
          <w:ilvl w:val="0"/>
          <w:numId w:val="54"/>
        </w:numPr>
        <w:spacing w:line="256" w:lineRule="auto"/>
        <w:rPr>
          <w:rFonts w:eastAsia="Times New Roman"/>
        </w:rPr>
      </w:pPr>
      <w:r>
        <w:rPr>
          <w:rFonts w:eastAsia="Times New Roman"/>
          <w:b/>
          <w:bCs/>
        </w:rPr>
        <w:t>Likvidna rezerva za priložnosti:</w:t>
      </w:r>
      <w:r>
        <w:rPr>
          <w:rFonts w:eastAsia="Times New Roman"/>
        </w:rPr>
        <w:t xml:space="preserve"> Depoziti omogočajo hitro preusmerjanje sredstev v naložbene priložnosti.</w:t>
      </w:r>
    </w:p>
    <w:p w14:paraId="3AFA9C21" w14:textId="77777777" w:rsidR="00832BE1" w:rsidRDefault="00832BE1" w:rsidP="00832BE1">
      <w:pPr>
        <w:numPr>
          <w:ilvl w:val="0"/>
          <w:numId w:val="54"/>
        </w:numPr>
        <w:spacing w:line="256" w:lineRule="auto"/>
        <w:rPr>
          <w:rFonts w:eastAsia="Times New Roman"/>
        </w:rPr>
      </w:pPr>
      <w:r>
        <w:rPr>
          <w:rFonts w:eastAsia="Times New Roman"/>
          <w:b/>
          <w:bCs/>
        </w:rPr>
        <w:t>Ujemanje ročnosti z ciljem:</w:t>
      </w:r>
      <w:r>
        <w:rPr>
          <w:rFonts w:eastAsia="Times New Roman"/>
        </w:rPr>
        <w:t xml:space="preserve"> Depoziti nudijo predvidljivost, kar je včasih vrednejše od višjega, a bolj tveganega donosa.</w:t>
      </w:r>
    </w:p>
    <w:p w14:paraId="3B4476C7" w14:textId="77777777" w:rsidR="00832BE1" w:rsidRDefault="00832BE1">
      <w:pPr>
        <w:pStyle w:val="Heading2"/>
        <w:rPr>
          <w:rFonts w:eastAsia="Times New Roman"/>
        </w:rPr>
      </w:pPr>
      <w:r>
        <w:rPr>
          <w:rFonts w:eastAsia="Times New Roman"/>
        </w:rPr>
        <w:t>Praktični okvir razmišljanja: Primeri izračunov realne vrednosti</w:t>
      </w:r>
    </w:p>
    <w:p w14:paraId="4C8D937F" w14:textId="77777777" w:rsidR="00832BE1" w:rsidRDefault="00832BE1">
      <w:pPr>
        <w:rPr>
          <w:rFonts w:eastAsiaTheme="minorEastAsia"/>
        </w:rPr>
      </w:pPr>
      <w:r>
        <w:t>Za boljše razumevanje poglejmo praktičen primer:</w:t>
      </w:r>
    </w:p>
    <w:p w14:paraId="6E605BDB" w14:textId="77777777" w:rsidR="00832BE1" w:rsidRDefault="00832BE1" w:rsidP="00832BE1">
      <w:pPr>
        <w:numPr>
          <w:ilvl w:val="0"/>
          <w:numId w:val="55"/>
        </w:numPr>
        <w:spacing w:line="256" w:lineRule="auto"/>
        <w:rPr>
          <w:rFonts w:eastAsia="Times New Roman"/>
        </w:rPr>
      </w:pPr>
      <w:r>
        <w:rPr>
          <w:rFonts w:eastAsia="Times New Roman"/>
        </w:rPr>
        <w:t>Začetek: 10.000 €</w:t>
      </w:r>
    </w:p>
    <w:p w14:paraId="01B0CFE8" w14:textId="77777777" w:rsidR="00832BE1" w:rsidRDefault="00832BE1" w:rsidP="00832BE1">
      <w:pPr>
        <w:numPr>
          <w:ilvl w:val="0"/>
          <w:numId w:val="55"/>
        </w:numPr>
        <w:spacing w:line="256" w:lineRule="auto"/>
        <w:rPr>
          <w:rFonts w:eastAsia="Times New Roman"/>
        </w:rPr>
      </w:pPr>
      <w:r>
        <w:rPr>
          <w:rFonts w:eastAsia="Times New Roman"/>
        </w:rPr>
        <w:t>Depozit: 3 % letno (efektivno), kapitalizacija 1× letno</w:t>
      </w:r>
    </w:p>
    <w:p w14:paraId="7724A7C2" w14:textId="77777777" w:rsidR="00832BE1" w:rsidRDefault="00832BE1" w:rsidP="00832BE1">
      <w:pPr>
        <w:numPr>
          <w:ilvl w:val="0"/>
          <w:numId w:val="55"/>
        </w:numPr>
        <w:spacing w:line="256" w:lineRule="auto"/>
        <w:rPr>
          <w:rFonts w:eastAsia="Times New Roman"/>
        </w:rPr>
      </w:pPr>
      <w:r>
        <w:rPr>
          <w:rFonts w:eastAsia="Times New Roman"/>
        </w:rPr>
        <w:t>Inflacija: 5 % letno</w:t>
      </w:r>
    </w:p>
    <w:p w14:paraId="5444AB53" w14:textId="77777777" w:rsidR="00832BE1" w:rsidRDefault="00832BE1">
      <w:pPr>
        <w:rPr>
          <w:rFonts w:eastAsiaTheme="minorEastAsia"/>
        </w:rPr>
      </w:pPr>
      <w:r>
        <w:t>Po enem letu je nominalno stanje 10.300 €, a realna kupna moč je padla za približno 190 €. Če bi sredstva ostala na računu z 0 % obrestno mero, bi bila realna izguba še večja (približno 285,71 €). Depozit torej omili učinke inflacije, čeprav je realni donos negativen.</w:t>
      </w:r>
    </w:p>
    <w:p w14:paraId="696D64A5" w14:textId="77777777" w:rsidR="00832BE1" w:rsidRDefault="00832BE1">
      <w:pPr>
        <w:pStyle w:val="Heading2"/>
        <w:rPr>
          <w:rFonts w:eastAsia="Times New Roman"/>
        </w:rPr>
      </w:pPr>
      <w:r>
        <w:rPr>
          <w:rFonts w:eastAsia="Times New Roman"/>
        </w:rPr>
        <w:t>Kje depozit blesti in kje ni optimalen</w:t>
      </w:r>
    </w:p>
    <w:p w14:paraId="24BAF173" w14:textId="77777777" w:rsidR="00832BE1" w:rsidRDefault="00832BE1">
      <w:pPr>
        <w:rPr>
          <w:rFonts w:eastAsiaTheme="minorEastAsia"/>
        </w:rPr>
      </w:pPr>
      <w:r>
        <w:t>Depozit je najbolj primeren, ko potrebujemo zagotovljen in predvidljiv donos v krajšem ali srednjem roku, imamo nizko toleranco do tveganja, gradimo izredni sklad ali želimo stabilnost in razpršenost portfelja. Ni pa optimalen za dolgoročne cilje (5–10+ let), kjer je smiselno iskati višjo realno rast premoženja s pomočjo delniških ETF-jev ali globalno razpršenih naložb.</w:t>
      </w:r>
    </w:p>
    <w:p w14:paraId="32CD84A5" w14:textId="77777777" w:rsidR="00832BE1" w:rsidRDefault="00832BE1">
      <w:pPr>
        <w:pStyle w:val="Heading2"/>
        <w:rPr>
          <w:rFonts w:eastAsia="Times New Roman"/>
        </w:rPr>
      </w:pPr>
      <w:r>
        <w:rPr>
          <w:rFonts w:eastAsia="Times New Roman"/>
        </w:rPr>
        <w:t>Tveganja in drobni tisk pri depozitih</w:t>
      </w:r>
    </w:p>
    <w:p w14:paraId="11668CCE" w14:textId="77777777" w:rsidR="00832BE1" w:rsidRDefault="00832BE1">
      <w:pPr>
        <w:rPr>
          <w:rFonts w:eastAsiaTheme="minorEastAsia"/>
        </w:rPr>
      </w:pPr>
      <w:r>
        <w:t>Depoziti so nizkotvegani, a tveganje nikoli ni enako nič. Upoštevajte:</w:t>
      </w:r>
    </w:p>
    <w:p w14:paraId="26346CAA" w14:textId="77777777" w:rsidR="00832BE1" w:rsidRDefault="00832BE1" w:rsidP="00832BE1">
      <w:pPr>
        <w:numPr>
          <w:ilvl w:val="0"/>
          <w:numId w:val="56"/>
        </w:numPr>
        <w:spacing w:line="256" w:lineRule="auto"/>
        <w:rPr>
          <w:rFonts w:eastAsia="Times New Roman"/>
        </w:rPr>
      </w:pPr>
      <w:r>
        <w:rPr>
          <w:rFonts w:eastAsia="Times New Roman"/>
          <w:b/>
          <w:bCs/>
        </w:rPr>
        <w:t>Jamstvo za vloge:</w:t>
      </w:r>
      <w:r>
        <w:rPr>
          <w:rFonts w:eastAsia="Times New Roman"/>
        </w:rPr>
        <w:t xml:space="preserve"> V EU so vloge zavarovane do 100.000 € na vlagatelja in banko. Pri višjih zneskih razmislite o razpršitvi med bankami.</w:t>
      </w:r>
    </w:p>
    <w:p w14:paraId="44398794" w14:textId="77777777" w:rsidR="00832BE1" w:rsidRDefault="00832BE1" w:rsidP="00832BE1">
      <w:pPr>
        <w:numPr>
          <w:ilvl w:val="0"/>
          <w:numId w:val="56"/>
        </w:numPr>
        <w:spacing w:line="256" w:lineRule="auto"/>
        <w:rPr>
          <w:rFonts w:eastAsia="Times New Roman"/>
        </w:rPr>
      </w:pPr>
      <w:r>
        <w:rPr>
          <w:rFonts w:eastAsia="Times New Roman"/>
          <w:b/>
          <w:bCs/>
        </w:rPr>
        <w:t>Kreditno tveganje banke:</w:t>
      </w:r>
      <w:r>
        <w:rPr>
          <w:rFonts w:eastAsia="Times New Roman"/>
        </w:rPr>
        <w:t xml:space="preserve"> Izberite ugledne banke in razpršite večje vsote.</w:t>
      </w:r>
    </w:p>
    <w:p w14:paraId="6E132017" w14:textId="77777777" w:rsidR="00832BE1" w:rsidRDefault="00832BE1" w:rsidP="00832BE1">
      <w:pPr>
        <w:numPr>
          <w:ilvl w:val="0"/>
          <w:numId w:val="56"/>
        </w:numPr>
        <w:spacing w:line="256" w:lineRule="auto"/>
        <w:rPr>
          <w:rFonts w:eastAsia="Times New Roman"/>
        </w:rPr>
      </w:pPr>
      <w:r>
        <w:rPr>
          <w:rFonts w:eastAsia="Times New Roman"/>
          <w:b/>
          <w:bCs/>
        </w:rPr>
        <w:t>Obrestno tveganje:</w:t>
      </w:r>
      <w:r>
        <w:rPr>
          <w:rFonts w:eastAsia="Times New Roman"/>
        </w:rPr>
        <w:t xml:space="preserve"> Ob vezavi sredstev lahko zamudite kasnejše ugodnejše obresti. Pomaga lestev ročnosti.</w:t>
      </w:r>
    </w:p>
    <w:p w14:paraId="6EC2FEB3" w14:textId="77777777" w:rsidR="00832BE1" w:rsidRDefault="00832BE1" w:rsidP="00832BE1">
      <w:pPr>
        <w:numPr>
          <w:ilvl w:val="0"/>
          <w:numId w:val="56"/>
        </w:numPr>
        <w:spacing w:line="256" w:lineRule="auto"/>
        <w:rPr>
          <w:rFonts w:eastAsia="Times New Roman"/>
        </w:rPr>
      </w:pPr>
      <w:r>
        <w:rPr>
          <w:rFonts w:eastAsia="Times New Roman"/>
          <w:b/>
          <w:bCs/>
        </w:rPr>
        <w:t>Likvidnost in predčasni dvigi:</w:t>
      </w:r>
      <w:r>
        <w:rPr>
          <w:rFonts w:eastAsia="Times New Roman"/>
        </w:rPr>
        <w:t xml:space="preserve"> Preverite penale in pravila – predčasni dvig lahko pomeni izgubo obresti ali stroške.</w:t>
      </w:r>
    </w:p>
    <w:p w14:paraId="49B20C0B" w14:textId="77777777" w:rsidR="00832BE1" w:rsidRDefault="00832BE1" w:rsidP="00832BE1">
      <w:pPr>
        <w:numPr>
          <w:ilvl w:val="0"/>
          <w:numId w:val="56"/>
        </w:numPr>
        <w:spacing w:line="256" w:lineRule="auto"/>
        <w:rPr>
          <w:rFonts w:eastAsia="Times New Roman"/>
        </w:rPr>
      </w:pPr>
      <w:r>
        <w:rPr>
          <w:rFonts w:eastAsia="Times New Roman"/>
          <w:b/>
          <w:bCs/>
        </w:rPr>
        <w:t>Davčna obravnava:</w:t>
      </w:r>
      <w:r>
        <w:rPr>
          <w:rFonts w:eastAsia="Times New Roman"/>
        </w:rPr>
        <w:t xml:space="preserve"> Obresti so lahko obdavčene, zato primerjajte neto donose.</w:t>
      </w:r>
    </w:p>
    <w:p w14:paraId="4E84D4F1" w14:textId="77777777" w:rsidR="00832BE1" w:rsidRDefault="00832BE1">
      <w:pPr>
        <w:pStyle w:val="Heading2"/>
        <w:rPr>
          <w:rFonts w:eastAsia="Times New Roman"/>
        </w:rPr>
      </w:pPr>
      <w:r>
        <w:rPr>
          <w:rFonts w:eastAsia="Times New Roman"/>
        </w:rPr>
        <w:t>Praktična vključenost depozita v osebno finančno strategijo</w:t>
      </w:r>
    </w:p>
    <w:p w14:paraId="58E9FE50" w14:textId="77777777" w:rsidR="00832BE1" w:rsidRDefault="00832BE1">
      <w:pPr>
        <w:rPr>
          <w:rFonts w:eastAsiaTheme="minorEastAsia"/>
        </w:rPr>
      </w:pPr>
      <w:r>
        <w:t>Depozite je smiselno uporabiti za:</w:t>
      </w:r>
    </w:p>
    <w:p w14:paraId="23CE17F5" w14:textId="77777777" w:rsidR="00832BE1" w:rsidRDefault="00832BE1" w:rsidP="00832BE1">
      <w:pPr>
        <w:numPr>
          <w:ilvl w:val="0"/>
          <w:numId w:val="57"/>
        </w:numPr>
        <w:spacing w:line="256" w:lineRule="auto"/>
        <w:rPr>
          <w:rFonts w:eastAsia="Times New Roman"/>
        </w:rPr>
      </w:pPr>
      <w:r>
        <w:rPr>
          <w:rFonts w:eastAsia="Times New Roman"/>
          <w:b/>
          <w:bCs/>
        </w:rPr>
        <w:lastRenderedPageBreak/>
        <w:t>Izredni sklad:</w:t>
      </w:r>
      <w:r>
        <w:rPr>
          <w:rFonts w:eastAsia="Times New Roman"/>
        </w:rPr>
        <w:t xml:space="preserve"> 3–6 (ali 6–12) mesecev življenjskih stroškov, pogosto kombinacija varčevalnega računa in kratkih depozitov.</w:t>
      </w:r>
    </w:p>
    <w:p w14:paraId="3479E420" w14:textId="77777777" w:rsidR="00832BE1" w:rsidRDefault="00832BE1" w:rsidP="00832BE1">
      <w:pPr>
        <w:numPr>
          <w:ilvl w:val="0"/>
          <w:numId w:val="57"/>
        </w:numPr>
        <w:spacing w:line="256" w:lineRule="auto"/>
        <w:rPr>
          <w:rFonts w:eastAsia="Times New Roman"/>
        </w:rPr>
      </w:pPr>
      <w:r>
        <w:rPr>
          <w:rFonts w:eastAsia="Times New Roman"/>
          <w:b/>
          <w:bCs/>
        </w:rPr>
        <w:t>Kratkoročni cilji (1–3 leta):</w:t>
      </w:r>
      <w:r>
        <w:rPr>
          <w:rFonts w:eastAsia="Times New Roman"/>
        </w:rPr>
        <w:t xml:space="preserve"> Depozit je primarni nosilec zaradi predvidljivosti.</w:t>
      </w:r>
    </w:p>
    <w:p w14:paraId="43317C76" w14:textId="77777777" w:rsidR="00832BE1" w:rsidRDefault="00832BE1" w:rsidP="00832BE1">
      <w:pPr>
        <w:numPr>
          <w:ilvl w:val="0"/>
          <w:numId w:val="57"/>
        </w:numPr>
        <w:spacing w:line="256" w:lineRule="auto"/>
        <w:rPr>
          <w:rFonts w:eastAsia="Times New Roman"/>
        </w:rPr>
      </w:pPr>
      <w:r>
        <w:rPr>
          <w:rFonts w:eastAsia="Times New Roman"/>
          <w:b/>
          <w:bCs/>
        </w:rPr>
        <w:t>Stabilizator portfelja:</w:t>
      </w:r>
      <w:r>
        <w:rPr>
          <w:rFonts w:eastAsia="Times New Roman"/>
        </w:rPr>
        <w:t xml:space="preserve"> Za znižanje volatilnosti je priporočljivo določiti odstotek portfelja v depozitih (npr. 10–30 %).</w:t>
      </w:r>
    </w:p>
    <w:p w14:paraId="5C8096BA" w14:textId="77777777" w:rsidR="00832BE1" w:rsidRDefault="00832BE1">
      <w:pPr>
        <w:rPr>
          <w:rFonts w:eastAsiaTheme="minorEastAsia"/>
        </w:rPr>
      </w:pPr>
      <w:r>
        <w:t>Ujemajte ročnost s potrebami: kar bo potrebno v 3–6 mesecih, naj bo na varčevalnem računu ali v kratkoročnem depozitu; za sredstva, ki jih ne boste potrebovali leto ali dve, uporabite lestev depozitov.</w:t>
      </w:r>
    </w:p>
    <w:p w14:paraId="4C2351EF" w14:textId="77777777" w:rsidR="00832BE1" w:rsidRDefault="00832BE1">
      <w:r>
        <w:t>Primer uporabe »lestev«: 10.000 € razdelite na pet enakih depozitov po 2.000 € z ročnostmi 3, 6, 12, 18 in 24 mesecev. Tako redno zapada del sredstev, kar omogoča prilagajanje obrestnim meram in večjo likvidnost.</w:t>
      </w:r>
    </w:p>
    <w:p w14:paraId="020B1B0A" w14:textId="77777777" w:rsidR="00832BE1" w:rsidRDefault="00832BE1">
      <w:pPr>
        <w:pStyle w:val="Heading2"/>
        <w:rPr>
          <w:rFonts w:eastAsia="Times New Roman"/>
        </w:rPr>
      </w:pPr>
      <w:r>
        <w:rPr>
          <w:rFonts w:eastAsia="Times New Roman"/>
        </w:rPr>
        <w:t>Ilustrativen scenarij: tri poti za 20.000 € v okolju inflacije</w:t>
      </w:r>
    </w:p>
    <w:p w14:paraId="7F19009B" w14:textId="77777777" w:rsidR="00832BE1" w:rsidRDefault="00832BE1">
      <w:pPr>
        <w:rPr>
          <w:rFonts w:eastAsiaTheme="minorEastAsia"/>
        </w:rPr>
      </w:pPr>
      <w:r>
        <w:t>Predpostavimo, da imate 20.000 € in pričakujete inflacijo 4 % v naslednjih dveh letih. Tri možnosti:</w:t>
      </w:r>
    </w:p>
    <w:p w14:paraId="7D39406E" w14:textId="77777777" w:rsidR="00832BE1" w:rsidRDefault="00832BE1" w:rsidP="00832BE1">
      <w:pPr>
        <w:numPr>
          <w:ilvl w:val="0"/>
          <w:numId w:val="58"/>
        </w:numPr>
        <w:spacing w:line="256" w:lineRule="auto"/>
        <w:rPr>
          <w:rFonts w:eastAsia="Times New Roman"/>
        </w:rPr>
      </w:pPr>
      <w:r>
        <w:rPr>
          <w:rFonts w:eastAsia="Times New Roman"/>
          <w:b/>
          <w:bCs/>
        </w:rPr>
        <w:t>Vpogledni račun (0 %):</w:t>
      </w:r>
      <w:r>
        <w:rPr>
          <w:rFonts w:eastAsia="Times New Roman"/>
        </w:rPr>
        <w:t xml:space="preserve"> Po dveh letih nominalno 20.000 €, realna izguba kupne moči ~1.520 €.</w:t>
      </w:r>
    </w:p>
    <w:p w14:paraId="1869B220" w14:textId="77777777" w:rsidR="00832BE1" w:rsidRDefault="00832BE1" w:rsidP="00832BE1">
      <w:pPr>
        <w:numPr>
          <w:ilvl w:val="0"/>
          <w:numId w:val="58"/>
        </w:numPr>
        <w:spacing w:line="256" w:lineRule="auto"/>
        <w:rPr>
          <w:rFonts w:eastAsia="Times New Roman"/>
        </w:rPr>
      </w:pPr>
      <w:r>
        <w:rPr>
          <w:rFonts w:eastAsia="Times New Roman"/>
          <w:b/>
          <w:bCs/>
        </w:rPr>
        <w:t>2-letni depozit, 2,8 % EOM:</w:t>
      </w:r>
      <w:r>
        <w:rPr>
          <w:rFonts w:eastAsia="Times New Roman"/>
        </w:rPr>
        <w:t xml:space="preserve"> Realna izguba ~474 €, kar je bistveno manj kot pri 0 %.</w:t>
      </w:r>
    </w:p>
    <w:p w14:paraId="29E33A56" w14:textId="77777777" w:rsidR="00832BE1" w:rsidRDefault="00832BE1" w:rsidP="00832BE1">
      <w:pPr>
        <w:numPr>
          <w:ilvl w:val="0"/>
          <w:numId w:val="58"/>
        </w:numPr>
        <w:spacing w:line="256" w:lineRule="auto"/>
        <w:rPr>
          <w:rFonts w:eastAsia="Times New Roman"/>
        </w:rPr>
      </w:pPr>
      <w:r>
        <w:rPr>
          <w:rFonts w:eastAsia="Times New Roman"/>
          <w:b/>
          <w:bCs/>
        </w:rPr>
        <w:t>Lestev depozitov (povprečno 2,6–3,0 %):</w:t>
      </w:r>
      <w:r>
        <w:rPr>
          <w:rFonts w:eastAsia="Times New Roman"/>
        </w:rPr>
        <w:t xml:space="preserve"> Realna izguba ~400–550 €, z dodatno prednostjo vmesne likvidnosti in možnosti prilagoditve obrestnim meram.</w:t>
      </w:r>
    </w:p>
    <w:p w14:paraId="0D41BE60" w14:textId="77777777" w:rsidR="00832BE1" w:rsidRDefault="00832BE1">
      <w:pPr>
        <w:rPr>
          <w:rFonts w:eastAsiaTheme="minorEastAsia"/>
        </w:rPr>
      </w:pPr>
      <w:r>
        <w:t>Ključna poanta: depozit ne ustavi inflacije, a močno omili njene učinke v primerjavi z neobrestovanimi sredstvi.</w:t>
      </w:r>
    </w:p>
    <w:p w14:paraId="2E312724" w14:textId="77777777" w:rsidR="00832BE1" w:rsidRDefault="00832BE1">
      <w:pPr>
        <w:pStyle w:val="Heading2"/>
        <w:rPr>
          <w:rFonts w:eastAsia="Times New Roman"/>
        </w:rPr>
      </w:pPr>
      <w:r>
        <w:rPr>
          <w:rFonts w:eastAsia="Times New Roman"/>
        </w:rPr>
        <w:t>Povzetek in priporočila za varčevalce</w:t>
      </w:r>
    </w:p>
    <w:p w14:paraId="2EB767BF" w14:textId="77777777" w:rsidR="00832BE1" w:rsidRDefault="00832BE1" w:rsidP="00832BE1">
      <w:pPr>
        <w:numPr>
          <w:ilvl w:val="0"/>
          <w:numId w:val="59"/>
        </w:numPr>
        <w:spacing w:line="256" w:lineRule="auto"/>
        <w:rPr>
          <w:rFonts w:eastAsia="Times New Roman"/>
        </w:rPr>
      </w:pPr>
      <w:r>
        <w:rPr>
          <w:rFonts w:eastAsia="Times New Roman"/>
          <w:b/>
          <w:bCs/>
        </w:rPr>
        <w:t>Inflacija</w:t>
      </w:r>
      <w:r>
        <w:rPr>
          <w:rFonts w:eastAsia="Times New Roman"/>
        </w:rPr>
        <w:t xml:space="preserve"> je stalna realnost in deluje kot »negativna obrestna mera« na kupno moč.</w:t>
      </w:r>
    </w:p>
    <w:p w14:paraId="4D13D1CB" w14:textId="77777777" w:rsidR="00832BE1" w:rsidRDefault="00832BE1" w:rsidP="00832BE1">
      <w:pPr>
        <w:numPr>
          <w:ilvl w:val="0"/>
          <w:numId w:val="59"/>
        </w:numPr>
        <w:spacing w:line="256" w:lineRule="auto"/>
        <w:rPr>
          <w:rFonts w:eastAsia="Times New Roman"/>
        </w:rPr>
      </w:pPr>
      <w:r>
        <w:rPr>
          <w:rFonts w:eastAsia="Times New Roman"/>
          <w:b/>
          <w:bCs/>
        </w:rPr>
        <w:t>Depoziti</w:t>
      </w:r>
      <w:r>
        <w:rPr>
          <w:rFonts w:eastAsia="Times New Roman"/>
        </w:rPr>
        <w:t xml:space="preserve"> nudijo predvidljivost, varnost (ob jamstvu do določenega zneska) in stabilnost – so odlična protiutež v portfelju, čeprav redko premagajo inflacijo.</w:t>
      </w:r>
    </w:p>
    <w:p w14:paraId="0C64368F" w14:textId="77777777" w:rsidR="00832BE1" w:rsidRDefault="00832BE1" w:rsidP="00832BE1">
      <w:pPr>
        <w:numPr>
          <w:ilvl w:val="0"/>
          <w:numId w:val="59"/>
        </w:numPr>
        <w:spacing w:line="256" w:lineRule="auto"/>
        <w:rPr>
          <w:rFonts w:eastAsia="Times New Roman"/>
        </w:rPr>
      </w:pPr>
      <w:r>
        <w:rPr>
          <w:rFonts w:eastAsia="Times New Roman"/>
          <w:b/>
          <w:bCs/>
        </w:rPr>
        <w:t>Realna obrestna mera</w:t>
      </w:r>
      <w:r>
        <w:rPr>
          <w:rFonts w:eastAsia="Times New Roman"/>
        </w:rPr>
        <w:t xml:space="preserve"> je kompas za odločanje. Visoka inflacija lahko realne donose potisne pod ničlo, a depozit pogosto premaga 0 % alternativo.</w:t>
      </w:r>
    </w:p>
    <w:p w14:paraId="7B8DCF4E" w14:textId="77777777" w:rsidR="00832BE1" w:rsidRDefault="00832BE1" w:rsidP="00832BE1">
      <w:pPr>
        <w:numPr>
          <w:ilvl w:val="0"/>
          <w:numId w:val="59"/>
        </w:numPr>
        <w:spacing w:line="256" w:lineRule="auto"/>
        <w:rPr>
          <w:rFonts w:eastAsia="Times New Roman"/>
        </w:rPr>
      </w:pPr>
      <w:r>
        <w:rPr>
          <w:rFonts w:eastAsia="Times New Roman"/>
          <w:b/>
          <w:bCs/>
        </w:rPr>
        <w:t>Lestev depozitov</w:t>
      </w:r>
      <w:r>
        <w:rPr>
          <w:rFonts w:eastAsia="Times New Roman"/>
        </w:rPr>
        <w:t xml:space="preserve"> je praktična taktika za uravnoteženje donosa, likvidnosti in obrestnega tveganja.</w:t>
      </w:r>
    </w:p>
    <w:p w14:paraId="0A56EEDB" w14:textId="77777777" w:rsidR="00832BE1" w:rsidRDefault="00832BE1" w:rsidP="00832BE1">
      <w:pPr>
        <w:numPr>
          <w:ilvl w:val="0"/>
          <w:numId w:val="59"/>
        </w:numPr>
        <w:spacing w:line="256" w:lineRule="auto"/>
        <w:rPr>
          <w:rFonts w:eastAsia="Times New Roman"/>
        </w:rPr>
      </w:pPr>
      <w:r>
        <w:rPr>
          <w:rFonts w:eastAsia="Times New Roman"/>
          <w:b/>
          <w:bCs/>
        </w:rPr>
        <w:t>Ujemanje ročnosti s cilji</w:t>
      </w:r>
      <w:r>
        <w:rPr>
          <w:rFonts w:eastAsia="Times New Roman"/>
        </w:rPr>
        <w:t xml:space="preserve"> je ključno: kratkoročni cilji in izredni sklad so naravni teritorij depozitov, dolgoročna rast pa pripada razpršenim delniškim naložbam.</w:t>
      </w:r>
    </w:p>
    <w:p w14:paraId="4416036D" w14:textId="77777777" w:rsidR="00832BE1" w:rsidRDefault="00832BE1" w:rsidP="00832BE1">
      <w:pPr>
        <w:numPr>
          <w:ilvl w:val="0"/>
          <w:numId w:val="59"/>
        </w:numPr>
        <w:spacing w:line="256" w:lineRule="auto"/>
        <w:rPr>
          <w:rFonts w:eastAsia="Times New Roman"/>
        </w:rPr>
      </w:pPr>
      <w:r>
        <w:rPr>
          <w:rFonts w:eastAsia="Times New Roman"/>
        </w:rPr>
        <w:t xml:space="preserve">Vedno primerjajte </w:t>
      </w:r>
      <w:r>
        <w:rPr>
          <w:rFonts w:eastAsia="Times New Roman"/>
          <w:b/>
          <w:bCs/>
        </w:rPr>
        <w:t>neto donose</w:t>
      </w:r>
      <w:r>
        <w:rPr>
          <w:rFonts w:eastAsia="Times New Roman"/>
        </w:rPr>
        <w:t xml:space="preserve"> (po davkih in stroških), pazite na penale za predčasen dvig in razpršite sredstva med bankami za zneske nad jamstveno mejo.</w:t>
      </w:r>
    </w:p>
    <w:p w14:paraId="1B8E4B76" w14:textId="77777777" w:rsidR="00832BE1" w:rsidRDefault="00832BE1">
      <w:pPr>
        <w:pStyle w:val="Heading2"/>
        <w:rPr>
          <w:rFonts w:eastAsia="Times New Roman"/>
        </w:rPr>
      </w:pPr>
      <w:r>
        <w:rPr>
          <w:rFonts w:eastAsia="Times New Roman"/>
        </w:rPr>
        <w:t>Zaključek: Vloga depozita v sodobnem finančnem okolju</w:t>
      </w:r>
    </w:p>
    <w:p w14:paraId="3CF19FB2" w14:textId="77777777" w:rsidR="00832BE1" w:rsidRDefault="00832BE1">
      <w:pPr>
        <w:rPr>
          <w:rFonts w:eastAsiaTheme="minorEastAsia"/>
        </w:rPr>
      </w:pPr>
      <w:r>
        <w:t xml:space="preserve">V svetu, kjer so geopolitični, energetski in cenovni šoki pogostejši, je vgrajena stabilnost depozitov dragocena. Depozit ne bo čarobno razpustil inflacijskega pritiska, a bo ob pametni uporabi zavaroval del kupne moči, ohranil likvidnost za priložnosti in pomagal ohraniti disciplino </w:t>
      </w:r>
      <w:r>
        <w:lastRenderedPageBreak/>
        <w:t>v dolgoročni strategiji. Z drugimi besedami: depozit je temeljna opeka varnostnega zidu, ne pa celotna hiša. Pravilno vključen v portfelj ostaja zanesljiv blažilnik tveganj in stabilizator v negotovih časih.</w:t>
      </w:r>
    </w:p>
    <w:p w14:paraId="2D98B690" w14:textId="77777777" w:rsidR="001F30FD" w:rsidRDefault="001F30FD"/>
    <w:sectPr w:rsidR="001F3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77D"/>
    <w:multiLevelType w:val="multilevel"/>
    <w:tmpl w:val="B64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5A64"/>
    <w:multiLevelType w:val="multilevel"/>
    <w:tmpl w:val="D03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2028C"/>
    <w:multiLevelType w:val="multilevel"/>
    <w:tmpl w:val="D32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5D3"/>
    <w:multiLevelType w:val="multilevel"/>
    <w:tmpl w:val="C6A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B6191"/>
    <w:multiLevelType w:val="multilevel"/>
    <w:tmpl w:val="6B5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27E6C"/>
    <w:multiLevelType w:val="multilevel"/>
    <w:tmpl w:val="A350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D4E30"/>
    <w:multiLevelType w:val="multilevel"/>
    <w:tmpl w:val="84F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F6749"/>
    <w:multiLevelType w:val="multilevel"/>
    <w:tmpl w:val="3A0C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605F8"/>
    <w:multiLevelType w:val="multilevel"/>
    <w:tmpl w:val="582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A094F"/>
    <w:multiLevelType w:val="multilevel"/>
    <w:tmpl w:val="845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654E4"/>
    <w:multiLevelType w:val="multilevel"/>
    <w:tmpl w:val="0128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35E99"/>
    <w:multiLevelType w:val="multilevel"/>
    <w:tmpl w:val="C9C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F4A55"/>
    <w:multiLevelType w:val="multilevel"/>
    <w:tmpl w:val="D842E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269AC"/>
    <w:multiLevelType w:val="multilevel"/>
    <w:tmpl w:val="532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315D7"/>
    <w:multiLevelType w:val="multilevel"/>
    <w:tmpl w:val="F93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17445"/>
    <w:multiLevelType w:val="multilevel"/>
    <w:tmpl w:val="7E38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871B7"/>
    <w:multiLevelType w:val="multilevel"/>
    <w:tmpl w:val="91B4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C3E5C"/>
    <w:multiLevelType w:val="multilevel"/>
    <w:tmpl w:val="112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20581"/>
    <w:multiLevelType w:val="multilevel"/>
    <w:tmpl w:val="B63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E7FDE"/>
    <w:multiLevelType w:val="multilevel"/>
    <w:tmpl w:val="614C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F11AAF"/>
    <w:multiLevelType w:val="multilevel"/>
    <w:tmpl w:val="A3F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42B9C"/>
    <w:multiLevelType w:val="multilevel"/>
    <w:tmpl w:val="705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E2D04"/>
    <w:multiLevelType w:val="multilevel"/>
    <w:tmpl w:val="67C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F6AC9"/>
    <w:multiLevelType w:val="multilevel"/>
    <w:tmpl w:val="E9E8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3126EC"/>
    <w:multiLevelType w:val="multilevel"/>
    <w:tmpl w:val="DB4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7734B"/>
    <w:multiLevelType w:val="multilevel"/>
    <w:tmpl w:val="C7D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028CC"/>
    <w:multiLevelType w:val="multilevel"/>
    <w:tmpl w:val="CD6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D0615"/>
    <w:multiLevelType w:val="multilevel"/>
    <w:tmpl w:val="EF48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E25492"/>
    <w:multiLevelType w:val="multilevel"/>
    <w:tmpl w:val="46CA3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6A1FF5"/>
    <w:multiLevelType w:val="multilevel"/>
    <w:tmpl w:val="794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758FF"/>
    <w:multiLevelType w:val="multilevel"/>
    <w:tmpl w:val="FFE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430F2"/>
    <w:multiLevelType w:val="multilevel"/>
    <w:tmpl w:val="D550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35591"/>
    <w:multiLevelType w:val="multilevel"/>
    <w:tmpl w:val="AD1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45C8B"/>
    <w:multiLevelType w:val="multilevel"/>
    <w:tmpl w:val="2E56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F4875"/>
    <w:multiLevelType w:val="multilevel"/>
    <w:tmpl w:val="F0B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D4A4C"/>
    <w:multiLevelType w:val="multilevel"/>
    <w:tmpl w:val="365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5155A"/>
    <w:multiLevelType w:val="multilevel"/>
    <w:tmpl w:val="8D7E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ED64BC"/>
    <w:multiLevelType w:val="multilevel"/>
    <w:tmpl w:val="75C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86B0A"/>
    <w:multiLevelType w:val="multilevel"/>
    <w:tmpl w:val="7678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2F6EE3"/>
    <w:multiLevelType w:val="multilevel"/>
    <w:tmpl w:val="9C2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852D7"/>
    <w:multiLevelType w:val="multilevel"/>
    <w:tmpl w:val="AA40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C0F58"/>
    <w:multiLevelType w:val="multilevel"/>
    <w:tmpl w:val="BAD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25614"/>
    <w:multiLevelType w:val="multilevel"/>
    <w:tmpl w:val="1A7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0394A"/>
    <w:multiLevelType w:val="multilevel"/>
    <w:tmpl w:val="2A3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92850"/>
    <w:multiLevelType w:val="multilevel"/>
    <w:tmpl w:val="826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66087"/>
    <w:multiLevelType w:val="multilevel"/>
    <w:tmpl w:val="B3F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2D66D4"/>
    <w:multiLevelType w:val="multilevel"/>
    <w:tmpl w:val="1FC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263376"/>
    <w:multiLevelType w:val="multilevel"/>
    <w:tmpl w:val="01F4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E65BA8"/>
    <w:multiLevelType w:val="multilevel"/>
    <w:tmpl w:val="2530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F7566E"/>
    <w:multiLevelType w:val="multilevel"/>
    <w:tmpl w:val="05D8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23053A"/>
    <w:multiLevelType w:val="multilevel"/>
    <w:tmpl w:val="52D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A60F42"/>
    <w:multiLevelType w:val="multilevel"/>
    <w:tmpl w:val="02A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838D7"/>
    <w:multiLevelType w:val="multilevel"/>
    <w:tmpl w:val="B31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93D70"/>
    <w:multiLevelType w:val="multilevel"/>
    <w:tmpl w:val="7E5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85900"/>
    <w:multiLevelType w:val="multilevel"/>
    <w:tmpl w:val="4DF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E04BD0"/>
    <w:multiLevelType w:val="multilevel"/>
    <w:tmpl w:val="530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E6418"/>
    <w:multiLevelType w:val="multilevel"/>
    <w:tmpl w:val="90C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1935A0"/>
    <w:multiLevelType w:val="multilevel"/>
    <w:tmpl w:val="F90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B47541"/>
    <w:multiLevelType w:val="multilevel"/>
    <w:tmpl w:val="0E08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4234">
    <w:abstractNumId w:val="15"/>
  </w:num>
  <w:num w:numId="2" w16cid:durableId="1932085986">
    <w:abstractNumId w:val="33"/>
  </w:num>
  <w:num w:numId="3" w16cid:durableId="2121607347">
    <w:abstractNumId w:val="58"/>
  </w:num>
  <w:num w:numId="4" w16cid:durableId="1089430304">
    <w:abstractNumId w:val="5"/>
  </w:num>
  <w:num w:numId="5" w16cid:durableId="771441652">
    <w:abstractNumId w:val="3"/>
  </w:num>
  <w:num w:numId="6" w16cid:durableId="1188906082">
    <w:abstractNumId w:val="9"/>
  </w:num>
  <w:num w:numId="7" w16cid:durableId="1146169094">
    <w:abstractNumId w:val="8"/>
  </w:num>
  <w:num w:numId="8" w16cid:durableId="728577859">
    <w:abstractNumId w:val="56"/>
  </w:num>
  <w:num w:numId="9" w16cid:durableId="1644386566">
    <w:abstractNumId w:val="40"/>
  </w:num>
  <w:num w:numId="10" w16cid:durableId="1854417750">
    <w:abstractNumId w:val="53"/>
  </w:num>
  <w:num w:numId="11" w16cid:durableId="881868621">
    <w:abstractNumId w:val="25"/>
  </w:num>
  <w:num w:numId="12" w16cid:durableId="478156235">
    <w:abstractNumId w:val="11"/>
  </w:num>
  <w:num w:numId="13" w16cid:durableId="1497576792">
    <w:abstractNumId w:val="37"/>
  </w:num>
  <w:num w:numId="14" w16cid:durableId="760108918">
    <w:abstractNumId w:val="21"/>
  </w:num>
  <w:num w:numId="15" w16cid:durableId="908807305">
    <w:abstractNumId w:val="6"/>
  </w:num>
  <w:num w:numId="16" w16cid:durableId="643395299">
    <w:abstractNumId w:val="54"/>
  </w:num>
  <w:num w:numId="17" w16cid:durableId="841773190">
    <w:abstractNumId w:val="28"/>
  </w:num>
  <w:num w:numId="18" w16cid:durableId="285048425">
    <w:abstractNumId w:val="35"/>
  </w:num>
  <w:num w:numId="19" w16cid:durableId="866404622">
    <w:abstractNumId w:val="13"/>
  </w:num>
  <w:num w:numId="20" w16cid:durableId="1648976692">
    <w:abstractNumId w:val="26"/>
  </w:num>
  <w:num w:numId="21" w16cid:durableId="1317567437">
    <w:abstractNumId w:val="24"/>
  </w:num>
  <w:num w:numId="22" w16cid:durableId="631256525">
    <w:abstractNumId w:val="51"/>
  </w:num>
  <w:num w:numId="23" w16cid:durableId="253392914">
    <w:abstractNumId w:val="45"/>
  </w:num>
  <w:num w:numId="24" w16cid:durableId="1404645207">
    <w:abstractNumId w:val="47"/>
  </w:num>
  <w:num w:numId="25" w16cid:durableId="1945460970">
    <w:abstractNumId w:val="23"/>
  </w:num>
  <w:num w:numId="26" w16cid:durableId="828834703">
    <w:abstractNumId w:val="49"/>
  </w:num>
  <w:num w:numId="27" w16cid:durableId="243612765">
    <w:abstractNumId w:val="19"/>
  </w:num>
  <w:num w:numId="28" w16cid:durableId="1332945854">
    <w:abstractNumId w:val="32"/>
  </w:num>
  <w:num w:numId="29" w16cid:durableId="1782871987">
    <w:abstractNumId w:val="43"/>
  </w:num>
  <w:num w:numId="30" w16cid:durableId="977420769">
    <w:abstractNumId w:val="52"/>
  </w:num>
  <w:num w:numId="31" w16cid:durableId="1194077571">
    <w:abstractNumId w:val="31"/>
  </w:num>
  <w:num w:numId="32" w16cid:durableId="2078630328">
    <w:abstractNumId w:val="48"/>
  </w:num>
  <w:num w:numId="33" w16cid:durableId="1741563069">
    <w:abstractNumId w:val="46"/>
  </w:num>
  <w:num w:numId="34" w16cid:durableId="2113353373">
    <w:abstractNumId w:val="20"/>
  </w:num>
  <w:num w:numId="35" w16cid:durableId="1773746612">
    <w:abstractNumId w:val="34"/>
  </w:num>
  <w:num w:numId="36" w16cid:durableId="1084035707">
    <w:abstractNumId w:val="50"/>
  </w:num>
  <w:num w:numId="37" w16cid:durableId="1852523185">
    <w:abstractNumId w:val="57"/>
  </w:num>
  <w:num w:numId="38" w16cid:durableId="2061594296">
    <w:abstractNumId w:val="17"/>
  </w:num>
  <w:num w:numId="39" w16cid:durableId="226888145">
    <w:abstractNumId w:val="22"/>
  </w:num>
  <w:num w:numId="40" w16cid:durableId="707488030">
    <w:abstractNumId w:val="0"/>
  </w:num>
  <w:num w:numId="41" w16cid:durableId="16122528">
    <w:abstractNumId w:val="39"/>
  </w:num>
  <w:num w:numId="42" w16cid:durableId="929462537">
    <w:abstractNumId w:val="7"/>
  </w:num>
  <w:num w:numId="43" w16cid:durableId="287127213">
    <w:abstractNumId w:val="27"/>
  </w:num>
  <w:num w:numId="44" w16cid:durableId="1874489969">
    <w:abstractNumId w:val="12"/>
  </w:num>
  <w:num w:numId="45" w16cid:durableId="604117185">
    <w:abstractNumId w:val="1"/>
  </w:num>
  <w:num w:numId="46" w16cid:durableId="104153908">
    <w:abstractNumId w:val="55"/>
  </w:num>
  <w:num w:numId="47" w16cid:durableId="1080517952">
    <w:abstractNumId w:val="42"/>
  </w:num>
  <w:num w:numId="48" w16cid:durableId="317653829">
    <w:abstractNumId w:val="2"/>
  </w:num>
  <w:num w:numId="49" w16cid:durableId="706417283">
    <w:abstractNumId w:val="30"/>
  </w:num>
  <w:num w:numId="50" w16cid:durableId="692608390">
    <w:abstractNumId w:val="44"/>
  </w:num>
  <w:num w:numId="51" w16cid:durableId="1463882278">
    <w:abstractNumId w:val="16"/>
  </w:num>
  <w:num w:numId="52" w16cid:durableId="1832213245">
    <w:abstractNumId w:val="10"/>
  </w:num>
  <w:num w:numId="53" w16cid:durableId="836773535">
    <w:abstractNumId w:val="18"/>
  </w:num>
  <w:num w:numId="54" w16cid:durableId="293096274">
    <w:abstractNumId w:val="36"/>
  </w:num>
  <w:num w:numId="55" w16cid:durableId="1006401634">
    <w:abstractNumId w:val="14"/>
  </w:num>
  <w:num w:numId="56" w16cid:durableId="243539795">
    <w:abstractNumId w:val="4"/>
  </w:num>
  <w:num w:numId="57" w16cid:durableId="866219238">
    <w:abstractNumId w:val="29"/>
  </w:num>
  <w:num w:numId="58" w16cid:durableId="226577404">
    <w:abstractNumId w:val="38"/>
  </w:num>
  <w:num w:numId="59" w16cid:durableId="21485833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D9"/>
    <w:rsid w:val="000E574A"/>
    <w:rsid w:val="001255D4"/>
    <w:rsid w:val="001F30FD"/>
    <w:rsid w:val="0035378C"/>
    <w:rsid w:val="00362EFE"/>
    <w:rsid w:val="004368AC"/>
    <w:rsid w:val="004D3EEB"/>
    <w:rsid w:val="006D47D9"/>
    <w:rsid w:val="00726D60"/>
    <w:rsid w:val="00832BE1"/>
    <w:rsid w:val="00DF21A7"/>
    <w:rsid w:val="00DF7B5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E5C4"/>
  <w15:chartTrackingRefBased/>
  <w15:docId w15:val="{06D58A8B-4E43-46CB-BF1E-6DE9C5C46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D9"/>
    <w:rPr>
      <w:rFonts w:eastAsiaTheme="majorEastAsia" w:cstheme="majorBidi"/>
      <w:color w:val="272727" w:themeColor="text1" w:themeTint="D8"/>
    </w:rPr>
  </w:style>
  <w:style w:type="paragraph" w:styleId="Title">
    <w:name w:val="Title"/>
    <w:basedOn w:val="Normal"/>
    <w:next w:val="Normal"/>
    <w:link w:val="TitleChar"/>
    <w:uiPriority w:val="10"/>
    <w:qFormat/>
    <w:rsid w:val="006D4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D9"/>
    <w:pPr>
      <w:spacing w:before="160"/>
      <w:jc w:val="center"/>
    </w:pPr>
    <w:rPr>
      <w:i/>
      <w:iCs/>
      <w:color w:val="404040" w:themeColor="text1" w:themeTint="BF"/>
    </w:rPr>
  </w:style>
  <w:style w:type="character" w:customStyle="1" w:styleId="QuoteChar">
    <w:name w:val="Quote Char"/>
    <w:basedOn w:val="DefaultParagraphFont"/>
    <w:link w:val="Quote"/>
    <w:uiPriority w:val="29"/>
    <w:rsid w:val="006D47D9"/>
    <w:rPr>
      <w:i/>
      <w:iCs/>
      <w:color w:val="404040" w:themeColor="text1" w:themeTint="BF"/>
    </w:rPr>
  </w:style>
  <w:style w:type="paragraph" w:styleId="ListParagraph">
    <w:name w:val="List Paragraph"/>
    <w:basedOn w:val="Normal"/>
    <w:uiPriority w:val="34"/>
    <w:qFormat/>
    <w:rsid w:val="006D47D9"/>
    <w:pPr>
      <w:ind w:left="720"/>
      <w:contextualSpacing/>
    </w:pPr>
  </w:style>
  <w:style w:type="character" w:styleId="IntenseEmphasis">
    <w:name w:val="Intense Emphasis"/>
    <w:basedOn w:val="DefaultParagraphFont"/>
    <w:uiPriority w:val="21"/>
    <w:qFormat/>
    <w:rsid w:val="006D47D9"/>
    <w:rPr>
      <w:i/>
      <w:iCs/>
      <w:color w:val="0F4761" w:themeColor="accent1" w:themeShade="BF"/>
    </w:rPr>
  </w:style>
  <w:style w:type="paragraph" w:styleId="IntenseQuote">
    <w:name w:val="Intense Quote"/>
    <w:basedOn w:val="Normal"/>
    <w:next w:val="Normal"/>
    <w:link w:val="IntenseQuoteChar"/>
    <w:uiPriority w:val="30"/>
    <w:qFormat/>
    <w:rsid w:val="006D4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7D9"/>
    <w:rPr>
      <w:i/>
      <w:iCs/>
      <w:color w:val="0F4761" w:themeColor="accent1" w:themeShade="BF"/>
    </w:rPr>
  </w:style>
  <w:style w:type="character" w:styleId="IntenseReference">
    <w:name w:val="Intense Reference"/>
    <w:basedOn w:val="DefaultParagraphFont"/>
    <w:uiPriority w:val="32"/>
    <w:qFormat/>
    <w:rsid w:val="006D4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1128</Words>
  <Characters>6436</Characters>
  <Application>Microsoft Office Word</Application>
  <DocSecurity>0</DocSecurity>
  <Lines>53</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Sitar</dc:creator>
  <cp:keywords/>
  <dc:description/>
  <cp:lastModifiedBy>Ziga Sitar</cp:lastModifiedBy>
  <cp:revision>2</cp:revision>
  <dcterms:created xsi:type="dcterms:W3CDTF">2026-03-10T16:23:00Z</dcterms:created>
  <dcterms:modified xsi:type="dcterms:W3CDTF">2026-03-10T16:23:00Z</dcterms:modified>
</cp:coreProperties>
</file>