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9EB2E" w14:textId="265735BF" w:rsidR="00331DA7" w:rsidRPr="00331DA7" w:rsidRDefault="00331DA7" w:rsidP="00331DA7">
      <w:pPr>
        <w:rPr>
          <w:b/>
          <w:bCs/>
          <w:lang w:val="sl-SI"/>
        </w:rPr>
      </w:pPr>
      <w:r w:rsidRPr="00331DA7">
        <w:rPr>
          <w:b/>
          <w:bCs/>
          <w:lang w:val="sl-SI"/>
        </w:rPr>
        <w:t>Kredit 2026: kako izbrati pravi stanovanjski kredit, kakšne so obrestne mere in EOM</w:t>
      </w:r>
    </w:p>
    <w:p w14:paraId="5A4029B0" w14:textId="77777777" w:rsidR="00331DA7" w:rsidRPr="00331DA7" w:rsidRDefault="00331DA7" w:rsidP="00331DA7">
      <w:pPr>
        <w:rPr>
          <w:lang w:val="sl-SI"/>
        </w:rPr>
      </w:pPr>
      <w:r w:rsidRPr="00331DA7">
        <w:rPr>
          <w:lang w:val="sl-SI"/>
        </w:rPr>
        <w:t>Izbira stanovanjskega kredita v letu 2026 je zahtevnejša kot v kateremkoli obdobju zadnjega desetletja. Obrestne mere so po več letih nihanj končno prešle v fazo umirjanja, vendar to ne pomeni, da so banke prenehale prilagajati svoje ponudbe. Fiksne obrestne mere so se v začetku leta 2026 pri nekaterih bankah celo nekoliko zvišale, medtem ko se variabilne še naprej gibljejo skladno z EURIBOR</w:t>
      </w:r>
      <w:r w:rsidRPr="00331DA7">
        <w:rPr>
          <w:lang w:val="sl-SI"/>
        </w:rPr>
        <w:noBreakHyphen/>
        <w:t xml:space="preserve">jem, ki ostaja na povišanih ravneh. Banka Slovenije je decembra 2025 zapisala, da tržni udeleženci v letu 2026 </w:t>
      </w:r>
      <w:r w:rsidRPr="00331DA7">
        <w:rPr>
          <w:b/>
          <w:bCs/>
          <w:lang w:val="sl-SI"/>
        </w:rPr>
        <w:t>ne pričakujejo dodatnih znižanj ključnih obrestnih mer ECB</w:t>
      </w:r>
      <w:r w:rsidRPr="00331DA7">
        <w:rPr>
          <w:lang w:val="sl-SI"/>
        </w:rPr>
        <w:t>, temveč stabilizacijo na trenutnih ravneh . To pomeni, da se bo večina kreditnih pogojev v 2026 oblikovala okoli trenutnih vrednosti EURIBOR</w:t>
      </w:r>
      <w:r w:rsidRPr="00331DA7">
        <w:rPr>
          <w:lang w:val="sl-SI"/>
        </w:rPr>
        <w:noBreakHyphen/>
        <w:t>ja in marž bank, brez večjih presenečenj.</w:t>
      </w:r>
    </w:p>
    <w:p w14:paraId="6A8C26F1" w14:textId="77777777" w:rsidR="00331DA7" w:rsidRPr="00331DA7" w:rsidRDefault="00331DA7" w:rsidP="00331DA7">
      <w:pPr>
        <w:rPr>
          <w:lang w:val="sl-SI"/>
        </w:rPr>
      </w:pPr>
      <w:r w:rsidRPr="00331DA7">
        <w:rPr>
          <w:lang w:val="sl-SI"/>
        </w:rPr>
        <w:t>Pri izbiri kredita je zato ključno razumeti, kako se obrestne mere oblikujejo. Banka Slovenije mesečno objavlja statistiko obrestnih mer za nove posle gospodinjstev, kjer so vidni trendi gibanja fiksnih in variabilnih obrestnih mer. Obrestne mere so pomemben dejavnik, s katerim centralne banke vplivajo na cene, gospodarsko rast in stabilnost, in so eden ključnih elementov pri odločitvah gospodinjstev o zadolževanju . V začetku leta 2026 se povprečne fiksne obrestne mere za stanovanjske kredite gibljejo v območju med približno 3,3 % in 4,2 %, odvisno od ročnosti in banke, medtem ko so variabilne obrestne mere vezane na 6</w:t>
      </w:r>
      <w:r w:rsidRPr="00331DA7">
        <w:rPr>
          <w:lang w:val="sl-SI"/>
        </w:rPr>
        <w:noBreakHyphen/>
        <w:t>mesečni EURIBOR, ki se je v začetku leta stabiliziral nekoliko nad 3 %. To pomeni, da se variabilne obrestne mere za nove kredite najpogosteje gibljejo med 4,0 % in 4,6 %, saj banke dodajo svojo maržo.</w:t>
      </w:r>
    </w:p>
    <w:p w14:paraId="1DBEDBDF" w14:textId="77777777" w:rsidR="00331DA7" w:rsidRPr="00331DA7" w:rsidRDefault="00331DA7" w:rsidP="00331DA7">
      <w:pPr>
        <w:rPr>
          <w:lang w:val="sl-SI"/>
        </w:rPr>
      </w:pPr>
      <w:r w:rsidRPr="00331DA7">
        <w:rPr>
          <w:lang w:val="sl-SI"/>
        </w:rPr>
        <w:t>Razlika med fiksno in variabilno obrestno mero je v 2026 ponovno postala manj očitna. V letih 2022–2024 je bila variabilna obrestna mera pogosto občutno višja, zato so se ljudje množično odločali za fiksne kredite. Danes pa se je razkorak zmanjšal, kar pomeni, da je odločitev bolj odvisna od osebne tolerance do tveganja. Fiksna obrestna mera prinaša popolno predvidljivost, saj se mesečni obrok ne spremeni do konca odplačevanja. Variabilna obrestna mera pa lahko v prihodnjih letih pade, če bo ECB v 2027 ali 2028 začela znižanja, vendar lahko tudi naraste, če se inflacija ponovno okrepi. Ker Banka Slovenije opozarja, da bodo prihodnji koraki ECB odvisni predvsem od inflacijskih obetov in tveganj, je jasno, da je variabilna obrestna mera v 2026 še vedno tvegana izbira, čeprav ne tako ekstremna kot pred dvema letoma.</w:t>
      </w:r>
    </w:p>
    <w:p w14:paraId="3E05B834" w14:textId="77777777" w:rsidR="00331DA7" w:rsidRPr="00331DA7" w:rsidRDefault="00331DA7" w:rsidP="00331DA7">
      <w:pPr>
        <w:rPr>
          <w:lang w:val="sl-SI"/>
        </w:rPr>
      </w:pPr>
      <w:r w:rsidRPr="00331DA7">
        <w:rPr>
          <w:lang w:val="sl-SI"/>
        </w:rPr>
        <w:t xml:space="preserve">Pri primerjavi kreditov je najpomembnejši kazalnik </w:t>
      </w:r>
      <w:r w:rsidRPr="00331DA7">
        <w:rPr>
          <w:b/>
          <w:bCs/>
          <w:lang w:val="sl-SI"/>
        </w:rPr>
        <w:t>EOM – efektivna obrestna mera</w:t>
      </w:r>
      <w:r w:rsidRPr="00331DA7">
        <w:rPr>
          <w:lang w:val="sl-SI"/>
        </w:rPr>
        <w:t>, ki vključuje vse stroške kredita: obresti, stroške odobritve, stroške zavarovanja, stroške vodenja računa in druge dodatne stroške. EOM je zato najboljši način za primerjavo med bankami, saj razkrije dejansko ceno kredita. V praksi se lahko zgodi, da ima banka nižjo nominalno obrestno mero, a višji EOM zaradi visokih stroškov odobritve ali obveznega zavarovanja pri zunanji zavarovalnici. V letu 2026 se EOM za 20</w:t>
      </w:r>
      <w:r w:rsidRPr="00331DA7">
        <w:rPr>
          <w:lang w:val="sl-SI"/>
        </w:rPr>
        <w:noBreakHyphen/>
        <w:t>letne kredite najpogosteje giblje med 4,1 % in 4,8 %, pri čemer so razlike med bankami lahko precejšnje, zlasti pri višjih zneskih.</w:t>
      </w:r>
    </w:p>
    <w:p w14:paraId="7C787396" w14:textId="77777777" w:rsidR="00331DA7" w:rsidRPr="00331DA7" w:rsidRDefault="00331DA7" w:rsidP="00331DA7">
      <w:pPr>
        <w:rPr>
          <w:lang w:val="sl-SI"/>
        </w:rPr>
      </w:pPr>
      <w:r w:rsidRPr="00331DA7">
        <w:rPr>
          <w:lang w:val="sl-SI"/>
        </w:rPr>
        <w:t>Za boljši občutek si poglejmo konkreten primer. Če vzameš 150.000 € kredita za 20 let s fiksno obrestno mero 3,6 %, je mesečni obrok približno 880 €. Če je EOM zaradi stroškov odobritve in zavarovanja 4,1 %, se skupni strošek kredita poveča za več tisoč evrov. Pri variabilni obrestni meri 4,3 % je začetni obrok približno 920 €, vendar se lahko v prihodnjih letih zniža ali zviša. Če bi se EURIBOR v 2027 znižal za 1 odstotno točko, bi obrok padel za približno 70–80 €. Če bi se zvišal za 1 odstotno točko, bi obrok narasel za približno 80–90 €. To pomeni, da je variabilna obrestna mera v 2026 smiselna predvsem za tiste, ki imajo dovolj finančne rezerve, da prenesejo morebitna nihanja.</w:t>
      </w:r>
    </w:p>
    <w:p w14:paraId="33F73362" w14:textId="77777777" w:rsidR="00331DA7" w:rsidRPr="00331DA7" w:rsidRDefault="00331DA7" w:rsidP="00331DA7">
      <w:pPr>
        <w:rPr>
          <w:lang w:val="sl-SI"/>
        </w:rPr>
      </w:pPr>
      <w:r w:rsidRPr="00331DA7">
        <w:rPr>
          <w:lang w:val="sl-SI"/>
        </w:rPr>
        <w:t xml:space="preserve">Pomemben element pri izbiri kredita so tudi stroški zavarovanja. Večina bank ponuja tri možnosti: hipoteka, zavarovanje pri zavarovalnici ali kombinacija obojega. Hipoteka je običajno najcenejša, vendar zahteva vpis v zemljiško knjigo in cenitev nepremičnine. Zavarovanje pri zavarovalnici je </w:t>
      </w:r>
      <w:r w:rsidRPr="00331DA7">
        <w:rPr>
          <w:lang w:val="sl-SI"/>
        </w:rPr>
        <w:lastRenderedPageBreak/>
        <w:t>hitrejše, vendar dražje, saj se strošek zavarovanja lahko meri v odstotkih celotnega kredita. V letu 2026 se stroški zavarovanja pri nekaterih zavarovalnicah gibljejo med 1,5 % in 3 % vrednosti kredita, kar lahko pomeni več tisoč evrov dodatnih stroškov. Zato je pri primerjavi EOM ključno preveriti, ali je kredit zavarovan s hipoteko ali z zavarovalnico.</w:t>
      </w:r>
    </w:p>
    <w:p w14:paraId="2D7B140A" w14:textId="77777777" w:rsidR="00331DA7" w:rsidRPr="00331DA7" w:rsidRDefault="00331DA7" w:rsidP="00331DA7">
      <w:pPr>
        <w:rPr>
          <w:lang w:val="sl-SI"/>
        </w:rPr>
      </w:pPr>
      <w:r w:rsidRPr="00331DA7">
        <w:rPr>
          <w:lang w:val="sl-SI"/>
        </w:rPr>
        <w:t>Pri izbiri banke je pomembno tudi, kako hitro banka obravnava vlogo. V letu 2026 so razlike med bankami precejšnje. Nekatere banke vloge obravnavajo v enem tednu, druge potrebujejo tri do štiri tedne. Če kupuješ nepremičnino na trgu, kjer je hitrost ključna, je to lahko pomemben dejavnik. Prav tako je pomembno preveriti, ali banka zahteva odprtje transakcijskega računa, redno prilivanje plače ali sklenitev dodatnih produktov, kot so življenjsko zavarovanje, nezgodno zavarovanje ali varčevanje. Ti pogoji lahko vplivajo na končno ceno kredita, zato jih je treba vključiti v primerjavo.</w:t>
      </w:r>
    </w:p>
    <w:p w14:paraId="65BC8A83" w14:textId="77777777" w:rsidR="00331DA7" w:rsidRPr="00331DA7" w:rsidRDefault="00331DA7" w:rsidP="00331DA7">
      <w:pPr>
        <w:rPr>
          <w:lang w:val="sl-SI"/>
        </w:rPr>
      </w:pPr>
      <w:r w:rsidRPr="00331DA7">
        <w:rPr>
          <w:lang w:val="sl-SI"/>
        </w:rPr>
        <w:t>V letu 2026 se je povečalo tudi zanimanje za kredite z daljšo ročnostjo, na primer 25 ali 30 let. Daljša ročnost pomeni nižji mesečni obrok, vendar višji skupni strošek kredita. Če vzameš 150.000 € kredita za 30 let s fiksno obrestno mero 3,7 %, je mesečni obrok približno 690 €, kar je občutno manj kot pri 20</w:t>
      </w:r>
      <w:r w:rsidRPr="00331DA7">
        <w:rPr>
          <w:lang w:val="sl-SI"/>
        </w:rPr>
        <w:noBreakHyphen/>
        <w:t>letni ročnosti. Vendar se skupni strošek kredita poveča za več kot 40.000 €. Daljša ročnost je smiselna predvsem za tiste, ki želijo nižji mesečni obrok zaradi drugih finančnih obveznosti, vendar je treba biti pozoren na skupni strošek.</w:t>
      </w:r>
    </w:p>
    <w:p w14:paraId="0D1ABD5A" w14:textId="77777777" w:rsidR="00331DA7" w:rsidRPr="00331DA7" w:rsidRDefault="00331DA7" w:rsidP="00331DA7">
      <w:pPr>
        <w:rPr>
          <w:lang w:val="sl-SI"/>
        </w:rPr>
      </w:pPr>
      <w:r w:rsidRPr="00331DA7">
        <w:rPr>
          <w:lang w:val="sl-SI"/>
        </w:rPr>
        <w:t>Pri odločanju med bankami je koristno uporabiti kreditni kalkulator, ki omogoča izračun mesečnega obroka, skupnega stroška kredita in vpliva sprememb obrestne mere. Kalkulator je še posebej uporaben pri variabilnih kreditih, saj omogoča simulacijo različnih scenarijev gibanja EURIBOR</w:t>
      </w:r>
      <w:r w:rsidRPr="00331DA7">
        <w:rPr>
          <w:lang w:val="sl-SI"/>
        </w:rPr>
        <w:noBreakHyphen/>
        <w:t>ja. V letu 2026 je priporočljivo izračunati vsaj tri scenarije: stabilen EURIBOR, znižanje za 1 odstotno točko in zvišanje za 1 odstotno točko. Tako dobiš realen občutek, kako občutljiv je tvoj mesečni obrok.</w:t>
      </w:r>
    </w:p>
    <w:p w14:paraId="55DEDF8A" w14:textId="77777777" w:rsidR="00331DA7" w:rsidRPr="00331DA7" w:rsidRDefault="00331DA7" w:rsidP="00331DA7">
      <w:pPr>
        <w:rPr>
          <w:lang w:val="sl-SI"/>
        </w:rPr>
      </w:pPr>
      <w:r w:rsidRPr="00331DA7">
        <w:rPr>
          <w:lang w:val="sl-SI"/>
        </w:rPr>
        <w:t>Če povzamemo, je izbira stanovanjskega kredita v 2026 odvisna od treh ključnih dejavnikov: stabilnosti obrestnih mer, tvoje tolerance do tveganja in skupnega stroška kredita, izraženega skozi EOM. Fiksna obrestna mera je najboljša izbira za tiste, ki želijo popolno predvidljivost in stabilnost. Variabilna obrestna mera je primerna za tiste, ki verjamejo, da se bo EURIBOR v prihodnjih letih znižal, in imajo dovolj finančne rezerve za morebitna nihanja. EOM je najpomembnejši kazalnik za primerjavo med bankami, saj razkrije dejansko ceno kredita. Podatki Banke Slovenije kažejo, da se obrestne mere v 2026 stabilizirajo, vendar ostajajo na relativno visokih ravneh, kar pomeni, da je premišljena izbira kredita pomembnejša kot kadarkoli.</w:t>
      </w:r>
    </w:p>
    <w:p w14:paraId="341BE127" w14:textId="5DD41311" w:rsidR="004062EC" w:rsidRPr="00331DA7" w:rsidRDefault="004062EC" w:rsidP="00331DA7">
      <w:pPr>
        <w:rPr>
          <w:lang w:val="sl-SI"/>
        </w:rPr>
      </w:pPr>
    </w:p>
    <w:sectPr w:rsidR="004062EC" w:rsidRPr="00331D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15F89"/>
    <w:multiLevelType w:val="hybridMultilevel"/>
    <w:tmpl w:val="BE880D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ED86E08"/>
    <w:multiLevelType w:val="hybridMultilevel"/>
    <w:tmpl w:val="EE6E7D2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33421B64"/>
    <w:multiLevelType w:val="hybridMultilevel"/>
    <w:tmpl w:val="D40678A4"/>
    <w:lvl w:ilvl="0" w:tplc="4B28BBEC">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69400886">
    <w:abstractNumId w:val="0"/>
  </w:num>
  <w:num w:numId="2" w16cid:durableId="1516924495">
    <w:abstractNumId w:val="2"/>
  </w:num>
  <w:num w:numId="3" w16cid:durableId="652759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DA7"/>
    <w:rsid w:val="00331DA7"/>
    <w:rsid w:val="004062EC"/>
    <w:rsid w:val="004B561B"/>
    <w:rsid w:val="00AE15C3"/>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A3761"/>
  <w15:chartTrackingRefBased/>
  <w15:docId w15:val="{8F80104B-67E1-4751-B3C2-9FE88B494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D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1D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1D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D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D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D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1D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1D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D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D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DA7"/>
    <w:rPr>
      <w:rFonts w:eastAsiaTheme="majorEastAsia" w:cstheme="majorBidi"/>
      <w:color w:val="272727" w:themeColor="text1" w:themeTint="D8"/>
    </w:rPr>
  </w:style>
  <w:style w:type="paragraph" w:styleId="Title">
    <w:name w:val="Title"/>
    <w:basedOn w:val="Normal"/>
    <w:next w:val="Normal"/>
    <w:link w:val="TitleChar"/>
    <w:uiPriority w:val="10"/>
    <w:qFormat/>
    <w:rsid w:val="00331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DA7"/>
    <w:pPr>
      <w:spacing w:before="160"/>
      <w:jc w:val="center"/>
    </w:pPr>
    <w:rPr>
      <w:i/>
      <w:iCs/>
      <w:color w:val="404040" w:themeColor="text1" w:themeTint="BF"/>
    </w:rPr>
  </w:style>
  <w:style w:type="character" w:customStyle="1" w:styleId="QuoteChar">
    <w:name w:val="Quote Char"/>
    <w:basedOn w:val="DefaultParagraphFont"/>
    <w:link w:val="Quote"/>
    <w:uiPriority w:val="29"/>
    <w:rsid w:val="00331DA7"/>
    <w:rPr>
      <w:i/>
      <w:iCs/>
      <w:color w:val="404040" w:themeColor="text1" w:themeTint="BF"/>
    </w:rPr>
  </w:style>
  <w:style w:type="paragraph" w:styleId="ListParagraph">
    <w:name w:val="List Paragraph"/>
    <w:basedOn w:val="Normal"/>
    <w:uiPriority w:val="34"/>
    <w:qFormat/>
    <w:rsid w:val="00331DA7"/>
    <w:pPr>
      <w:ind w:left="720"/>
      <w:contextualSpacing/>
    </w:pPr>
  </w:style>
  <w:style w:type="character" w:styleId="IntenseEmphasis">
    <w:name w:val="Intense Emphasis"/>
    <w:basedOn w:val="DefaultParagraphFont"/>
    <w:uiPriority w:val="21"/>
    <w:qFormat/>
    <w:rsid w:val="00331DA7"/>
    <w:rPr>
      <w:i/>
      <w:iCs/>
      <w:color w:val="2F5496" w:themeColor="accent1" w:themeShade="BF"/>
    </w:rPr>
  </w:style>
  <w:style w:type="paragraph" w:styleId="IntenseQuote">
    <w:name w:val="Intense Quote"/>
    <w:basedOn w:val="Normal"/>
    <w:next w:val="Normal"/>
    <w:link w:val="IntenseQuoteChar"/>
    <w:uiPriority w:val="30"/>
    <w:qFormat/>
    <w:rsid w:val="00331D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DA7"/>
    <w:rPr>
      <w:i/>
      <w:iCs/>
      <w:color w:val="2F5496" w:themeColor="accent1" w:themeShade="BF"/>
    </w:rPr>
  </w:style>
  <w:style w:type="character" w:styleId="IntenseReference">
    <w:name w:val="Intense Reference"/>
    <w:basedOn w:val="DefaultParagraphFont"/>
    <w:uiPriority w:val="32"/>
    <w:qFormat/>
    <w:rsid w:val="00331D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1019</Words>
  <Characters>5812</Characters>
  <Application>Microsoft Office Word</Application>
  <DocSecurity>0</DocSecurity>
  <Lines>48</Lines>
  <Paragraphs>13</Paragraphs>
  <ScaleCrop>false</ScaleCrop>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Ziga Sitar</dc:creator>
  <cp:keywords/>
  <dc:description/>
  <cp:lastModifiedBy>Ziga Sitar</cp:lastModifiedBy>
  <cp:revision>1</cp:revision>
  <dcterms:created xsi:type="dcterms:W3CDTF">2026-03-14T17:54:00Z</dcterms:created>
  <dcterms:modified xsi:type="dcterms:W3CDTF">2026-03-14T18:00:00Z</dcterms:modified>
</cp:coreProperties>
</file>