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png" ContentType="image/png"/>
  <Override PartName="/word/media/image4.jpeg" ContentType="image/jpeg"/>
  <Override PartName="/word/media/image5.png" ContentType="image/png"/>
  <Override PartName="/word/media/image6.jpeg" ContentType="image/jpeg"/>
  <Override PartName="/word/media/image7.jpeg" ContentType="image/jpeg"/>
  <Override PartName="/word/media/image8.png" ContentType="image/png"/>
  <Override PartName="/word/charts/chart1.xml" ContentType="application/vnd.openxmlformats-officedocument.drawingml.chart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Медведев Семён Александрович</w:t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Лабораторная Работа №0</w:t>
      </w:r>
    </w:p>
    <w:p>
      <w:pPr>
        <w:pStyle w:val="Normal"/>
        <w:jc w:val="center"/>
        <w:rPr>
          <w:rFonts w:ascii="Times New Roman" w:hAnsi="Times New Roman" w:cs="Times New Roman"/>
          <w:i/>
          <w:i/>
          <w:sz w:val="32"/>
          <w:szCs w:val="32"/>
        </w:rPr>
      </w:pPr>
      <w:r>
        <w:rPr>
          <w:rFonts w:cs="Times New Roman" w:ascii="Times New Roman" w:hAnsi="Times New Roman"/>
          <w:i/>
          <w:sz w:val="32"/>
          <w:szCs w:val="32"/>
        </w:rPr>
        <w:t>Исследование гармонического сигнала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Цель работы: Исследовать гармонический сигнал разной частоты.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Оборудование: Осциллограф, генераторы переменного тока.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Порядок выполнения работы: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Подайте на один из входов осциллографа гармонический сигнал с генератора частотой 2-200 кГц. Запишите значение частоты, выдаваемой генератором. С помощью Осциллографа измерьте период и размах сигнала. ПО полученным с осциллографа данным вычислите частоты и амплитуду сигнала. Сравните данные генератора с результатами расчета на осциллографе. Снимите зависимость напряжения от времени по 15 точкам за период.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Постройте фигуры Лиссажу для гармонических сигналов с заданным соотношением частот. Для этого с помощью </w:t>
      </w:r>
      <w:r>
        <w:rPr>
          <w:rFonts w:cs="Times New Roman" w:ascii="Times New Roman" w:hAnsi="Times New Roman"/>
          <w:sz w:val="32"/>
          <w:szCs w:val="32"/>
          <w:lang w:val="en-US"/>
        </w:rPr>
        <w:t>Excel</w:t>
      </w:r>
      <w:r>
        <w:rPr>
          <w:rFonts w:cs="Times New Roman" w:ascii="Times New Roman" w:hAnsi="Times New Roman"/>
          <w:sz w:val="32"/>
          <w:szCs w:val="32"/>
        </w:rPr>
        <w:t xml:space="preserve"> смоделируйте два гармонических сигнала </w:t>
      </w:r>
      <w:r>
        <w:rPr>
          <w:rFonts w:cs="Times New Roman" w:ascii="Times New Roman" w:hAnsi="Times New Roman"/>
          <w:sz w:val="32"/>
          <w:szCs w:val="32"/>
          <w:lang w:val="en-US"/>
        </w:rPr>
        <w:t>U</w:t>
      </w:r>
      <w:r>
        <w:rPr>
          <w:rFonts w:cs="Times New Roman" w:ascii="Times New Roman" w:hAnsi="Times New Roman"/>
          <w:sz w:val="32"/>
          <w:szCs w:val="32"/>
          <w:vertAlign w:val="subscript"/>
        </w:rPr>
        <w:softHyphen/>
        <w:t>1</w:t>
        <w:softHyphen/>
        <w:softHyphen/>
      </w:r>
      <w:r>
        <w:rPr>
          <w:rFonts w:cs="Times New Roman" w:ascii="Times New Roman" w:hAnsi="Times New Roman"/>
          <w:sz w:val="32"/>
          <w:szCs w:val="32"/>
        </w:rPr>
        <w:t>(</w:t>
      </w:r>
      <w:r>
        <w:rPr>
          <w:rFonts w:cs="Times New Roman" w:ascii="Times New Roman" w:hAnsi="Times New Roman"/>
          <w:sz w:val="32"/>
          <w:szCs w:val="32"/>
          <w:lang w:val="en-US"/>
        </w:rPr>
        <w:t>t</w:t>
      </w:r>
      <w:r>
        <w:rPr>
          <w:rFonts w:cs="Times New Roman" w:ascii="Times New Roman" w:hAnsi="Times New Roman"/>
          <w:sz w:val="32"/>
          <w:szCs w:val="32"/>
        </w:rPr>
        <w:t xml:space="preserve">) и </w:t>
      </w:r>
      <w:r>
        <w:rPr>
          <w:rFonts w:cs="Times New Roman" w:ascii="Times New Roman" w:hAnsi="Times New Roman"/>
          <w:sz w:val="32"/>
          <w:szCs w:val="32"/>
          <w:lang w:val="en-US"/>
        </w:rPr>
        <w:t>U</w:t>
      </w:r>
      <w:r>
        <w:rPr>
          <w:rFonts w:cs="Times New Roman" w:ascii="Times New Roman" w:hAnsi="Times New Roman"/>
          <w:sz w:val="32"/>
          <w:szCs w:val="32"/>
          <w:vertAlign w:val="subscript"/>
        </w:rPr>
        <w:softHyphen/>
        <w:t>2</w:t>
        <w:softHyphen/>
      </w:r>
      <w:r>
        <w:rPr>
          <w:rFonts w:cs="Times New Roman" w:ascii="Times New Roman" w:hAnsi="Times New Roman"/>
          <w:sz w:val="32"/>
          <w:szCs w:val="32"/>
        </w:rPr>
        <w:t>(</w:t>
      </w:r>
      <w:r>
        <w:rPr>
          <w:rFonts w:cs="Times New Roman" w:ascii="Times New Roman" w:hAnsi="Times New Roman"/>
          <w:sz w:val="32"/>
          <w:szCs w:val="32"/>
          <w:lang w:val="en-US"/>
        </w:rPr>
        <w:t>t</w:t>
      </w:r>
      <w:r>
        <w:rPr>
          <w:rFonts w:cs="Times New Roman" w:ascii="Times New Roman" w:hAnsi="Times New Roman"/>
          <w:sz w:val="32"/>
          <w:szCs w:val="32"/>
        </w:rPr>
        <w:t>) с заданным соотношением частот, не сильно отличающимися амплитудами.</w:t>
        <w:br/>
        <w:t xml:space="preserve">На графике постройте множество точек </w:t>
      </w:r>
      <w:r>
        <w:rPr>
          <w:rFonts w:cs="Times New Roman" w:ascii="Times New Roman" w:hAnsi="Times New Roman"/>
          <w:sz w:val="32"/>
          <w:szCs w:val="32"/>
          <w:lang w:val="en-US"/>
        </w:rPr>
        <w:t>U</w:t>
        <w:softHyphen/>
      </w:r>
      <w:r>
        <w:rPr>
          <w:rFonts w:cs="Times New Roman" w:ascii="Times New Roman" w:hAnsi="Times New Roman"/>
          <w:sz w:val="32"/>
          <w:szCs w:val="32"/>
          <w:vertAlign w:val="subscript"/>
          <w:lang w:val="en-US"/>
        </w:rPr>
        <w:t>1</w:t>
      </w:r>
      <w:r>
        <w:rPr>
          <w:rFonts w:cs="Times New Roman" w:ascii="Times New Roman" w:hAnsi="Times New Roman"/>
          <w:sz w:val="32"/>
          <w:szCs w:val="32"/>
          <w:lang w:val="en-US"/>
        </w:rPr>
        <w:t>(U</w:t>
        <w:softHyphen/>
      </w:r>
      <w:r>
        <w:rPr>
          <w:rFonts w:cs="Times New Roman" w:ascii="Times New Roman" w:hAnsi="Times New Roman"/>
          <w:sz w:val="32"/>
          <w:szCs w:val="32"/>
          <w:vertAlign w:val="subscript"/>
          <w:lang w:val="en-US"/>
        </w:rPr>
        <w:t>2</w:t>
      </w:r>
      <w:r>
        <w:rPr>
          <w:rFonts w:cs="Times New Roman" w:ascii="Times New Roman" w:hAnsi="Times New Roman"/>
          <w:sz w:val="32"/>
          <w:szCs w:val="32"/>
          <w:lang w:val="en-US"/>
        </w:rPr>
        <w:t>)</w:t>
      </w:r>
      <w:r>
        <w:rPr>
          <w:rFonts w:cs="Times New Roman" w:ascii="Times New Roman" w:hAnsi="Times New Roman"/>
          <w:sz w:val="32"/>
          <w:szCs w:val="32"/>
        </w:rPr>
        <w:t xml:space="preserve"> значение </w:t>
      </w:r>
    </w:p>
    <w:p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mc:AlternateContent>
          <mc:Choice Requires="wps">
            <w:drawing>
              <wp:anchor behindDoc="0" distT="6350" distB="6350" distL="6985" distR="5715" simplePos="0" locked="0" layoutInCell="1" allowOverlap="1" relativeHeight="10">
                <wp:simplePos x="0" y="0"/>
                <wp:positionH relativeFrom="column">
                  <wp:posOffset>1024890</wp:posOffset>
                </wp:positionH>
                <wp:positionV relativeFrom="paragraph">
                  <wp:posOffset>214630</wp:posOffset>
                </wp:positionV>
                <wp:extent cx="1017905" cy="706120"/>
                <wp:effectExtent l="6985" t="6350" r="5715" b="6350"/>
                <wp:wrapNone/>
                <wp:docPr id="1" name="Прямоугольник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080" cy="70596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solidFill>
                            <a:srgbClr val="43729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Осциллограф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1" path="m0,0l-2147483645,0l-2147483645,-2147483646l0,-2147483646xe" fillcolor="#5b9bd5" stroked="t" o:allowincell="f" style="position:absolute;margin-left:80.7pt;margin-top:16.9pt;width:80.1pt;height:55.55pt;mso-wrap-style:square;v-text-anchor:middle">
                <v:fill o:detectmouseclick="t" type="solid" color2="#a4642a"/>
                <v:stroke color="#43729d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Осциллограф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985" distB="5715" distL="6350" distR="6350" simplePos="0" locked="0" layoutInCell="1" allowOverlap="1" relativeHeight="12">
                <wp:simplePos x="0" y="0"/>
                <wp:positionH relativeFrom="column">
                  <wp:posOffset>2464435</wp:posOffset>
                </wp:positionH>
                <wp:positionV relativeFrom="paragraph">
                  <wp:posOffset>214630</wp:posOffset>
                </wp:positionV>
                <wp:extent cx="1521460" cy="366395"/>
                <wp:effectExtent l="6350" t="6985" r="6350" b="5715"/>
                <wp:wrapNone/>
                <wp:docPr id="2" name="Прямоугольник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360" cy="36648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solidFill>
                            <a:srgbClr val="43729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Генератор Частот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2" path="m0,0l-2147483645,0l-2147483645,-2147483646l0,-2147483646xe" fillcolor="#5b9bd5" stroked="t" o:allowincell="f" style="position:absolute;margin-left:194.05pt;margin-top:16.9pt;width:119.75pt;height:28.8pt;mso-wrap-style:square;v-text-anchor:middle">
                <v:fill o:detectmouseclick="t" type="solid" color2="#a4642a"/>
                <v:stroke color="#43729d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Генератор Частот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sz w:val="32"/>
          <w:szCs w:val="32"/>
          <w:lang w:val="en-US"/>
        </w:rPr>
        <w:t>1:5</w:t>
      </w:r>
    </w:p>
    <w:p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mc:AlternateContent>
          <mc:Choice Requires="wps">
            <w:drawing>
              <wp:anchor behindDoc="0" distT="3810" distB="3175" distL="635" distR="1905" simplePos="0" locked="0" layoutInCell="1" allowOverlap="1" relativeHeight="17">
                <wp:simplePos x="0" y="0"/>
                <wp:positionH relativeFrom="column">
                  <wp:posOffset>2063750</wp:posOffset>
                </wp:positionH>
                <wp:positionV relativeFrom="paragraph">
                  <wp:posOffset>175895</wp:posOffset>
                </wp:positionV>
                <wp:extent cx="393700" cy="180975"/>
                <wp:effectExtent l="635" t="3810" r="1905" b="3175"/>
                <wp:wrapNone/>
                <wp:docPr id="3" name="Прямая со стрелкой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3840" cy="1810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Прямая со стрелкой 5" path="m0,0l-2147483648,-2147483647e" stroked="t" o:allowincell="f" style="position:absolute;margin-left:162.5pt;margin-top:13.85pt;width:30.95pt;height:14.2pt;flip:x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p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mc:AlternateContent>
          <mc:Choice Requires="wps">
            <w:drawing>
              <wp:anchor behindDoc="0" distT="6985" distB="5715" distL="6350" distR="6350" simplePos="0" locked="0" layoutInCell="1" allowOverlap="1" relativeHeight="14">
                <wp:simplePos x="0" y="0"/>
                <wp:positionH relativeFrom="column">
                  <wp:posOffset>2469515</wp:posOffset>
                </wp:positionH>
                <wp:positionV relativeFrom="paragraph">
                  <wp:posOffset>191770</wp:posOffset>
                </wp:positionV>
                <wp:extent cx="1516380" cy="394335"/>
                <wp:effectExtent l="6350" t="6985" r="6350" b="5715"/>
                <wp:wrapNone/>
                <wp:docPr id="4" name="Прямоугольник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20" cy="39420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solidFill>
                            <a:srgbClr val="43729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Генератор Частот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3" path="m0,0l-2147483645,0l-2147483645,-2147483646l0,-2147483646xe" fillcolor="#5b9bd5" stroked="t" o:allowincell="f" style="position:absolute;margin-left:194.45pt;margin-top:15.1pt;width:119.35pt;height:31pt;mso-wrap-style:square;v-text-anchor:middle">
                <v:fill o:detectmouseclick="t" type="solid" color2="#a4642a"/>
                <v:stroke color="#43729d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Генератор Частот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3175" distL="635" distR="1905" simplePos="0" locked="0" layoutInCell="1" allowOverlap="1" relativeHeight="16">
                <wp:simplePos x="0" y="0"/>
                <wp:positionH relativeFrom="column">
                  <wp:posOffset>2052320</wp:posOffset>
                </wp:positionH>
                <wp:positionV relativeFrom="paragraph">
                  <wp:posOffset>135890</wp:posOffset>
                </wp:positionV>
                <wp:extent cx="388620" cy="252095"/>
                <wp:effectExtent l="635" t="635" r="1905" b="3175"/>
                <wp:wrapNone/>
                <wp:docPr id="5" name="Прямая со стрелкой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88800" cy="25200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5b9bd5"/>
                          </a:solidFill>
                          <a:tail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Прямая со стрелкой 4" path="m0,0l-2147483648,-2147483647e" stroked="t" o:allowincell="f" style="position:absolute;margin-left:161.6pt;margin-top:10.7pt;width:30.55pt;height:19.8pt;flip:xy;mso-wrap-style:none;v-text-anchor:middle" type="_x0000_t32">
                <v:fill o:detectmouseclick="t" on="false"/>
                <v:stroke color="#5b9bd5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p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</w:r>
    </w:p>
    <w:p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/>
        <w:drawing>
          <wp:inline distT="0" distB="0" distL="0" distR="0">
            <wp:extent cx="4023995" cy="2263775"/>
            <wp:effectExtent l="0" t="0" r="0" b="0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99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eastAsia="" w:cs="Times New Roman" w:eastAsiaTheme="minorEastAsia"/>
          <w:sz w:val="32"/>
          <w:szCs w:val="32"/>
          <w:lang w:val="en-US"/>
        </w:rPr>
      </w:pPr>
      <w:r>
        <w:rPr>
          <w:rFonts w:cs="Times New Roman" w:ascii="Times New Roman" w:hAnsi="Times New Roman"/>
          <w:sz w:val="32"/>
          <w:szCs w:val="32"/>
          <w:lang w:val="en-US"/>
        </w:rPr>
        <w:tab/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τ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ϑ</m:t>
        </m:r>
      </m:oMath>
    </w:p>
    <w:p>
      <w:pPr>
        <w:pStyle w:val="Normal"/>
        <w:rPr>
          <w:rFonts w:ascii="Times New Roman" w:hAnsi="Times New Roman" w:eastAsia="" w:cs="Times New Roman" w:eastAsiaTheme="minorEastAsia"/>
          <w:sz w:val="32"/>
          <w:szCs w:val="32"/>
        </w:rPr>
      </w:pPr>
      <w:r>
        <w:rPr>
          <w:rFonts w:eastAsia="" w:cs="Times New Roman" w:ascii="Times New Roman" w:hAnsi="Times New Roman" w:eastAsiaTheme="minorEastAsia"/>
          <w:sz w:val="32"/>
          <w:szCs w:val="32"/>
          <w:lang w:val="en-US"/>
        </w:rPr>
        <w:tab/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τ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0.5</m:t>
        </m:r>
        <m:r>
          <w:rPr>
            <w:rFonts w:ascii="Cambria Math" w:hAnsi="Cambria Math"/>
          </w:rPr>
          <m:t xml:space="preserve">мс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0.5</m:t>
        </m:r>
        <m:r>
          <w:rPr>
            <w:rFonts w:ascii="Cambria Math" w:hAnsi="Cambria Math"/>
          </w:rPr>
          <m:t xml:space="preserve">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±</m:t>
        </m:r>
        <m:r>
          <w:rPr>
            <w:rFonts w:ascii="Cambria Math" w:hAnsi="Cambria Math"/>
          </w:rPr>
          <m:t xml:space="preserve">0.02</m:t>
        </m:r>
        <m:r>
          <w:rPr>
            <w:rFonts w:ascii="Cambria Math" w:hAnsi="Cambria Math"/>
          </w:rPr>
          <m:t xml:space="preserve">∗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c</m:t>
        </m:r>
      </m:oMath>
    </w:p>
    <w:p>
      <w:pPr>
        <w:pStyle w:val="Normal"/>
        <w:ind w:left="708"/>
        <w:rPr>
          <w:rFonts w:ascii="Times New Roman" w:hAnsi="Times New Roman" w:eastAsia="" w:cs="Times New Roman" w:eastAsiaTheme="minorEastAsia"/>
          <w:sz w:val="32"/>
          <w:szCs w:val="32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ϑ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±</m:t>
        </m:r>
        <m:r>
          <w:rPr>
            <w:rFonts w:ascii="Cambria Math" w:hAnsi="Cambria Math"/>
          </w:rPr>
          <m:t xml:space="preserve">8</m:t>
        </m:r>
        <m:r>
          <w:rPr>
            <w:rFonts w:ascii="Cambria Math" w:hAnsi="Cambria Math"/>
          </w:rPr>
          <m:t xml:space="preserve">Гц</m:t>
        </m:r>
      </m:oMath>
      <w:r>
        <w:rPr>
          <w:rFonts w:eastAsia="" w:cs="Times New Roman" w:ascii="Times New Roman" w:hAnsi="Times New Roman" w:eastAsiaTheme="minorEastAsia"/>
          <w:sz w:val="32"/>
          <w:szCs w:val="32"/>
        </w:rPr>
        <w:t xml:space="preserve"> ≈ </w:t>
      </w:r>
      <w:r>
        <w:rPr>
          <w:rFonts w:eastAsia="" w:cs="Times New Roman" w:ascii="Times New Roman" w:hAnsi="Times New Roman" w:eastAsiaTheme="minorEastAsia"/>
          <w:sz w:val="32"/>
          <w:szCs w:val="32"/>
        </w:rPr>
        <w:t>2.01 кГц (по генератору) – совпадает с данными на экране генератора.</w:t>
      </w:r>
    </w:p>
    <w:p>
      <w:pPr>
        <w:pStyle w:val="Normal"/>
        <w:rPr>
          <w:rFonts w:ascii="Times New Roman" w:hAnsi="Times New Roman" w:eastAsia="" w:cs="Times New Roman" w:eastAsiaTheme="minorEastAsia"/>
          <w:i/>
          <w:i/>
          <w:sz w:val="32"/>
          <w:szCs w:val="32"/>
          <w:lang w:val="en-US"/>
        </w:rPr>
      </w:pPr>
      <w:r>
        <w:rPr>
          <w:rFonts w:eastAsia="" w:cs="Times New Roman" w:ascii="Times New Roman" w:hAnsi="Times New Roman" w:eastAsiaTheme="minorEastAsia"/>
          <w:sz w:val="32"/>
          <w:szCs w:val="32"/>
        </w:rPr>
        <w:tab/>
      </w:r>
      <w:r>
        <w:rPr/>
        <w:drawing>
          <wp:inline distT="0" distB="0" distL="0" distR="0">
            <wp:extent cx="4570730" cy="2741930"/>
            <wp:effectExtent l="0" t="0" r="0" b="0"/>
            <wp:docPr id="7" name="Диаграмма 6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pPr>
        <w:pStyle w:val="Normal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rPr/>
      </w:pPr>
      <w:r>
        <w:rPr>
          <w:b/>
          <w:sz w:val="26"/>
        </w:rPr>
        <w:t>Измерение 2. Два канала. U1(U2)</w:t>
      </w:r>
    </w:p>
    <w:p>
      <w:pPr>
        <w:pStyle w:val="Normal"/>
        <w:rPr/>
      </w:pPr>
      <w:r>
        <w:rPr>
          <w:b w:val="false"/>
          <w:i w:val="false"/>
        </w:rPr>
        <w:t>К пункту 1 порядка выполнения работы: на вход Канала А и на вход Канала Б осциллографа одновременно поданы сигналы с двух генераторов переменного тока. Для каждого канала сняты параметры развёртки/чувствительности и по сетке экрана определена амплитуда; частота каждого сигнала принята по показаниям генератора.</w:t>
      </w:r>
    </w:p>
    <w:p>
      <w:pPr>
        <w:pStyle w:val="Normal"/>
        <w:rPr/>
      </w:pPr>
      <w:r>
        <w:rPr>
          <w:b/>
          <w:sz w:val="26"/>
        </w:rPr>
        <w:t>Канал А</w:t>
      </w:r>
    </w:p>
    <w:p>
      <w:pPr>
        <w:pStyle w:val="Normal"/>
        <w:rPr/>
      </w:pPr>
      <w:r>
        <w:rPr>
          <w:b w:val="false"/>
          <w:i w:val="false"/>
        </w:rPr>
        <w:t>Параметры осциллографа: чувствительность 5 мВ/дел, развёртка 0,1 мс/дел.</w:t>
      </w:r>
    </w:p>
    <w:p>
      <w:pPr>
        <w:pStyle w:val="Normal"/>
        <w:jc w:val="center"/>
        <w:rPr/>
      </w:pPr>
      <w:r>
        <w:rPr/>
        <w:drawing>
          <wp:anchor behindDoc="0" distT="0" distB="0" distL="114935" distR="114935" simplePos="0" locked="0" layoutInCell="0" allowOverlap="1" relativeHeight="7">
            <wp:simplePos x="0" y="0"/>
            <wp:positionH relativeFrom="column">
              <wp:posOffset>4090670</wp:posOffset>
            </wp:positionH>
            <wp:positionV relativeFrom="paragraph">
              <wp:posOffset>127000</wp:posOffset>
            </wp:positionV>
            <wp:extent cx="2286000" cy="1003935"/>
            <wp:effectExtent l="0" t="0" r="0" b="0"/>
            <wp:wrapSquare wrapText="largest"/>
            <wp:docPr id="8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1602" t="30366" r="10173" b="52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 w:val="false"/>
          <w:i w:val="false"/>
        </w:rPr>
        <w:t>По сетке экрана: размах сигнала U = 15.0 мВ (≈ 1,5 делений), амплитуда U0 = 7.50 мВ.</w:t>
      </w:r>
    </w:p>
    <w:p>
      <w:pPr>
        <w:pStyle w:val="Normal"/>
        <w:rPr/>
      </w:pPr>
      <w:r>
        <w:rPr>
          <w:b w:val="false"/>
          <w:i w:val="false"/>
        </w:rPr>
        <w:t>Частота (по генератору): ϑА = 200 Гц = 0.200 кГц. Период: τА = 1/ϑА = 5.000 мс.</w:t>
      </w:r>
    </w:p>
    <w:p>
      <w:pPr>
        <w:pStyle w:val="Normal"/>
        <w:rPr/>
      </w:pPr>
      <w:r>
        <w:rPr>
          <w:b w:val="false"/>
          <w:i w:val="false"/>
        </w:rPr>
        <w:t>15 точек зависимости U(t) за период (Канал А):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6"/>
        <w:gridCol w:w="585"/>
        <w:gridCol w:w="585"/>
        <w:gridCol w:w="585"/>
        <w:gridCol w:w="585"/>
        <w:gridCol w:w="586"/>
        <w:gridCol w:w="585"/>
        <w:gridCol w:w="585"/>
        <w:gridCol w:w="580"/>
      </w:tblGrid>
      <w:tr>
        <w:trPr>
          <w:trHeight w:val="360" w:hRule="atLeast"/>
        </w:trPr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№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5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6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7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8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12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14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15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t, мс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0.000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0.333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0.667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1.000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1.333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1.667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2.000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2.333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2.667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3.000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3.333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3.667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4.000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4.333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4.667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U, мВ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-6.63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-7.48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-7.04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-5.38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-2.79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0.29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3.31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5.76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7.22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7.42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6.35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4.17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1.28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-1.84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-4.64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3959860" cy="2303780"/>
            <wp:effectExtent l="0" t="0" r="0" b="0"/>
            <wp:docPr id="9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sz w:val="26"/>
        </w:rPr>
        <w:t>Канал Б</w:t>
      </w:r>
    </w:p>
    <w:p>
      <w:pPr>
        <w:pStyle w:val="Normal"/>
        <w:rPr/>
      </w:pPr>
      <w:r>
        <w:rPr>
          <w:b w:val="false"/>
          <w:i w:val="false"/>
        </w:rPr>
        <w:t>Параметры осциллографа: чувствительность 10 мВ/дел, развёртка 1 мс/дел.</w:t>
      </w:r>
    </w:p>
    <w:p>
      <w:pPr>
        <w:pStyle w:val="Normal"/>
        <w:rPr/>
      </w:pPr>
      <w:r>
        <w:drawing>
          <wp:anchor behindDoc="0" distT="0" distB="0" distL="114935" distR="114935" simplePos="0" locked="0" layoutInCell="0" allowOverlap="1" relativeHeight="8">
            <wp:simplePos x="0" y="0"/>
            <wp:positionH relativeFrom="column">
              <wp:posOffset>90170</wp:posOffset>
            </wp:positionH>
            <wp:positionV relativeFrom="paragraph">
              <wp:posOffset>-17780</wp:posOffset>
            </wp:positionV>
            <wp:extent cx="2619375" cy="1085850"/>
            <wp:effectExtent l="0" t="0" r="0" b="0"/>
            <wp:wrapSquare wrapText="largest"/>
            <wp:docPr id="10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980" t="25547" r="12165" b="55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i w:val="false"/>
        </w:rPr>
        <w:t>По сетке экрана: размах сигнала U = 80 мВ (4 деления), амплитуда U0 = 40 мВ.</w:t>
      </w:r>
    </w:p>
    <w:p>
      <w:pPr>
        <w:pStyle w:val="Normal"/>
        <w:rPr/>
      </w:pPr>
      <w:r>
        <w:rPr>
          <w:b w:val="false"/>
          <w:i w:val="false"/>
        </w:rPr>
        <w:t>Частота (по генератору): ϑБ = 1000 Гц = 1.00 кГц. Период: τБ = 1/ϑБ = 1.000 мс.</w:t>
      </w:r>
    </w:p>
    <w:p>
      <w:pPr>
        <w:pStyle w:val="Normal"/>
        <w:rPr/>
      </w:pPr>
      <w:r>
        <w:rPr>
          <w:b w:val="false"/>
          <w:i w:val="false"/>
        </w:rPr>
        <w:t>15 точек зависимости U(t) за период (Канал Б):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6"/>
        <w:gridCol w:w="585"/>
        <w:gridCol w:w="585"/>
        <w:gridCol w:w="585"/>
        <w:gridCol w:w="585"/>
        <w:gridCol w:w="586"/>
        <w:gridCol w:w="585"/>
        <w:gridCol w:w="585"/>
        <w:gridCol w:w="580"/>
      </w:tblGrid>
      <w:tr>
        <w:trPr/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№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5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6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7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8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9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11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12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14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15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t, мс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0.000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0.067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0.133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0.200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0.267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0.333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0.400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0.467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0.533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0.600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0.667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0.733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0.800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0.867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0.933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U, мВ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40.00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36.54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26.77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12.36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-4.18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-20.00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-32.36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-39.13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-39.13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-32.36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-20.00</w:t>
            </w:r>
          </w:p>
        </w:tc>
        <w:tc>
          <w:tcPr>
            <w:tcW w:w="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-4.18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12.36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26.77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16"/>
              </w:rPr>
              <w:t>36.54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3959860" cy="2303780"/>
            <wp:effectExtent l="0" t="0" r="0" b="0"/>
            <wp:docPr id="11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sz w:val="26"/>
        </w:rPr>
        <w:t>Построение фигуры Лиссажу</w:t>
      </w:r>
    </w:p>
    <w:p>
      <w:pPr>
        <w:pStyle w:val="Normal"/>
        <w:rPr/>
      </w:pPr>
      <w:r>
        <w:rPr>
          <w:b w:val="false"/>
          <w:i w:val="false"/>
        </w:rPr>
        <w:t>Использованы те же два сигнала, что и в Измерении 2: канал А (ϑА = 0.200 кГц, U0 = 7.50 мВ) и канал Б (ϑБ = 1.00 кГц, U0 = 40 мВ), соотношение частот ϑБ:ϑА = 5:1.</w:t>
      </w:r>
    </w:p>
    <w:p>
      <w:pPr>
        <w:pStyle w:val="Normal"/>
        <w:rPr/>
      </w:pPr>
      <w:r>
        <w:rPr>
          <w:b w:val="false"/>
          <w:i w:val="false"/>
        </w:rPr>
        <w:t>Реальная фигура Лиссажу, полученная на осциллографе в режиме X-Y (ϑБ ≈ 1 кГц, ϑА ≈ 0.2 кГц, соотношение ≈ 5:1):</w:t>
      </w:r>
    </w:p>
    <w:p>
      <w:pPr>
        <w:pStyle w:val="Normal"/>
        <w:jc w:val="center"/>
        <w:rPr/>
      </w:pPr>
      <w:r>
        <w:rPr/>
        <w:drawing>
          <wp:anchor behindDoc="0" distT="0" distB="0" distL="114935" distR="114935" simplePos="0" locked="0" layoutInCell="0" allowOverlap="1" relativeHeight="9">
            <wp:simplePos x="0" y="0"/>
            <wp:positionH relativeFrom="column">
              <wp:posOffset>61595</wp:posOffset>
            </wp:positionH>
            <wp:positionV relativeFrom="paragraph">
              <wp:posOffset>-720090</wp:posOffset>
            </wp:positionV>
            <wp:extent cx="2305050" cy="1115060"/>
            <wp:effectExtent l="0" t="0" r="0" b="0"/>
            <wp:wrapSquare wrapText="largest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3087" t="23252" r="46514" b="50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inline distT="0" distB="0" distL="0" distR="0">
            <wp:extent cx="6254750" cy="1519555"/>
            <wp:effectExtent l="0" t="0" r="0" b="0"/>
            <wp:docPr id="13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17535" r="0" b="39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75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>Фигура Лиссажу, построенная по приближённым синусоидам каналов А и Б (те же 15 точек, что и в таблице Канала А, см. Измерение 2):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679950" cy="3774440"/>
            <wp:effectExtent l="0" t="0" r="0" b="0"/>
            <wp:docPr id="14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>
          <w:i/>
        </w:rPr>
        <w:t>Красные точки — пары значений (U(канал А), U(канал Б)) в 15 равноотстоящих по фазе моментах времени за один период канала А; кривая получена по тем же приближённым синусоидам, что и графики каналов А и Б выше, поэтому точки точно лежат на ней.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e70ae3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83a2c"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chart" Target="charts/chart1.xml"/><Relationship Id="rId4" Type="http://schemas.openxmlformats.org/officeDocument/2006/relationships/image" Target="media/image2.jpeg"/><Relationship Id="rId5" Type="http://schemas.openxmlformats.org/officeDocument/2006/relationships/image" Target="media/image3.png"/><Relationship Id="rId6" Type="http://schemas.openxmlformats.org/officeDocument/2006/relationships/image" Target="media/image4.jpeg"/><Relationship Id="rId7" Type="http://schemas.openxmlformats.org/officeDocument/2006/relationships/image" Target="media/image5.pn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400" spc="-1" strike="noStrike">
                <a:solidFill>
                  <a:srgbClr val="595959"/>
                </a:solidFill>
                <a:latin typeface="Calibri"/>
              </a:defRPr>
            </a:pPr>
            <a:r>
              <a:rPr b="0" sz="1400" spc="-1" strike="noStrike">
                <a:solidFill>
                  <a:srgbClr val="595959"/>
                </a:solidFill>
                <a:latin typeface="Calibri"/>
              </a:rPr>
              <a:t>Chart Title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Series2</c:v>
                </c:pt>
              </c:strCache>
            </c:strRef>
          </c:tx>
          <c:spPr>
            <a:solidFill>
              <a:srgbClr val="5b9bd5"/>
            </a:solidFill>
            <a:ln cap="rnd" w="19080">
              <a:solidFill>
                <a:srgbClr val="5b9bd5"/>
              </a:solidFill>
              <a:round/>
            </a:ln>
          </c:spPr>
          <c:marker>
            <c:symbol val="circle"/>
            <c:size val="5"/>
            <c:spPr>
              <a:solidFill>
                <a:srgbClr val="5b9bd5"/>
              </a:solidFill>
            </c:spPr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Calibri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trendline>
            <c:spPr>
              <a:ln cap="rnd" w="19080">
                <a:solidFill>
                  <a:srgbClr val="5b9bd5"/>
                </a:solidFill>
                <a:prstDash val="sysDot"/>
                <a:round/>
              </a:ln>
            </c:spPr>
            <c:trendlineType val="linear"/>
            <c:forward val="0"/>
            <c:backward val="0"/>
            <c:dispRSqr val="0"/>
            <c:dispEq val="0"/>
          </c:trendline>
          <c:trendline>
            <c:spPr>
              <a:ln cap="rnd" w="19080">
                <a:solidFill>
                  <a:srgbClr val="5b9bd5"/>
                </a:solidFill>
                <a:prstDash val="sysDot"/>
                <a:round/>
              </a:ln>
            </c:spPr>
            <c:trendlineType val="poly"/>
            <c:order val="5"/>
            <c:forward val="0"/>
            <c:backward val="0"/>
            <c:dispRSqr val="0"/>
            <c:dispEq val="0"/>
          </c:trendline>
          <c:errBars>
            <c:errDir val="y"/>
            <c:errBarType val="both"/>
            <c:errValType val="fixedVal"/>
            <c:noEndCap val="0"/>
            <c:val val="0.5"/>
            <c:spPr>
              <a:ln w="9360">
                <a:solidFill>
                  <a:srgbClr val="595959"/>
                </a:solidFill>
                <a:round/>
              </a:ln>
            </c:spPr>
          </c:errBars>
          <c:errBars>
            <c:errDir val="x"/>
            <c:errBarType val="both"/>
            <c:errValType val="fixedVal"/>
            <c:noEndCap val="0"/>
            <c:val val="2E-005"/>
            <c:spPr>
              <a:ln w="9360">
                <a:solidFill>
                  <a:srgbClr val="595959"/>
                </a:solidFill>
                <a:round/>
              </a:ln>
            </c:spPr>
          </c:errBars>
          <c:xVal>
            <c:numRef>
              <c:f>1</c:f>
              <c:numCache>
                <c:formatCode>General</c:formatCode>
                <c:ptCount val="15"/>
                <c:pt idx="0">
                  <c:v>0.08</c:v>
                </c:pt>
                <c:pt idx="1">
                  <c:v>0.1</c:v>
                </c:pt>
                <c:pt idx="2">
                  <c:v>0.14</c:v>
                </c:pt>
                <c:pt idx="3">
                  <c:v>0.18</c:v>
                </c:pt>
                <c:pt idx="4">
                  <c:v>0.22</c:v>
                </c:pt>
                <c:pt idx="5">
                  <c:v>0.26</c:v>
                </c:pt>
                <c:pt idx="6">
                  <c:v>0.3</c:v>
                </c:pt>
                <c:pt idx="7">
                  <c:v>0.32</c:v>
                </c:pt>
                <c:pt idx="8">
                  <c:v>0.34</c:v>
                </c:pt>
                <c:pt idx="9">
                  <c:v>0.38</c:v>
                </c:pt>
                <c:pt idx="10">
                  <c:v>0.42</c:v>
                </c:pt>
                <c:pt idx="11">
                  <c:v>0.5</c:v>
                </c:pt>
                <c:pt idx="12">
                  <c:v>0.52</c:v>
                </c:pt>
                <c:pt idx="13">
                  <c:v>0.54</c:v>
                </c:pt>
                <c:pt idx="14">
                  <c:v>0.56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15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14</c:v>
                </c:pt>
                <c:pt idx="4">
                  <c:v>13</c:v>
                </c:pt>
                <c:pt idx="5">
                  <c:v>10</c:v>
                </c:pt>
                <c:pt idx="6">
                  <c:v>5</c:v>
                </c:pt>
                <c:pt idx="7">
                  <c:v>0</c:v>
                </c:pt>
                <c:pt idx="8">
                  <c:v>-5</c:v>
                </c:pt>
                <c:pt idx="9">
                  <c:v>-10</c:v>
                </c:pt>
                <c:pt idx="10">
                  <c:v>-14</c:v>
                </c:pt>
                <c:pt idx="11">
                  <c:v>-10</c:v>
                </c:pt>
                <c:pt idx="12">
                  <c:v>-9</c:v>
                </c:pt>
                <c:pt idx="13">
                  <c:v>-5</c:v>
                </c:pt>
                <c:pt idx="14">
                  <c:v>0</c:v>
                </c:pt>
              </c:numCache>
            </c:numRef>
          </c:yVal>
          <c:smooth val="0"/>
        </c:ser>
        <c:axId val="2678454"/>
        <c:axId val="96531334"/>
      </c:scatterChart>
      <c:valAx>
        <c:axId val="2678454"/>
        <c:scaling>
          <c:orientation val="minMax"/>
        </c:scaling>
        <c:delete val="0"/>
        <c:axPos val="b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9360">
            <a:solidFill>
              <a:srgbClr val="bfbfbf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595959"/>
                </a:solidFill>
                <a:latin typeface="Calibri"/>
              </a:defRPr>
            </a:pPr>
          </a:p>
        </c:txPr>
        <c:crossAx val="96531334"/>
        <c:crosses val="autoZero"/>
        <c:crossBetween val="midCat"/>
      </c:valAx>
      <c:valAx>
        <c:axId val="96531334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9360">
            <a:solidFill>
              <a:srgbClr val="bfbfbf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595959"/>
                </a:solidFill>
                <a:latin typeface="Calibri"/>
              </a:defRPr>
            </a:pPr>
          </a:p>
        </c:txPr>
        <c:crossAx val="2678454"/>
        <c:crosses val="autoZero"/>
        <c:crossBetween val="midCat"/>
      </c:valAx>
      <c:spPr>
        <a:noFill/>
        <a:ln w="0">
          <a:noFill/>
        </a:ln>
      </c:spPr>
    </c:plotArea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Application>LibreOffice/24.2.7.2$Linux_X86_64 LibreOffice_project/420$Build-2</Application>
  <AppVersion>15.0000</AppVersion>
  <Pages>4</Pages>
  <Words>508</Words>
  <Characters>2605</Characters>
  <CharactersWithSpaces>2992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2026-10-02T07:30:00Z</dcterms:created>
  <dc:creator>Семён Медведев</dc:creator>
  <dc:description/>
  <dc:language>en-US</dc:language>
  <cp:lastModifiedBy/>
  <dcterms:modified xsi:type="dcterms:W3CDTF">2026-10-12T18:17:35Z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