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i w:val="0"/>
          <w:color w:val="1F4E79"/>
          <w:sz w:val="56"/>
        </w:rPr>
        <w:t>Project Graph</w:t>
      </w:r>
    </w:p>
    <w:p>
      <w:pPr>
        <w:jc w:val="center"/>
      </w:pPr>
      <w:r>
        <w:rPr>
          <w:rFonts w:ascii="Noto Sans CJK SC" w:hAnsi="Noto Sans CJK SC" w:eastAsia="Noto Sans CJK SC"/>
          <w:b/>
          <w:i w:val="0"/>
          <w:color w:val="235F69"/>
          <w:sz w:val="48"/>
        </w:rPr>
        <w:t>设计与生成规范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646464"/>
          <w:sz w:val="28"/>
        </w:rPr>
        <w:t>v1.5 · 关系感知布局版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1F5"/>
            <w:tcBorders>
              <w:top w:val="single" w:sz="8" w:color="B5C9D8"/>
              <w:left w:val="single" w:sz="8" w:color="B5C9D8"/>
              <w:bottom w:val="single" w:sz="8" w:color="B5C9D8"/>
              <w:right w:val="single" w:sz="8" w:color="B5C9D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34664"/>
                <w:sz w:val="21"/>
              </w:rPr>
              <w:t>核心原则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先分区，后摆点；先留白，后连线；先语义，后装饰；先可读，后紧凑。</w:t>
              <w:br/>
              <w:t>不是“块之间不重叠”就够了，而是块、线、标签、Section 与 Hyperedge 边界都必须拥有安全活动空间。</w:t>
            </w:r>
          </w:p>
        </w:tc>
      </w:tr>
    </w:tbl>
    <w:p>
      <w:pPr>
        <w:spacing w:before="2400"/>
        <w:jc w:val="center"/>
      </w:pPr>
      <w:r>
        <w:rPr>
          <w:rFonts w:ascii="Noto Sans CJK SC" w:hAnsi="Noto Sans CJK SC" w:eastAsia="Noto Sans CJK SC"/>
          <w:b w:val="0"/>
          <w:i w:val="0"/>
          <w:color w:val="6E6E6E"/>
          <w:sz w:val="21"/>
        </w:rPr>
        <w:t>配套：Project Graph Architect Skill v1.0.0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828282"/>
          <w:sz w:val="20"/>
        </w:rPr>
        <w:t>目标格式：PRG metadata 2.7.0</w:t>
      </w:r>
    </w:p>
    <w:p>
      <w:r>
        <w:br w:type="page"/>
      </w:r>
    </w:p>
    <w:p>
      <w:pPr>
        <w:pStyle w:val="Heading1"/>
      </w:pPr>
      <w:r>
        <w:t>0. 文档定位</w:t>
      </w:r>
    </w:p>
    <w:p>
      <w:r>
        <w:rPr>
          <w:rFonts w:ascii="Noto Sans CJK SC" w:hAnsi="Noto Sans CJK SC" w:eastAsia="Noto Sans CJK SC"/>
          <w:b w:val="0"/>
          <w:i w:val="0"/>
        </w:rPr>
        <w:t>这份规范不是为了规定一种固定画风，而是把 Project Graph 的语义建模、原生原语选择、布局、连线路由、颜色、校验和交付过程统一成一套可复用的工程方法。Skill 是执行真源，本规范是人类可读的设计依据与验收标准。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DF4E8"/>
            <w:tcBorders>
              <w:top w:val="single" w:sz="8" w:color="B5C9D8"/>
              <w:left w:val="single" w:sz="8" w:color="B5C9D8"/>
              <w:bottom w:val="single" w:sz="8" w:color="B5C9D8"/>
              <w:right w:val="single" w:sz="8" w:color="B5C9D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34664"/>
                <w:sz w:val="21"/>
              </w:rPr>
              <w:t>交付目标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给定一段项目、思想、工作流、系统或比较关系，最终产物应是：语义正确、原语选择合理、可读、可继续编辑、Project Graph 可直接打开的 `.prg`。</w:t>
            </w:r>
          </w:p>
        </w:tc>
      </w:tr>
    </w:tbl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1. 设计目标与方法论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2. Project Graph 原生原语选择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3. 关系感知布局模型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4. 连线路由与标签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5. Section / Hyperedge / 子图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6. 颜色、对比度与视觉层级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7. PRG 2.7 工程格式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8. 生成工作流与二次松弛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9. QA 与失败判定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10. Skill 行为规范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11. 版本演进与后续计划</w:t>
      </w:r>
    </w:p>
    <w:p>
      <w:pPr>
        <w:pStyle w:val="Heading1"/>
      </w:pPr>
      <w:r>
        <w:t>1. 设计目标与方法论</w:t>
      </w:r>
    </w:p>
    <w:p>
      <w:pPr>
        <w:pStyle w:val="Heading2"/>
      </w:pPr>
      <w:r>
        <w:t>1.1 四个优先级</w:t>
      </w:r>
    </w:p>
    <w:p>
      <w:r>
        <w:rPr>
          <w:rFonts w:ascii="Noto Sans CJK SC" w:hAnsi="Noto Sans CJK SC" w:eastAsia="Noto Sans CJK SC"/>
          <w:b/>
          <w:i w:val="0"/>
        </w:rPr>
        <w:t>语义优先：</w:t>
      </w:r>
      <w:r>
        <w:rPr>
          <w:rFonts w:ascii="Noto Sans CJK SC" w:hAnsi="Noto Sans CJK SC" w:eastAsia="Noto Sans CJK SC"/>
          <w:b w:val="0"/>
          <w:i w:val="0"/>
        </w:rPr>
        <w:t>先明确“这是什么、与谁有什么关系”，再考虑坐标。图在没有美化前就应当语义自洽。</w:t>
      </w:r>
    </w:p>
    <w:p>
      <w:r>
        <w:rPr>
          <w:rFonts w:ascii="Noto Sans CJK SC" w:hAnsi="Noto Sans CJK SC" w:eastAsia="Noto Sans CJK SC"/>
          <w:b/>
          <w:i w:val="0"/>
        </w:rPr>
        <w:t>可读优先：</w:t>
      </w:r>
      <w:r>
        <w:rPr>
          <w:rFonts w:ascii="Noto Sans CJK SC" w:hAnsi="Noto Sans CJK SC" w:eastAsia="Noto Sans CJK SC"/>
          <w:b w:val="0"/>
          <w:i w:val="0"/>
        </w:rPr>
        <w:t>位置不需要节省。图更大可以接受，关系线、标签、节点叠在一起不能接受。</w:t>
      </w:r>
    </w:p>
    <w:p>
      <w:r>
        <w:rPr>
          <w:rFonts w:ascii="Noto Sans CJK SC" w:hAnsi="Noto Sans CJK SC" w:eastAsia="Noto Sans CJK SC"/>
          <w:b/>
          <w:i w:val="0"/>
        </w:rPr>
        <w:t>原生优先：</w:t>
      </w:r>
      <w:r>
        <w:rPr>
          <w:rFonts w:ascii="Noto Sans CJK SC" w:hAnsi="Noto Sans CJK SC" w:eastAsia="Noto Sans CJK SC"/>
          <w:b w:val="0"/>
          <w:i w:val="0"/>
        </w:rPr>
        <w:t>能用 Project Graph 的原生 Section、ArcEdge、Hyperedge、SyncAssociation、ReferenceBlock 表达，就不要退化成纯装饰。</w:t>
      </w:r>
    </w:p>
    <w:p>
      <w:r>
        <w:rPr>
          <w:rFonts w:ascii="Noto Sans CJK SC" w:hAnsi="Noto Sans CJK SC" w:eastAsia="Noto Sans CJK SC"/>
          <w:b/>
          <w:i w:val="0"/>
        </w:rPr>
        <w:t>验证优先：</w:t>
      </w:r>
      <w:r>
        <w:rPr>
          <w:rFonts w:ascii="Noto Sans CJK SC" w:hAnsi="Noto Sans CJK SC" w:eastAsia="Noto Sans CJK SC"/>
          <w:b w:val="0"/>
          <w:i w:val="0"/>
        </w:rPr>
        <w:t>能打开不等于合格。必须经过结构校验、几何审计和至少一轮 post-routing cleanup。</w:t>
      </w:r>
    </w:p>
    <w:p>
      <w:pPr>
        <w:pStyle w:val="Heading2"/>
      </w:pPr>
      <w:r>
        <w:t>1.2 认知与人体工学目标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用户第一眼先看到大结构，而不是先看到乱线。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重要阅读路径尽量单向、稳定、少折返。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颜色承担语义，但不能牺牲深浅主题下的易读性。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如果用户需要停下来猜“这串字属于哪根线”，布局即失败。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留白既是美学空间，也是关系表达的交通空间。</w:t>
      </w:r>
    </w:p>
    <w:p>
      <w:pPr>
        <w:pStyle w:val="Heading1"/>
      </w:pPr>
      <w:r>
        <w:t>2. Project Graph 原生原语选择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2"/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原语</w:t>
            </w:r>
          </w:p>
        </w:tc>
        <w:tc>
          <w:tcPr>
            <w:tcW w:type="dxa" w:w="2493"/>
            <w:shd w:fill="D9EAF2"/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适用</w:t>
            </w:r>
          </w:p>
        </w:tc>
        <w:tc>
          <w:tcPr>
            <w:tcW w:type="dxa" w:w="2493"/>
            <w:shd w:fill="D9EAF2"/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不适用</w:t>
            </w:r>
          </w:p>
        </w:tc>
        <w:tc>
          <w:tcPr>
            <w:tcW w:type="dxa" w:w="2493"/>
            <w:shd w:fill="D9EAF2"/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设计提醒</w:t>
            </w:r>
          </w:p>
        </w:tc>
      </w:tr>
      <w:tr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TextNode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实体、概念、状态、原则、规则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把每句说明都做节点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标题短；长解释进入 Details</w:t>
            </w:r>
          </w:p>
        </w:tc>
      </w:tr>
      <w:tr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LineEdge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普通单向语义关系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双向关系的两条边叠成一条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在线上写明确关系词；保留箭头前后可见线段</w:t>
            </w:r>
          </w:p>
        </w:tc>
      </w:tr>
      <w:tr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ArcEdge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反馈、回流、反向、绕障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主链全部弯曲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主链直、回流弯；长距离优先外圈</w:t>
            </w:r>
          </w:p>
        </w:tc>
      </w:tr>
      <w:tr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Hyperedge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真实多元共同关系 / 群组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装饰框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群组备注应优先通过成员位置和 padding 留空</w:t>
            </w:r>
          </w:p>
        </w:tc>
      </w:tr>
      <w:tr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Section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可折叠语义模块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纯背景色块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标题下方必须留标题带</w:t>
            </w:r>
          </w:p>
        </w:tc>
      </w:tr>
      <w:tr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SyncAssociation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同一概念的多个视图实例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普通相似 / 相关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只同步真正相同的概念</w:t>
            </w:r>
          </w:p>
        </w:tc>
      </w:tr>
      <w:tr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ReferenceBlock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独立复杂子图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为了省空间随便拆图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适合可独立维护、打开、复用的模块</w:t>
            </w:r>
          </w:p>
        </w:tc>
      </w:tr>
      <w:tr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Details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长解释、证据、边界条件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核心身份与关系</w:t>
            </w:r>
          </w:p>
        </w:tc>
        <w:tc>
          <w:tcPr>
            <w:tcW w:type="dxa" w:w="2493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用于降低画布文字密度</w:t>
            </w:r>
          </w:p>
        </w:tc>
      </w:tr>
    </w:tbl>
    <w:p>
      <w:pPr>
        <w:pStyle w:val="Heading2"/>
      </w:pPr>
      <w:r>
        <w:t>2.1 一条关键原则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3D9"/>
            <w:tcBorders>
              <w:top w:val="single" w:sz="8" w:color="B5C9D8"/>
              <w:left w:val="single" w:sz="8" w:color="B5C9D8"/>
              <w:bottom w:val="single" w:sz="8" w:color="B5C9D8"/>
              <w:right w:val="single" w:sz="8" w:color="B5C9D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34664"/>
                <w:sz w:val="21"/>
              </w:rPr>
              <w:t>不要为了修布局破坏语义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如果一段文字本来是“整个 Hyperedge 的备注”，优先通过移动成员、扩大 padding、移动整组来制造空白区；不要第一反应把它变成一个假的独立节点。</w:t>
            </w:r>
          </w:p>
        </w:tc>
      </w:tr>
    </w:tbl>
    <w:p>
      <w:pPr>
        <w:pStyle w:val="Heading1"/>
      </w:pPr>
      <w:r>
        <w:t>3. 关系感知布局模型</w:t>
      </w:r>
    </w:p>
    <w:p>
      <w:pPr>
        <w:pStyle w:val="Heading2"/>
      </w:pPr>
      <w:r>
        <w:t>3.1 节点不是只有一个矩形</w:t>
      </w:r>
    </w:p>
    <w:p>
      <w:r>
        <w:rPr>
          <w:rFonts w:ascii="Noto Sans CJK SC" w:hAnsi="Noto Sans CJK SC" w:eastAsia="Noto Sans CJK SC"/>
          <w:b/>
          <w:i w:val="0"/>
          <w:color w:val="1F4E79"/>
        </w:rPr>
        <w:t>Content Box</w:t>
      </w:r>
      <w:r>
        <w:rPr>
          <w:rFonts w:ascii="Noto Sans CJK SC" w:hAnsi="Noto Sans CJK SC" w:eastAsia="Noto Sans CJK SC"/>
          <w:b w:val="0"/>
          <w:i w:val="0"/>
        </w:rPr>
        <w:t xml:space="preserve"> — 节点真实边界，承载文字。</w:t>
      </w:r>
    </w:p>
    <w:p>
      <w:r>
        <w:rPr>
          <w:rFonts w:ascii="Noto Sans CJK SC" w:hAnsi="Noto Sans CJK SC" w:eastAsia="Noto Sans CJK SC"/>
          <w:b/>
          <w:i w:val="0"/>
          <w:color w:val="1F4E79"/>
        </w:rPr>
        <w:t>Visual Halo</w:t>
      </w:r>
      <w:r>
        <w:rPr>
          <w:rFonts w:ascii="Noto Sans CJK SC" w:hAnsi="Noto Sans CJK SC" w:eastAsia="Noto Sans CJK SC"/>
          <w:b w:val="0"/>
          <w:i w:val="0"/>
        </w:rPr>
        <w:t xml:space="preserve"> — 视觉呼吸区，无关内容不应紧贴。</w:t>
      </w:r>
    </w:p>
    <w:p>
      <w:r>
        <w:rPr>
          <w:rFonts w:ascii="Noto Sans CJK SC" w:hAnsi="Noto Sans CJK SC" w:eastAsia="Noto Sans CJK SC"/>
          <w:b/>
          <w:i w:val="0"/>
          <w:color w:val="1F4E79"/>
        </w:rPr>
        <w:t>Routing Exclusion Zone</w:t>
      </w:r>
      <w:r>
        <w:rPr>
          <w:rFonts w:ascii="Noto Sans CJK SC" w:hAnsi="Noto Sans CJK SC" w:eastAsia="Noto Sans CJK SC"/>
          <w:b w:val="0"/>
          <w:i w:val="0"/>
        </w:rPr>
        <w:t xml:space="preserve"> — 边与标签默认不可进入的保护区，终止于该节点的边除外。</w:t>
      </w:r>
    </w:p>
    <w:p>
      <w:r>
        <w:rPr>
          <w:rFonts w:ascii="Noto Sans CJK SC" w:hAnsi="Noto Sans CJK SC" w:eastAsia="Noto Sans CJK SC"/>
          <w:b/>
          <w:i w:val="0"/>
          <w:color w:val="1F4E79"/>
        </w:rPr>
        <w:t>Traffic Context</w:t>
      </w:r>
      <w:r>
        <w:rPr>
          <w:rFonts w:ascii="Noto Sans CJK SC" w:hAnsi="Noto Sans CJK SC" w:eastAsia="Noto Sans CJK SC"/>
          <w:b w:val="0"/>
          <w:i w:val="0"/>
        </w:rPr>
        <w:t xml:space="preserve"> — 由局部边密度、标签长度、回流、Section 边界动态扩张的空间。</w:t>
      </w:r>
    </w:p>
    <w:p>
      <w:pPr>
        <w:pStyle w:val="Heading2"/>
      </w:pPr>
      <w:r>
        <w:t>3.2 动态间距而非统一 gap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Borders>
              <w:top w:val="single" w:sz="8" w:color="B5C9D8"/>
              <w:left w:val="single" w:sz="8" w:color="B5C9D8"/>
              <w:bottom w:val="single" w:sz="8" w:color="B5C9D8"/>
              <w:right w:val="single" w:sz="8" w:color="B5C9D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34664"/>
                <w:sz w:val="21"/>
              </w:rPr>
              <w:t>推荐思路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required spacing = base spacing + label budget + edge-density budget + return-path budget + section padding</w:t>
            </w:r>
          </w:p>
        </w:tc>
      </w:tr>
    </w:tbl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基础节点间距可从 140–220 world units 起步。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两行关系词需要额外纵向/横向预算。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高密度 fan-out 区域要继续增加 100–220 的活动空间。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双向或 feedback 至少给回流单独预留 180–320 的通道。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大 Section 之间要有独立模块安全带，不要只让外框勉强不相交。</w:t>
      </w:r>
    </w:p>
    <w:p>
      <w:pPr>
        <w:pStyle w:val="Heading2"/>
      </w:pPr>
      <w:r>
        <w:t>3.3 模块车道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总标题 / 总原则带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主模块带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主流程车道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旁支状态车道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事件车道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投影 / 映射车道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回流 / 反馈车道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关系标签带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外圈长距离路由走廊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ReferenceBlock / 子图区</w:t>
      </w:r>
    </w:p>
    <w:p>
      <w:pPr>
        <w:pStyle w:val="Heading1"/>
      </w:pPr>
      <w:r>
        <w:t>4. 连线路由与标签</w:t>
      </w:r>
    </w:p>
    <w:p>
      <w:pPr>
        <w:pStyle w:val="Heading2"/>
      </w:pPr>
      <w:r>
        <w:t>4.1 四种关系几何</w:t>
      </w:r>
    </w:p>
    <w:p>
      <w:r>
        <w:rPr>
          <w:rFonts w:ascii="Noto Sans CJK SC" w:hAnsi="Noto Sans CJK SC" w:eastAsia="Noto Sans CJK SC"/>
          <w:b/>
          <w:i w:val="0"/>
        </w:rPr>
        <w:t>主链：</w:t>
      </w:r>
      <w:r>
        <w:rPr>
          <w:rFonts w:ascii="Noto Sans CJK SC" w:hAnsi="Noto Sans CJK SC" w:eastAsia="Noto Sans CJK SC"/>
          <w:b w:val="0"/>
          <w:i w:val="0"/>
        </w:rPr>
        <w:t>尽量直、单向、方向一致。</w:t>
      </w:r>
    </w:p>
    <w:p>
      <w:r>
        <w:rPr>
          <w:rFonts w:ascii="Noto Sans CJK SC" w:hAnsi="Noto Sans CJK SC" w:eastAsia="Noto Sans CJK SC"/>
          <w:b/>
          <w:i w:val="0"/>
        </w:rPr>
        <w:t>旁支：</w:t>
      </w:r>
      <w:r>
        <w:rPr>
          <w:rFonts w:ascii="Noto Sans CJK SC" w:hAnsi="Noto Sans CJK SC" w:eastAsia="Noto Sans CJK SC"/>
          <w:b w:val="0"/>
          <w:i w:val="0"/>
        </w:rPr>
        <w:t>从主链侧向分出，不占主链关系词空间。</w:t>
      </w:r>
    </w:p>
    <w:p>
      <w:r>
        <w:rPr>
          <w:rFonts w:ascii="Noto Sans CJK SC" w:hAnsi="Noto Sans CJK SC" w:eastAsia="Noto Sans CJK SC"/>
          <w:b/>
          <w:i w:val="0"/>
        </w:rPr>
        <w:t>回流：</w:t>
      </w:r>
      <w:r>
        <w:rPr>
          <w:rFonts w:ascii="Noto Sans CJK SC" w:hAnsi="Noto Sans CJK SC" w:eastAsia="Noto Sans CJK SC"/>
          <w:b w:val="0"/>
          <w:i w:val="0"/>
        </w:rPr>
        <w:t>使用 ArcEdge，长距离回流优先走上沿、下沿或外圈。</w:t>
      </w:r>
    </w:p>
    <w:p>
      <w:r>
        <w:rPr>
          <w:rFonts w:ascii="Noto Sans CJK SC" w:hAnsi="Noto Sans CJK SC" w:eastAsia="Noto Sans CJK SC"/>
          <w:b/>
          <w:i w:val="0"/>
        </w:rPr>
        <w:t>投影：</w:t>
      </w:r>
      <w:r>
        <w:rPr>
          <w:rFonts w:ascii="Noto Sans CJK SC" w:hAnsi="Noto Sans CJK SC" w:eastAsia="Noto Sans CJK SC"/>
          <w:b w:val="0"/>
          <w:i w:val="0"/>
        </w:rPr>
        <w:t>当前状态到另一视图的映射单独占 lane。</w:t>
      </w:r>
    </w:p>
    <w:p>
      <w:pPr>
        <w:pStyle w:val="Heading2"/>
      </w:pPr>
      <w:r>
        <w:t>4.2 标签不是“免费空间”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关系词要在布局前预算宽度和行数。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必要时主动换行，而不是压成一条长串。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箭头前后都要留出可辨识线段。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重复关系词可稀疏化：布局已经表达模式时，不必每条都写。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复杂说明放 Details，不要让边标签承担段落。</w:t>
      </w:r>
    </w:p>
    <w:p>
      <w:pPr>
        <w:pStyle w:val="Heading2"/>
      </w:pPr>
      <w:r>
        <w:t>4.3 长距离回边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5EF"/>
            <w:tcBorders>
              <w:top w:val="single" w:sz="8" w:color="B5C9D8"/>
              <w:left w:val="single" w:sz="8" w:color="B5C9D8"/>
              <w:bottom w:val="single" w:sz="8" w:color="B5C9D8"/>
              <w:right w:val="single" w:sz="8" w:color="B5C9D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34664"/>
                <w:sz w:val="21"/>
              </w:rPr>
              <w:t>默认规则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正向链走中间，回流链走外圈；有连续空走廊就用空走廊。</w:t>
            </w:r>
          </w:p>
        </w:tc>
      </w:tr>
    </w:tbl>
    <w:p>
      <w:pPr>
        <w:pStyle w:val="Heading1"/>
      </w:pPr>
      <w:r>
        <w:t>5. Section、Hyperedge 与子图</w:t>
      </w:r>
    </w:p>
    <w:p>
      <w:pPr>
        <w:pStyle w:val="Heading2"/>
      </w:pPr>
      <w:r>
        <w:t>5.1 Section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Section 是语义模块，不是单纯装饰边框。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标题下面必须有一条空的标题带。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Section padding 要随内部关系复杂度动态增长。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不同 Section 的“活动空间”也不能重叠。</w:t>
      </w:r>
    </w:p>
    <w:p>
      <w:pPr>
        <w:pStyle w:val="Heading2"/>
      </w:pPr>
      <w:r>
        <w:t>5.2 Hyperedge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Hyperedge 应表示真实共同关系或包裹关系。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如果备注说明整个框，优先保留为 Hyperedge 的备注。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备注冲突时，先移动成员 → 增大 padding → 移动整个群组 → 最后才考虑改变表示方式。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Hyperedge 边界也会占空间，不能穿过其它板块的核心内容区。</w:t>
      </w:r>
    </w:p>
    <w:p>
      <w:pPr>
        <w:pStyle w:val="Heading2"/>
      </w:pPr>
      <w:r>
        <w:t>5.3 ReferenceBlock</w:t>
      </w:r>
    </w:p>
    <w:p>
      <w:r>
        <w:rPr>
          <w:rFonts w:ascii="Noto Sans CJK SC" w:hAnsi="Noto Sans CJK SC" w:eastAsia="Noto Sans CJK SC"/>
          <w:b/>
          <w:i w:val="0"/>
        </w:rPr>
        <w:t>适合拆成子图的情形：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模块本身足够复杂，主图只需要摘要；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模块可以独立维护和复用；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不同设备、子系统、阶段有清晰边界；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主图继续扩张会破坏阅读层级。</w:t>
      </w:r>
    </w:p>
    <w:p>
      <w:pPr>
        <w:pStyle w:val="Heading1"/>
      </w:pPr>
      <w:r>
        <w:t>6. 颜色、对比度与视觉层级</w:t>
      </w:r>
    </w:p>
    <w:p>
      <w:pPr>
        <w:pStyle w:val="Heading2"/>
      </w:pPr>
      <w:r>
        <w:t>6.1 节点色与边色必须分工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9E7"/>
            <w:tcBorders>
              <w:top w:val="single" w:sz="8" w:color="B5C9D8"/>
              <w:left w:val="single" w:sz="8" w:color="B5C9D8"/>
              <w:bottom w:val="single" w:sz="8" w:color="B5C9D8"/>
              <w:right w:val="single" w:sz="8" w:color="B5C9D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34664"/>
                <w:sz w:val="21"/>
              </w:rPr>
              <w:t>重要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节点填充色负责语义与层级；边 / 标签颜色负责关系可读性。不要把暗色节点填充直接拿去做暗色画布上的关系标签。</w:t>
            </w:r>
          </w:p>
        </w:tc>
      </w:tr>
    </w:tbl>
    <w:p>
      <w:pPr>
        <w:pStyle w:val="Heading2"/>
      </w:pPr>
      <w:r>
        <w:t>6.2 主题安全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边色采用中等明度、中等饱和度、高 alpha。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避免暗棕、暗紫、暗绿在黑底上消失。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也避免过浅颜色在白底上发虚。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同一模块保持同一色相家族，靠透明度、尺寸、字重表达层级。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BF7"/>
          </w:tcPr>
          <w:p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语义家族</w:t>
            </w:r>
          </w:p>
        </w:tc>
        <w:tc>
          <w:tcPr>
            <w:tcW w:type="dxa" w:w="3324"/>
            <w:shd w:fill="DDEBF7"/>
          </w:tcPr>
          <w:p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推荐用途</w:t>
            </w:r>
          </w:p>
        </w:tc>
        <w:tc>
          <w:tcPr>
            <w:tcW w:type="dxa" w:w="3324"/>
            <w:shd w:fill="DDEBF7"/>
          </w:tcPr>
          <w:p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边色示例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蓝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入口 / 归属 / 规范源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(89,140,205,0.96)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青绿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手势 / 协作 / 可达性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(71,172,150,0.96)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紫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输入 / 关系 / 对象结构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(177,121,220,0.96)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赭金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生命周期 / 自动化 / 过程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(196,141,84,0.96)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绿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反馈 / 性能 / 校准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(92,169,130,0.96)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中性灰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跨模块通用关系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(165,165,165,0.96)</w:t>
            </w:r>
          </w:p>
        </w:tc>
      </w:tr>
    </w:tbl>
    <w:p>
      <w:pPr>
        <w:pStyle w:val="Heading1"/>
      </w:pPr>
      <w:r>
        <w:t>7. PRG 2.7 工程格式</w:t>
      </w:r>
    </w:p>
    <w:p>
      <w:r>
        <w:rPr>
          <w:rFonts w:ascii="Noto Sans CJK SC" w:hAnsi="Noto Sans CJK SC" w:eastAsia="Noto Sans CJK SC"/>
          <w:b w:val="0"/>
          <w:i w:val="0"/>
        </w:rPr>
        <w:t>当前 Skill 的默认输出目标是 metadata version `2.7.0`。`.prg` 是 ZIP 容器，核心条目如下：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stage.msgpack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tags.msgpack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reference.msgpack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metadata.msgpack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可选 README.md、attachments/...、thumbnail.png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val="single" w:sz="8" w:color="B5C9D8"/>
              <w:left w:val="single" w:sz="8" w:color="B5C9D8"/>
              <w:bottom w:val="single" w:sz="8" w:color="B5C9D8"/>
              <w:right w:val="single" w:sz="8" w:color="B5C9D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34664"/>
                <w:sz w:val="21"/>
              </w:rPr>
              <w:t>引用方式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stage 内对象间引用使用 {"$":"/&lt;stage-index&gt;"}。生成时必须保证索引存在并在最终 stage 长度范围内。</w:t>
            </w:r>
          </w:p>
        </w:tc>
      </w:tr>
    </w:tbl>
    <w:p>
      <w:r>
        <w:rPr>
          <w:rFonts w:ascii="Noto Sans CJK SC" w:hAnsi="Noto Sans CJK SC" w:eastAsia="Noto Sans CJK SC"/>
          <w:b w:val="0"/>
          <w:i w:val="0"/>
        </w:rPr>
        <w:t>推荐使用 Skill 包中的 `scripts/prg27.py`，不要在每次任务里重新凭记忆手写序列化结构。</w:t>
      </w:r>
    </w:p>
    <w:p>
      <w:pPr>
        <w:pStyle w:val="Heading1"/>
      </w:pPr>
      <w:r>
        <w:t>8. 生成工作流与二次松弛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sz w:val="21"/>
        </w:rPr>
        <w:t>理解用户目标，抽取实体、状态、关系、反馈、重复视图与子系统。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sz w:val="21"/>
        </w:rPr>
        <w:t>选择原生原语。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sz w:val="21"/>
        </w:rPr>
        <w:t>规划模块与车道，而不是直接写坐标。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sz w:val="21"/>
        </w:rPr>
        <w:t>根据标签长度和关系密度分配动态间距。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sz w:val="21"/>
        </w:rPr>
        <w:t>放置节点。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sz w:val="21"/>
        </w:rPr>
        <w:t>布置主链、旁支、回流、投影。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sz w:val="21"/>
        </w:rPr>
        <w:t>设置 Section / Hyperedge / Sync / ReferenceBlock。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sz w:val="21"/>
        </w:rPr>
        <w:t>应用主题安全配色。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sz w:val="21"/>
        </w:rPr>
        <w:t>生成 PRG。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sz w:val="21"/>
        </w:rPr>
        <w:t>运行 validate_prg.py。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sz w:val="21"/>
        </w:rPr>
        <w:t>运行 layout_audit.py。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sz w:val="21"/>
        </w:rPr>
        <w:t>做至少一次 post-routing cleanup / relaxation。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sz w:val="21"/>
        </w:rPr>
        <w:t>重新生成并再次校验。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sz w:val="21"/>
        </w:rPr>
        <w:t>交付主 PRG 与必要的子图目录 / ZIP。</w:t>
      </w:r>
    </w:p>
    <w:p>
      <w:pPr>
        <w:pStyle w:val="Heading2"/>
      </w:pPr>
      <w:r>
        <w:t>8.1 二次松弛可采取的动作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移动单个节点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移动整个 Section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增大横向 / 纵向 gap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改变边的出入口侧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调整 ArcEdge offset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调整 textPosition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把长回边搬到外圈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增大 Hyperedge padding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减少重复标签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把长解释转移到 Details</w:t>
      </w:r>
    </w:p>
    <w:p>
      <w:pPr>
        <w:pStyle w:val="Heading1"/>
      </w:pPr>
      <w:r>
        <w:t>9. QA 与失败判定</w:t>
      </w:r>
    </w:p>
    <w:p>
      <w:pPr>
        <w:pStyle w:val="Heading2"/>
      </w:pPr>
      <w:r>
        <w:t>9.1 结构失败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缺少核心 MsgPack 条目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metadata 版本异常且未说明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stage 引用越界或格式错误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ReferenceBlock 子文件未随包交付</w:t>
      </w:r>
    </w:p>
    <w:p>
      <w:pPr>
        <w:pStyle w:val="Heading2"/>
      </w:pPr>
      <w:r>
        <w:t>9.2 语义失败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用 Hyperedge 只是为了画框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把不同概念错误同步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关系词无法说明两个节点之间到底是什么关系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大量解释塞进画布导致信息层级失控</w:t>
      </w:r>
    </w:p>
    <w:p>
      <w:pPr>
        <w:pStyle w:val="Heading2"/>
      </w:pPr>
      <w:r>
        <w:t>9.3 布局失败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线压块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关系词压块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关系词互相重叠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边与箭头被文字吃掉，只剩“飘着的一行字”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大板块活动空间重叠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有空走廊却仍横穿核心节点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Hyperedge 备注压在成员节点上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Section 标题与第一排内容争空间</w:t>
      </w:r>
    </w:p>
    <w:p>
      <w:pPr>
        <w:pStyle w:val="Heading2"/>
      </w:pPr>
      <w:r>
        <w:t>9.4 视觉失败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边色在黑底或白底上不可辨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过多色相导致模块难以记忆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次级元素比主链更抢眼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高饱和霓虹色造成长期观看疲劳</w:t>
      </w:r>
    </w:p>
    <w:p>
      <w:pPr>
        <w:pStyle w:val="Heading1"/>
      </w:pPr>
      <w:r>
        <w:t>10. Project Graph Architect Skill 行为规范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默认输出真实 `.prg`，除非用户明确指定其它格式。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不把 Mermaid / PNG 当作 `.prg` 的替代品。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把公开 Project Graph 仓库视为只读参考；未经用户明确要求，不做 Issue、PR、评论、提交、上传等写操作。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生成复杂图时优先使用原生原语，不退化成全部 TextNode + 直线。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用户指出布局问题后，应把有效经验上升为通用规则，而不是只修该坐标。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sz w:val="21"/>
        </w:rPr>
        <w:t>Skill 是执行真源；规范文档作为说明与验收，不应发展出另一套冲突规则。</w:t>
      </w:r>
    </w:p>
    <w:p>
      <w:pPr>
        <w:pStyle w:val="Heading1"/>
      </w:pPr>
      <w:r>
        <w:t>11. 版本演进与后续计划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D3"/>
          </w:tcPr>
          <w:p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版本</w:t>
            </w:r>
          </w:p>
        </w:tc>
        <w:tc>
          <w:tcPr>
            <w:tcW w:type="dxa" w:w="3324"/>
            <w:shd w:fill="D9EAD3"/>
          </w:tcPr>
          <w:p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关键升级</w:t>
            </w:r>
          </w:p>
        </w:tc>
        <w:tc>
          <w:tcPr>
            <w:tcW w:type="dxa" w:w="3324"/>
            <w:shd w:fill="D9EAD3"/>
          </w:tcPr>
          <w:p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沉淀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线可标注、基础 PRG 生成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语义边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v1.1–v1.2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连线留白、回边走外圈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边的活动空间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v1.3–v1.4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群组备注与大板块留白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先动布局再动结构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v1.5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关系感知布局、动态间距、二次松弛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节点 + 线 + 标签 + 群组边界联合布局</w:t>
            </w:r>
          </w:p>
        </w:tc>
      </w:tr>
      <w:tr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Skill v1.0.0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把上述规则编译进执行流程</w:t>
            </w:r>
          </w:p>
        </w:tc>
        <w:tc>
          <w:tcPr>
            <w:tcW w:type="dxa" w:w="3324"/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可复用生成器 + 校验器 + 审计器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Borders>
              <w:top w:val="single" w:sz="8" w:color="B5C9D8"/>
              <w:left w:val="single" w:sz="8" w:color="B5C9D8"/>
              <w:bottom w:val="single" w:sz="8" w:color="B5C9D8"/>
              <w:right w:val="single" w:sz="8" w:color="B5C9D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34664"/>
                <w:sz w:val="21"/>
              </w:rPr>
              <w:t>下一步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如果后续实测仍出现稳定可复现的冲突，应继续升级 Skill 的布局审计与自动松弛逻辑，而不是不断累积人工坐标特例。</w:t>
            </w:r>
          </w:p>
        </w:tc>
      </w:tr>
    </w:tbl>
    <w:p>
      <w:pPr>
        <w:spacing w:before="480"/>
        <w:jc w:val="center"/>
      </w:pPr>
      <w:r>
        <w:rPr>
          <w:rFonts w:ascii="Noto Sans CJK SC" w:hAnsi="Noto Sans CJK SC" w:eastAsia="Noto Sans CJK SC"/>
          <w:b w:val="0"/>
          <w:i w:val="0"/>
          <w:color w:val="828282"/>
          <w:sz w:val="18"/>
        </w:rPr>
        <w:t>Project Graph Architect · Design Specification v1.5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5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050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