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7AD04740" w:rsidR="00F718BA" w:rsidRPr="00B90CDD" w:rsidRDefault="00483220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 xml:space="preserve">VICE PRESIDENT, PRODUCT, </w:t>
      </w:r>
      <w:r w:rsidR="007C6010">
        <w:rPr>
          <w:rFonts w:ascii="Helvetica" w:hAnsi="Helvetica" w:cs="Calibri"/>
          <w:i/>
          <w:iCs/>
          <w:sz w:val="32"/>
          <w:szCs w:val="40"/>
        </w:rPr>
        <w:t>A</w:t>
      </w:r>
      <w:r>
        <w:rPr>
          <w:rFonts w:ascii="Helvetica" w:hAnsi="Helvetica" w:cs="Calibri"/>
          <w:i/>
          <w:iCs/>
          <w:sz w:val="32"/>
          <w:szCs w:val="40"/>
        </w:rPr>
        <w:t>I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</w:t>
        </w:r>
        <w:proofErr w:type="spellStart"/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leeduncanstat</w:t>
        </w:r>
        <w:proofErr w:type="spellEnd"/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1AD7610E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 xml:space="preserve">Strategic technology and analytics executive with 20+ years of experience driving enterprise-wide digital transformation, AI adoption, and operational automation across Fortune 50 environments. Proven success in leading high-impact teams, modernizing business systems, and delivering scalable solutions that reduce </w:t>
      </w:r>
      <w:proofErr w:type="gramStart"/>
      <w:r w:rsidRPr="00D456C2">
        <w:rPr>
          <w:rFonts w:ascii="Helvetica" w:hAnsi="Helvetica" w:cs="Calibri"/>
          <w:sz w:val="22"/>
          <w:szCs w:val="22"/>
        </w:rPr>
        <w:t>cost</w:t>
      </w:r>
      <w:proofErr w:type="gramEnd"/>
      <w:r w:rsidRPr="00D456C2">
        <w:rPr>
          <w:rFonts w:ascii="Helvetica" w:hAnsi="Helvetica" w:cs="Calibri"/>
          <w:sz w:val="22"/>
          <w:szCs w:val="22"/>
        </w:rPr>
        <w:t>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 xml:space="preserve">Partnered with IT and enterprise architecture to integrate AI-driven insights into core business systems, while leading strategy and teams that developed and automated AI/ML solutions across AT&amp;T’s vast business </w:t>
      </w:r>
      <w:proofErr w:type="gramStart"/>
      <w:r w:rsidRPr="00AB0DD0">
        <w:rPr>
          <w:rFonts w:ascii="Helvetica" w:hAnsi="Helvetica" w:cs="Calibri"/>
          <w:sz w:val="22"/>
          <w:szCs w:val="22"/>
        </w:rPr>
        <w:t>units—</w:t>
      </w:r>
      <w:proofErr w:type="gramEnd"/>
      <w:r w:rsidRPr="00AB0DD0">
        <w:rPr>
          <w:rFonts w:ascii="Helvetica" w:hAnsi="Helvetica" w:cs="Calibri"/>
          <w:sz w:val="22"/>
          <w:szCs w:val="22"/>
        </w:rPr>
        <w:t>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proofErr w:type="gramStart"/>
      <w:r w:rsidRPr="00131FA3">
        <w:rPr>
          <w:rFonts w:ascii="Helvetica" w:hAnsi="Helvetica" w:cs="Calibri"/>
          <w:sz w:val="22"/>
          <w:szCs w:val="22"/>
        </w:rPr>
        <w:t>Identified</w:t>
      </w:r>
      <w:proofErr w:type="gramEnd"/>
      <w:r w:rsidRPr="00131FA3">
        <w:rPr>
          <w:rFonts w:ascii="Helvetica" w:hAnsi="Helvetica" w:cs="Calibri"/>
          <w:sz w:val="22"/>
          <w:szCs w:val="22"/>
        </w:rPr>
        <w:t xml:space="preserve">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 xml:space="preserve">Championed modernization of the CX analytics stack in partnership with enterprise IT; led data engineering and business-ready dataset staging teams to improve performance, reduce latency, and enable </w:t>
      </w:r>
      <w:proofErr w:type="gramStart"/>
      <w:r w:rsidRPr="007F4E26">
        <w:rPr>
          <w:rFonts w:ascii="Helvetica" w:hAnsi="Helvetica" w:cs="Calibri"/>
          <w:sz w:val="22"/>
          <w:szCs w:val="22"/>
        </w:rPr>
        <w:t>scalable,</w:t>
      </w:r>
      <w:proofErr w:type="gramEnd"/>
      <w:r w:rsidRPr="007F4E26">
        <w:rPr>
          <w:rFonts w:ascii="Helvetica" w:hAnsi="Helvetica" w:cs="Calibri"/>
          <w:sz w:val="22"/>
          <w:szCs w:val="22"/>
        </w:rPr>
        <w:t xml:space="preserve">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 xml:space="preserve">AI practices across business </w:t>
      </w:r>
      <w:proofErr w:type="gramStart"/>
      <w:r w:rsidRPr="00E04642">
        <w:rPr>
          <w:rFonts w:ascii="Helvetica" w:hAnsi="Helvetica" w:cs="Calibri"/>
          <w:sz w:val="22"/>
          <w:szCs w:val="22"/>
        </w:rPr>
        <w:t>unit</w:t>
      </w:r>
      <w:proofErr w:type="gramEnd"/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 xml:space="preserve">Led the transformation of manual reporting pipelines into automated dashboards and live operational analytics, reducing latency from </w:t>
      </w:r>
      <w:proofErr w:type="gramStart"/>
      <w:r w:rsidRPr="00514CA0">
        <w:rPr>
          <w:rFonts w:ascii="Helvetica" w:hAnsi="Helvetica" w:cs="Calibri"/>
          <w:sz w:val="22"/>
          <w:szCs w:val="22"/>
        </w:rPr>
        <w:t>days</w:t>
      </w:r>
      <w:proofErr w:type="gramEnd"/>
      <w:r w:rsidRPr="00514CA0">
        <w:rPr>
          <w:rFonts w:ascii="Helvetica" w:hAnsi="Helvetica" w:cs="Calibri"/>
          <w:sz w:val="22"/>
          <w:szCs w:val="22"/>
        </w:rPr>
        <w:t xml:space="preserve"> to </w:t>
      </w:r>
      <w:proofErr w:type="gramStart"/>
      <w:r w:rsidRPr="00514CA0">
        <w:rPr>
          <w:rFonts w:ascii="Helvetica" w:hAnsi="Helvetica" w:cs="Calibri"/>
          <w:sz w:val="22"/>
          <w:szCs w:val="22"/>
        </w:rPr>
        <w:t>minutes</w:t>
      </w:r>
      <w:proofErr w:type="gramEnd"/>
      <w:r w:rsidRPr="00514CA0">
        <w:rPr>
          <w:rFonts w:ascii="Helvetica" w:hAnsi="Helvetica" w:cs="Calibri"/>
          <w:sz w:val="22"/>
          <w:szCs w:val="22"/>
        </w:rPr>
        <w:t>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proofErr w:type="gramStart"/>
      <w:r w:rsidRPr="0066111B">
        <w:rPr>
          <w:rFonts w:ascii="Helvetica" w:hAnsi="Helvetica" w:cs="Calibri"/>
          <w:sz w:val="22"/>
          <w:szCs w:val="22"/>
        </w:rPr>
        <w:t>enterprise-wide</w:t>
      </w:r>
      <w:proofErr w:type="gramEnd"/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Honors: Beta Gamma Sigma, Golden Key International </w:t>
      </w:r>
      <w:proofErr w:type="spellStart"/>
      <w:r w:rsidRPr="000A6423">
        <w:rPr>
          <w:rFonts w:ascii="Helvetica" w:hAnsi="Helvetica" w:cs="Calibri"/>
          <w:sz w:val="22"/>
          <w:szCs w:val="22"/>
        </w:rPr>
        <w:t>Honour</w:t>
      </w:r>
      <w:proofErr w:type="spellEnd"/>
      <w:r w:rsidRPr="000A6423">
        <w:rPr>
          <w:rFonts w:ascii="Helvetica" w:hAnsi="Helvetica" w:cs="Calibri"/>
          <w:sz w:val="22"/>
          <w:szCs w:val="22"/>
        </w:rPr>
        <w:t xml:space="preserve">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26B8157A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• Generative AI for Business Leaders (Udacity, 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Six Sigma Black Belt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</w:t>
      </w:r>
      <w:proofErr w:type="gramStart"/>
      <w:r w:rsidRPr="000A6423">
        <w:rPr>
          <w:rFonts w:ascii="Helvetica" w:hAnsi="Helvetica" w:cs="Calibri"/>
          <w:sz w:val="22"/>
          <w:szCs w:val="22"/>
        </w:rPr>
        <w:t>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31FA3"/>
    <w:rsid w:val="00167691"/>
    <w:rsid w:val="00202486"/>
    <w:rsid w:val="00256476"/>
    <w:rsid w:val="002777D4"/>
    <w:rsid w:val="002D417B"/>
    <w:rsid w:val="003C3157"/>
    <w:rsid w:val="003C7217"/>
    <w:rsid w:val="003F7379"/>
    <w:rsid w:val="0044680D"/>
    <w:rsid w:val="00483220"/>
    <w:rsid w:val="004A77D2"/>
    <w:rsid w:val="004B1B68"/>
    <w:rsid w:val="004C3629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611D"/>
    <w:rsid w:val="006A44A5"/>
    <w:rsid w:val="006E495F"/>
    <w:rsid w:val="00700F00"/>
    <w:rsid w:val="00765417"/>
    <w:rsid w:val="00783863"/>
    <w:rsid w:val="00783E13"/>
    <w:rsid w:val="00790C23"/>
    <w:rsid w:val="007C6010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A10EF"/>
    <w:rsid w:val="009C3A42"/>
    <w:rsid w:val="009D20CD"/>
    <w:rsid w:val="009F3EDF"/>
    <w:rsid w:val="00A26EB8"/>
    <w:rsid w:val="00AA4A72"/>
    <w:rsid w:val="00AB0DD0"/>
    <w:rsid w:val="00AF5338"/>
    <w:rsid w:val="00B05D20"/>
    <w:rsid w:val="00B14BF3"/>
    <w:rsid w:val="00B90CDD"/>
    <w:rsid w:val="00BA288F"/>
    <w:rsid w:val="00BC60B2"/>
    <w:rsid w:val="00BD46AF"/>
    <w:rsid w:val="00C021CB"/>
    <w:rsid w:val="00C125DA"/>
    <w:rsid w:val="00C66268"/>
    <w:rsid w:val="00C93C5D"/>
    <w:rsid w:val="00CB5B9B"/>
    <w:rsid w:val="00CF455A"/>
    <w:rsid w:val="00D17671"/>
    <w:rsid w:val="00D456C2"/>
    <w:rsid w:val="00D47593"/>
    <w:rsid w:val="00D51679"/>
    <w:rsid w:val="00D7195D"/>
    <w:rsid w:val="00E04642"/>
    <w:rsid w:val="00E04C96"/>
    <w:rsid w:val="00E956F1"/>
    <w:rsid w:val="00EB034C"/>
    <w:rsid w:val="00EC7EC1"/>
    <w:rsid w:val="00ED4E7E"/>
    <w:rsid w:val="00ED7C24"/>
    <w:rsid w:val="00F21BF2"/>
    <w:rsid w:val="00F2265D"/>
    <w:rsid w:val="00F358E1"/>
    <w:rsid w:val="00F718BA"/>
    <w:rsid w:val="00FA154D"/>
    <w:rsid w:val="00FB58AC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2025-05-16T19:20:00Z</dcterms:created>
  <dcterms:modified xsi:type="dcterms:W3CDTF">2025-05-16T19:21:00Z</dcterms:modified>
</cp:coreProperties>
</file>