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1F855820"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1DE27"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EC15CA">
        <w:rPr>
          <w:rFonts w:asciiTheme="majorHAnsi" w:hAnsiTheme="majorHAnsi" w:cs="Courier New"/>
          <w:sz w:val="44"/>
          <w:szCs w:val="44"/>
        </w:rPr>
        <w:t>SR. DIRECTOR, DATA &amp; BUSINESS INTELLIGENCE</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6A279"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8D79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2BBCD"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A7BA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Delivered $60M in labor cost savings through linear programming models tested in Hertz’s largest rental location and expanded enterprise-wide.</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5AB17"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33FC0"/>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3A8C"/>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15CA"/>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2025-04-07T17:50:00Z</dcterms:created>
  <dcterms:modified xsi:type="dcterms:W3CDTF">2025-04-07T17:50:00Z</dcterms:modified>
</cp:coreProperties>
</file>