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F133F">
      <w:pPr>
        <w:jc w:val="center"/>
      </w:pPr>
      <w:r>
        <w:rPr>
          <w:rFonts w:ascii="宋体" w:hAnsi="宋体" w:eastAsia="宋体"/>
          <w:b w:val="0"/>
          <w:sz w:val="32"/>
        </w:rPr>
        <w:t>目  录</w:t>
      </w:r>
      <w:bookmarkStart w:id="0" w:name="_GoBack"/>
      <w:bookmarkEnd w:id="0"/>
    </w:p>
    <w:p w14:paraId="09975719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摘要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I</w:t>
      </w:r>
    </w:p>
    <w:p w14:paraId="6A1B822A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Times New Roman" w:hAnsi="Times New Roman" w:eastAsia="Times New Roman"/>
          <w:b w:val="0"/>
          <w:sz w:val="28"/>
        </w:rPr>
        <w:t>ABSTRACT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II</w:t>
      </w:r>
    </w:p>
    <w:p w14:paraId="5CAB1982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第一章 研究背景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</w:t>
      </w:r>
    </w:p>
    <w:p w14:paraId="7E418649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1.1 内存管理机制的演进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</w:t>
      </w:r>
    </w:p>
    <w:p w14:paraId="1D2DE701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1.1.1 页表与 TLB 的工作原理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</w:t>
      </w:r>
    </w:p>
    <w:p w14:paraId="31A55C47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1.1.2 struct page 与 LRU 链表管理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</w:t>
      </w:r>
    </w:p>
    <w:p w14:paraId="631454CC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1.2 Linux 文件系统 I/O 栈概述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</w:t>
      </w:r>
    </w:p>
    <w:p w14:paraId="550BF25E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1.2.1 Page Cache 与 VFS 层交互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</w:t>
      </w:r>
    </w:p>
    <w:p w14:paraId="6CB6CD8A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1.2.2 传统 Buffer Head 映射机制及其局限性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4</w:t>
      </w:r>
    </w:p>
    <w:p w14:paraId="33D85BD7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1.3 F2FS 文件系统架构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5</w:t>
      </w:r>
    </w:p>
    <w:p w14:paraId="5E4846DA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1.3.1 日志结构文件系统 (LFS) 特性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5</w:t>
      </w:r>
    </w:p>
    <w:p w14:paraId="764D7295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1.3.2 F2FS 的数据布局与索引机制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6</w:t>
      </w:r>
    </w:p>
    <w:p w14:paraId="63B36284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第二章 引入 Folio 和 iomap 的意义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8</w:t>
      </w:r>
    </w:p>
    <w:p w14:paraId="24518275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2.1 Struct Folio：新一代内存管理单元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8</w:t>
      </w:r>
    </w:p>
    <w:p w14:paraId="0F157BD1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2.1.1 复合页 (Compound Page) 的痛点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8</w:t>
      </w:r>
    </w:p>
    <w:p w14:paraId="433D874C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2.1.2 Folio 在内核中的演进现状与趋势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9</w:t>
      </w:r>
    </w:p>
    <w:p w14:paraId="4A4DE2CC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2.2 iomap 框架：现代化的 I/O 路径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10</w:t>
      </w:r>
    </w:p>
    <w:p w14:paraId="608A6A60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2.2.1 iomap 数据结构与接口定义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10</w:t>
      </w:r>
    </w:p>
    <w:p w14:paraId="200EFD84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2.2.2 迭代器模式与区间映射优势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11</w:t>
      </w:r>
    </w:p>
    <w:p w14:paraId="64FCE1FB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第三章 F2FS 支持 Large Folios 的核心难点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15</w:t>
      </w:r>
    </w:p>
    <w:p w14:paraId="3CB62756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3.1 块映射与 I/O 提交的粒度失配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15</w:t>
      </w:r>
    </w:p>
    <w:p w14:paraId="3444FA37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3.1.1 逐页处理带来的 CPU 开销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15</w:t>
      </w:r>
    </w:p>
    <w:p w14:paraId="56361B7A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3.1.2 传统 bio 提交机制的并发缺陷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16</w:t>
      </w:r>
    </w:p>
    <w:p w14:paraId="2D786D14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3.2 关键数据结构的冲突与兼容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17</w:t>
      </w:r>
    </w:p>
    <w:p w14:paraId="4C13322A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3.2.1 folio-&gt;private 字段的资源争夺与语义混淆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17</w:t>
      </w:r>
    </w:p>
    <w:p w14:paraId="7553166A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3.2.2 I/O 描述符 (f2fs_io_info) 的粒度限制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18</w:t>
      </w:r>
    </w:p>
    <w:p w14:paraId="7D851B2F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3.3 压缩文件场景下的复杂性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19</w:t>
      </w:r>
    </w:p>
    <w:p w14:paraId="41824FA4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3.3.1 压缩簇与 Folio 边界的不对齐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19</w:t>
      </w:r>
    </w:p>
    <w:p w14:paraId="6415C797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3.3.2 混合 I/O 模型（压缩与非压缩混排）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20</w:t>
      </w:r>
    </w:p>
    <w:p w14:paraId="47C8493F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3.4 脏页回写中的写放大风险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21</w:t>
      </w:r>
    </w:p>
    <w:p w14:paraId="15B14DC1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3.4.1 粗粒度脏页标记的弊端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21</w:t>
      </w:r>
    </w:p>
    <w:p w14:paraId="6BB37010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3.4.2 垃圾回收 (GC) 过程中的数据迁移挑战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22</w:t>
      </w:r>
    </w:p>
    <w:p w14:paraId="29E2673D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第四章 方案设计与算法实现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24</w:t>
      </w:r>
    </w:p>
    <w:p w14:paraId="4BA6087A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4.1 基于 iomap 的 Buffered I/O 重构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24</w:t>
      </w:r>
    </w:p>
    <w:p w14:paraId="5C46AC82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4.1.1 读路径：iomap_readahead 的适配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25</w:t>
      </w:r>
    </w:p>
    <w:p w14:paraId="1061EAF2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4.1.2 写路径：iomap_file_buffered_write 的集成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27</w:t>
      </w:r>
    </w:p>
    <w:p w14:paraId="2C01A252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4.2 核心数据结构创新：f2fs_iomap_folio_state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30</w:t>
      </w:r>
    </w:p>
    <w:p w14:paraId="11203229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4.2.1 结构体设计：魔数 (Magic Number) 与柔性数组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30</w:t>
      </w:r>
    </w:p>
    <w:p w14:paraId="22FC76A5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4.2.2 智能分发的私有数据访问 API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32</w:t>
      </w:r>
    </w:p>
    <w:p w14:paraId="045C90A2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4.3 压缩文件的大页读写算法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35</w:t>
      </w:r>
    </w:p>
    <w:p w14:paraId="2F73B531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4.3.1 “大 Folio 优先”的分配策略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35</w:t>
      </w:r>
    </w:p>
    <w:p w14:paraId="311BD1C5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4.3.2 混合 I/O 路径下的字节级记账与同步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37</w:t>
      </w:r>
    </w:p>
    <w:p w14:paraId="2F554E05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4.3.3 延迟解锁与并发一致性保证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39</w:t>
      </w:r>
    </w:p>
    <w:p w14:paraId="6CD8F70C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4.4 脏页回写与垃圾回收的精确化改造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42</w:t>
      </w:r>
    </w:p>
    <w:p w14:paraId="66A8246C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4.4.1 逐块脏页追踪 (Per-block Dirty Tracking)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42</w:t>
      </w:r>
    </w:p>
    <w:p w14:paraId="5D21A11D">
      <w:pPr>
        <w:tabs>
          <w:tab w:val="right" w:leader="middleDot" w:pos="7892"/>
        </w:tabs>
        <w:spacing w:before="0" w:after="0" w:line="360" w:lineRule="auto"/>
        <w:ind w:left="960"/>
        <w:jc w:val="left"/>
      </w:pPr>
      <w:r>
        <w:rPr>
          <w:rFonts w:ascii="宋体" w:hAnsi="宋体" w:eastAsia="宋体"/>
          <w:b w:val="0"/>
          <w:sz w:val="24"/>
        </w:rPr>
        <w:t>4.4.2 修复双重解锁与空悬 Folio 问题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44</w:t>
      </w:r>
    </w:p>
    <w:p w14:paraId="7E0F4F59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第五章 性能测试与分析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45</w:t>
      </w:r>
    </w:p>
    <w:p w14:paraId="631A5E35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5.1 测试环境与方法论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45</w:t>
      </w:r>
    </w:p>
    <w:p w14:paraId="64117C72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5.2 QEMU 虚拟机环境测试结果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47</w:t>
      </w:r>
    </w:p>
    <w:p w14:paraId="1062AC94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5.3 树莓派 5 (16KB Page) 环境测试结果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49</w:t>
      </w:r>
    </w:p>
    <w:p w14:paraId="61C0DC0C">
      <w:pPr>
        <w:tabs>
          <w:tab w:val="right" w:leader="middleDot" w:pos="7892"/>
        </w:tabs>
        <w:spacing w:before="0" w:after="0" w:line="360" w:lineRule="auto"/>
        <w:ind w:left="480"/>
        <w:jc w:val="left"/>
      </w:pPr>
      <w:r>
        <w:rPr>
          <w:rFonts w:ascii="宋体" w:hAnsi="宋体" w:eastAsia="宋体"/>
          <w:b w:val="0"/>
          <w:sz w:val="24"/>
        </w:rPr>
        <w:t>5.4 性能收益总结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52</w:t>
      </w:r>
    </w:p>
    <w:p w14:paraId="0C7C6D64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结语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55</w:t>
      </w:r>
    </w:p>
    <w:p w14:paraId="3C95AD0A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参考文献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56</w:t>
      </w:r>
    </w:p>
    <w:p w14:paraId="54C983A4">
      <w:pPr>
        <w:tabs>
          <w:tab w:val="right" w:leader="middleDot" w:pos="7892"/>
        </w:tabs>
        <w:spacing w:before="0" w:after="0" w:line="360" w:lineRule="auto"/>
        <w:ind w:left="0"/>
        <w:jc w:val="left"/>
      </w:pPr>
      <w:r>
        <w:rPr>
          <w:rFonts w:ascii="黑体" w:hAnsi="黑体" w:eastAsia="黑体"/>
          <w:b w:val="0"/>
          <w:sz w:val="28"/>
        </w:rPr>
        <w:t>致谢</w:t>
      </w:r>
      <w:r>
        <w:rPr>
          <w:rFonts w:ascii="宋体" w:hAnsi="宋体" w:eastAsia="宋体"/>
          <w:color w:val="000000"/>
          <w:sz w:val="24"/>
        </w:rPr>
        <w:tab/>
      </w:r>
      <w:r>
        <w:rPr>
          <w:rFonts w:ascii="宋体" w:hAnsi="宋体" w:eastAsia="宋体"/>
          <w:b w:val="0"/>
          <w:sz w:val="24"/>
        </w:rPr>
        <w:t>57</w:t>
      </w:r>
    </w:p>
    <w:sectPr>
      <w:pgSz w:w="11906" w:h="16838"/>
      <w:pgMar w:top="1440" w:right="2007" w:bottom="1440" w:left="20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omfortaa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ＭＳ ゴシック">
    <w:altName w:val="Comfortaa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BEE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'1.0' encoding='UTF-8' standalone='yes'?>
<b:Sources xmlns:b="http://schemas.openxmlformats.org/officeDocument/2006/bibliography" SelectedStyle="/APA.XSL" xmlns:b="http://schemas.openxmlformats.org/officeDocument/2006/bibliography" StyleName="APA"/>
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nzzhao</cp:lastModifiedBy>
  <dcterms:modified xsi:type="dcterms:W3CDTF">2025-12-18T15:19:56Z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D703E02893AF74BB1CAB43699D506599_42</vt:lpwstr>
  </property>
</Properties>
</file>