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Sigmus Aimofumhe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Columbia University</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Position:</w:t>
      </w:r>
      <w:r w:rsidDel="00000000" w:rsidR="00000000" w:rsidRPr="00000000">
        <w:rPr>
          <w:rFonts w:ascii="Times New Roman" w:cs="Times New Roman" w:eastAsia="Times New Roman" w:hAnsi="Times New Roman"/>
          <w:sz w:val="24"/>
          <w:szCs w:val="24"/>
          <w:rtl w:val="0"/>
        </w:rPr>
        <w:t xml:space="preserve"> Temp Intern - GenAI Sci (Cotiviti)</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Implementation of Machine Learning, Pattern Recognition, and Agentic AI in Healthcare Payment, Treatment, and Operations (TPO)</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Concept and Industry Shift</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generates massive amounts of structured and unstructured data through medical claims, electronic health records (EHRs), provider activity, and clinical documentation. Within Treatment, Payment, and Operations (TPO), this creates an opportunity to use machine learning and pattern recognition to identify relationships and anomalies that traditional rules-based systems may miss. In this context, pattern recognition involves using supervised learning, clustering, anomaly detection, and generative AI to identify unusual behavior across healthcare data. Instead of evaluating a claim as an isolated transaction, machine learning can evaluate it within the context of a patient's treatment history, provider behavior, and clinical documentation. For example, models can combine ICD-10 diagnosis codes, CPT procedure codes, medication information, and historical claims with unstructured data such as clinical notes and pathology reports. This creates a shift from simply asking whether a claim was submitted correctly to asking whether the claim is consistent with the underlying clinical activity. This approach can help identify upcoding, unbundling, improper billing, and other forms of fraud, waste, and abuse (FWA) before unnecessary payments occur.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see three major shifts driving this opportunity. First, healthcare payment integrity is moving from a post-payment “pay-and-chase” model toward real-time anomaly detection. Machine learning models can evaluate claims during adjudication and prioritize high-risk transactions before payment is released. Second, healthcare organizations are increasingly connecting structured claims data with unstructured clinical information. NLP, OCR, and multimodal models can extract information from clinical documentation and compare it with what was actually billed. Third, generative AI is creating an opportunity to make machine learning predictions more interpretable. A model may determine that a claim has a high probability of being anomalous, while an AI system can help explain which billing patterns, clinical information, or model features contributed to that prediction.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Opportunities and Challenges</w:t>
      </w:r>
    </w:p>
    <w:p w:rsidR="00000000" w:rsidDel="00000000" w:rsidP="00000000" w:rsidRDefault="00000000" w:rsidRPr="00000000" w14:paraId="0000000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Opportunities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Reducing administrative audit burden. </w:t>
      </w:r>
      <w:r w:rsidDel="00000000" w:rsidR="00000000" w:rsidRPr="00000000">
        <w:rPr>
          <w:rFonts w:ascii="Times New Roman" w:cs="Times New Roman" w:eastAsia="Times New Roman" w:hAnsi="Times New Roman"/>
          <w:rtl w:val="0"/>
        </w:rPr>
        <w:t xml:space="preserve">Healthcare organizations process extremely large volumes of claims, making manual review inefficient. Machine learning can filter lower-risk claims and prioritize cases that are more likely to require investigation. This allows auditors and medical directors to focus on complex cases rather than reviewing routine transactions.</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Earlier FWA detection. </w:t>
      </w:r>
      <w:r w:rsidDel="00000000" w:rsidR="00000000" w:rsidRPr="00000000">
        <w:rPr>
          <w:rFonts w:ascii="Times New Roman" w:cs="Times New Roman" w:eastAsia="Times New Roman" w:hAnsi="Times New Roman"/>
          <w:rtl w:val="0"/>
        </w:rPr>
        <w:t xml:space="preserve">Supervised models can learn from previously identified billing anomalies, while unsupervised methods such as Isolation Forests and clustering can identify unusual provider or claim behavior without requiring every type of fraud to already be labeled. This allows payment integrity systems to identify emerging patterns before significant financial losses occur.</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Improving provider-payer workflows. </w:t>
      </w:r>
      <w:r w:rsidDel="00000000" w:rsidR="00000000" w:rsidRPr="00000000">
        <w:rPr>
          <w:rFonts w:ascii="Times New Roman" w:cs="Times New Roman" w:eastAsia="Times New Roman" w:hAnsi="Times New Roman"/>
          <w:rtl w:val="0"/>
        </w:rPr>
        <w:t xml:space="preserve">Claim denials can create significant administrative friction when providers do not understand why a claim was flagged. Explainable AI techniques such as SHAP values, combined with generative AI summaries, can provide more transparent explanations and potentially reduce unnecessary appeals.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Challenges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Data imbalance. </w:t>
      </w:r>
      <w:r w:rsidDel="00000000" w:rsidR="00000000" w:rsidRPr="00000000">
        <w:rPr>
          <w:rFonts w:ascii="Times New Roman" w:cs="Times New Roman" w:eastAsia="Times New Roman" w:hAnsi="Times New Roman"/>
          <w:rtl w:val="0"/>
        </w:rPr>
        <w:t xml:space="preserve">Serious billing anomalies represent a small fraction of total claims. A model can therefore achieve high overall accuracy while still failing to identify the cases that matter most. Techniques such as SMOTE-ENN, cost-sensitive learning, and evaluation metrics such as recall, F2-score, and PR-AUC can help address this problem.</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False positives</w:t>
      </w:r>
      <w:r w:rsidDel="00000000" w:rsidR="00000000" w:rsidRPr="00000000">
        <w:rPr>
          <w:rFonts w:ascii="Times New Roman" w:cs="Times New Roman" w:eastAsia="Times New Roman" w:hAnsi="Times New Roman"/>
          <w:rtl w:val="0"/>
        </w:rPr>
        <w:t xml:space="preserve">. A system that flags too many legitimate claims can create alert fatigue and slow valid payments. Decision thresholds therefore need to be continuously calibrated based on the relative cost of false positives and false negatives.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Concept drift. </w:t>
      </w:r>
      <w:r w:rsidDel="00000000" w:rsidR="00000000" w:rsidRPr="00000000">
        <w:rPr>
          <w:rFonts w:ascii="Times New Roman" w:cs="Times New Roman" w:eastAsia="Times New Roman" w:hAnsi="Times New Roman"/>
          <w:rtl w:val="0"/>
        </w:rPr>
        <w:t xml:space="preserve">Healthcare coding standards, CMS policies, CPT codes, and provider behavior change over time. Static models can become less effective as these patterns change. Continuous monitoring, retraining, and model validation are therefore necessary to maintain performance.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Strategic Recommendations for Cotiviti</w:t>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Cotiviti could build a hybrid “classify-and-explain” architecture by combining high-speed machine learning models with generative AI in a two-stage payment integrity system. The first stage would use efficient tabular models such as XGBoost or Random Forest to process large volumes of claims and generate anomaly scores. Claims above a defined risk threshold would then move to a second stage where an Agentic AI system examines the model outputs, feature contributions, billing codes, historical claims, and relevant clinical documentation. The system could then generate a structured explanation for the human auditor. This creates a balance between speed, scalability, and interpretability. Machine learning handles high-volume screening, while generative AI provides context around the cases that require additional investigation. Importantly, AI should support rather than replace human decision-making. The model identifies risk and provides evidence; the human reviewer makes the final determination.</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Cotiviti should also build MLOps infrastructure that continuously monitors changes in healthcare data and model performance. The system could track shifts in provider behavior, procedure combinations, diagnosis distributions, and claim volumes. For example, a sudden increase in a particular CPT code combination could represent a legitimate change in clinical practice or an emerging billing anomaly. Automated monitoring could identify these changes and trigger model evaluation, threshold recalibration, or retraining when necessary. This would allow Cotiviti’s AI systems to adapt as healthcare policies, coding practices, and provider behavior evolve.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Conclusion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stage of healthcare payment integrity will likely combine machine learning, large-scale data integration, explainable AI, and generative AI. For Cotiviti, the opportunity is not simply to build another AI model. It is to develop an intelligent decision-support system that can identify risk earlier, explain why the risk exists, and continuously improve as healthcare data changes. The strongest system would answer three questions: Is this claim anomalous? Why is it anomalous? What should the human reviewer investigate next? A hybrid approach combining predictive models, agentic AI, and continuous MLOps could help Cotiviti improve payment accuracy while reducing administrative burden for both payers and providers.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M. A., Eckert, C., &amp; Tarke, A. (2018). Interpretable machine learning in healthcare. International Conference on Machine Learning (ICML) Workshops. </w:t>
      </w:r>
      <w:hyperlink r:id="rId6">
        <w:r w:rsidDel="00000000" w:rsidR="00000000" w:rsidRPr="00000000">
          <w:rPr>
            <w:rFonts w:ascii="Times New Roman" w:cs="Times New Roman" w:eastAsia="Times New Roman" w:hAnsi="Times New Roman"/>
            <w:color w:val="1155cc"/>
            <w:u w:val="single"/>
            <w:rtl w:val="0"/>
          </w:rPr>
          <w:t xml:space="preserve">https://www.researchgate.net/publication/327213007_Interpretable_Machine_Learning_in_Healthcare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Davenport, T., &amp; Kalakota, R. (2019). The potential for artificial intelligence in healthcare. Future Healthcare Journal, 6(2), 94–98. </w:t>
      </w:r>
      <w:hyperlink r:id="rId7">
        <w:r w:rsidDel="00000000" w:rsidR="00000000" w:rsidRPr="00000000">
          <w:rPr>
            <w:rFonts w:ascii="Times New Roman" w:cs="Times New Roman" w:eastAsia="Times New Roman" w:hAnsi="Times New Roman"/>
            <w:color w:val="1155cc"/>
            <w:u w:val="single"/>
            <w:rtl w:val="0"/>
          </w:rPr>
          <w:t xml:space="preserve">https://doi.org/10.7861/futurehosp.6-2-94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Lundberg, S. M., &amp; Lee, S.-I. (2017). A unified approach to interpreting model predictions. Advances in Neural Information Processing Systems, 30, 4765–4774. </w:t>
      </w:r>
      <w:hyperlink r:id="rId8">
        <w:r w:rsidDel="00000000" w:rsidR="00000000" w:rsidRPr="00000000">
          <w:rPr>
            <w:rFonts w:ascii="Times New Roman" w:cs="Times New Roman" w:eastAsia="Times New Roman" w:hAnsi="Times New Roman"/>
            <w:color w:val="1155cc"/>
            <w:u w:val="single"/>
            <w:rtl w:val="0"/>
          </w:rPr>
          <w:t xml:space="preserve">https://arxiv.org/abs/1705.07874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Raghupathi, W., &amp; Raghupathi, V. (2014). Big data analytics in healthcare: promise and potential. Health Information Science and Systems, 2(1), 3. </w:t>
      </w:r>
      <w:hyperlink r:id="rId9">
        <w:r w:rsidDel="00000000" w:rsidR="00000000" w:rsidRPr="00000000">
          <w:rPr>
            <w:rFonts w:ascii="Times New Roman" w:cs="Times New Roman" w:eastAsia="Times New Roman" w:hAnsi="Times New Roman"/>
            <w:color w:val="1155cc"/>
            <w:u w:val="single"/>
            <w:rtl w:val="0"/>
          </w:rPr>
          <w:t xml:space="preserve">https://doi.org/10.1186/2047-2501-2-3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 E. J. (2019). High-performance medicine: the convergence of human and artificial intelligence. Nature Medicine, 25(1), 44–56. </w:t>
      </w:r>
      <w:hyperlink r:id="rId10">
        <w:r w:rsidDel="00000000" w:rsidR="00000000" w:rsidRPr="00000000">
          <w:rPr>
            <w:rFonts w:ascii="Times New Roman" w:cs="Times New Roman" w:eastAsia="Times New Roman" w:hAnsi="Times New Roman"/>
            <w:color w:val="1155cc"/>
            <w:u w:val="single"/>
            <w:rtl w:val="0"/>
          </w:rPr>
          <w:t xml:space="preserve">https://doi.org/10.1038/s41591-018-0300-7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(2021). Ethics and governance of artificial intelligence for health: WHO guidance. World Health Organization. </w:t>
      </w:r>
      <w:hyperlink r:id="rId11">
        <w:r w:rsidDel="00000000" w:rsidR="00000000" w:rsidRPr="00000000">
          <w:rPr>
            <w:rFonts w:ascii="Times New Roman" w:cs="Times New Roman" w:eastAsia="Times New Roman" w:hAnsi="Times New Roman"/>
            <w:color w:val="1155cc"/>
            <w:u w:val="single"/>
            <w:rtl w:val="0"/>
          </w:rPr>
          <w:t xml:space="preserve">https://www.who.int/publications/i/item/9789240029200</w:t>
        </w:r>
      </w:hyperlink>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ho.int/publications/i/item/9789240029200" TargetMode="External"/><Relationship Id="rId10" Type="http://schemas.openxmlformats.org/officeDocument/2006/relationships/hyperlink" Target="https://doi.org/10.1038/s41591-018-0300-7" TargetMode="External"/><Relationship Id="rId9" Type="http://schemas.openxmlformats.org/officeDocument/2006/relationships/hyperlink" Target="https://doi.org/10.1186/2047-2501-2-3" TargetMode="External"/><Relationship Id="rId5" Type="http://schemas.openxmlformats.org/officeDocument/2006/relationships/styles" Target="styles.xml"/><Relationship Id="rId6" Type="http://schemas.openxmlformats.org/officeDocument/2006/relationships/hyperlink" Target="https://www.researchgate.net/publication/327213007_Interpretable_Machine_Learning_in_Healthcare" TargetMode="External"/><Relationship Id="rId7" Type="http://schemas.openxmlformats.org/officeDocument/2006/relationships/hyperlink" Target="https://doi.org/10.7861/futurehosp.6-2-94" TargetMode="External"/><Relationship Id="rId8" Type="http://schemas.openxmlformats.org/officeDocument/2006/relationships/hyperlink" Target="https://arxiv.org/abs/1705.07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