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面向不完美CSI与可控语义丢包的混合数字—模拟语义图像传输：鲁棒接收、可靠性融合与交互式实验平台</w:t>
      </w:r>
    </w:p>
    <w:p>
      <w:pPr>
        <w:pStyle w:val="Author"/>
      </w:pPr>
      <w:r>
        <w:t xml:space="preserve">作者姓名（待填写）</w:t>
      </w:r>
    </w:p>
    <w:p>
      <w:pPr>
        <w:pStyle w:val="Date"/>
      </w:pPr>
      <w:r>
        <w:t xml:space="preserve">中文可编辑论文片段</w:t>
      </w:r>
    </w:p>
    <w:bookmarkStart w:id="20" w:name="摘要"/>
    <w:p>
      <w:pPr>
        <w:pStyle w:val="Heading1"/>
      </w:pPr>
      <w:r>
        <w:t xml:space="preserve">摘要</w:t>
      </w:r>
    </w:p>
    <w:p>
      <w:pPr>
        <w:pStyle w:val="FirstParagraph"/>
      </w:pPr>
      <w:r>
        <w:t xml:space="preserve">本文围绕混合数字—模拟语义图像传输系统在不完美信道状态信息和分组丢失条件下的鲁棒接收问题，构建了一套由物理层检测、链路可靠性度量、语义特征擦除、数字—模拟支路融合及操作者交互界面组成的统一实验框架。首先，在复现HDA-DeepSC基本数字支路、模拟残差支路、低密度奇偶校验编码、自适应调制编码和Rician块衰落链路的基础上，分析线性均衡系数在一致软解调度量中的抵消现象，并采用接收域不确定性感知最大后验软度量，将信道估计误差建模为与星座候选能量相关的方差项。其次，统一定义比特错误率、分组错误率和帧错误率，并将自然链路错误、人工物理分组擦除和人工语义特征包擦除分开记录。进一步，引入可调数字支路权重，使接收端能够在数字基描述与模拟残差之间进行可靠性感知融合。已有受控实验表明，在16-QAM工作区间及信道估计归一化均方误差为0.1、0.2和0.5时，不确定性感知接收机的平均绝对比特错误率分别降低0.009557、0.016187和0.022957，对应峰值信噪比分别提高1.040、1.445和1.058 dB。人工丢包、语义恢复和交互界面部分在本文中被组织为可重复实验协议，不对尚未完成的恢复增益作超出证据的结论。</w:t>
      </w:r>
    </w:p>
    <w:p>
      <w:pPr>
        <w:pStyle w:val="BodyText"/>
      </w:pPr>
      <w:r>
        <w:rPr>
          <w:bCs/>
          <w:b/>
        </w:rPr>
        <w:t xml:space="preserve">关键词：</w:t>
      </w:r>
      <w:r>
        <w:t xml:space="preserve"> </w:t>
      </w:r>
      <w:r>
        <w:t xml:space="preserve">语义通信；混合数字—模拟传输；不完美信道状态信息；分组错误率；语义特征擦除；可靠性融合</w:t>
      </w:r>
    </w:p>
    <w:bookmarkEnd w:id="20"/>
    <w:bookmarkStart w:id="21" w:name="引言"/>
    <w:p>
      <w:pPr>
        <w:pStyle w:val="Heading1"/>
      </w:pPr>
      <w:r>
        <w:t xml:space="preserve">1 引言</w:t>
      </w:r>
    </w:p>
    <w:p>
      <w:pPr>
        <w:pStyle w:val="FirstParagraph"/>
      </w:pPr>
      <w:r>
        <w:t xml:space="preserve">语义通信不再仅以逐比特无差错恢复为唯一目标，而是关注接收端对任务相关信息和感知质量的保持。深度联合源信道编码能够在低信噪比和信道失配条件下实现渐进式质量退化，HDA-DeepSC进一步将关键语义基描述映射到数字支路，将难以量化的连续残差映射到模拟支路，从而兼顾标准数字链路的可靠性与模拟传输的柔性退化特征</w:t>
      </w:r>
      <w:r>
        <w:t xml:space="preserve"> </w:t>
      </w:r>
      <w:r>
        <w:t xml:space="preserve">(Xie 等 2021, 2025; Bourtsoulatze, Kurka, 和 Gündüz 2019)</w:t>
      </w:r>
      <w:r>
        <w:t xml:space="preserve">。</w:t>
      </w:r>
    </w:p>
    <w:p>
      <w:pPr>
        <w:pStyle w:val="BodyText"/>
      </w:pPr>
      <w:r>
        <w:t xml:space="preserve">然而，原始系统通常依赖理想或近似理想的信道状态信息。实际接收机只能通过有限导频获得估计信道，估计误差会影响均衡、软解调和低密度奇偶校验（LDPC）译码。另一方面，即使译码器输出的平均比特错误率较低，少量高有效位错误、整包丢失或语义特征块缺失仍可能显著破坏图像重建。因此，仅报告峰值信噪比或单一比特错误率，难以刻画从物理层到语义层的完整失真链路。</w:t>
      </w:r>
    </w:p>
    <w:p>
      <w:pPr>
        <w:pStyle w:val="BodyText"/>
      </w:pPr>
      <w:r>
        <w:t xml:space="preserve">本文片段将前期不完美CSI实验与后续BER/PER/FER统计、人工物理丢包、语义特征包擦除、数字—模拟权重调节及操作者界面设计统一到同一实验主线中。主要贡献如下：</w:t>
      </w:r>
    </w:p>
    <w:p>
      <w:pPr>
        <w:numPr>
          <w:ilvl w:val="0"/>
          <w:numId w:val="1001"/>
        </w:numPr>
        <w:pStyle w:val="Compact"/>
      </w:pPr>
      <w:r>
        <w:t xml:space="preserve">构建接收域不确定性感知软解调方法，并解释为何简单替换线性均衡器未必带来译码增益；</w:t>
      </w:r>
    </w:p>
    <w:p>
      <w:pPr>
        <w:numPr>
          <w:ilvl w:val="0"/>
          <w:numId w:val="1001"/>
        </w:numPr>
        <w:pStyle w:val="Compact"/>
      </w:pPr>
      <w:r>
        <w:t xml:space="preserve">建立从BER、PER和FER到语义特征不可用率的分层可靠性评价体系；</w:t>
      </w:r>
    </w:p>
    <w:p>
      <w:pPr>
        <w:numPr>
          <w:ilvl w:val="0"/>
          <w:numId w:val="1001"/>
        </w:numPr>
        <w:pStyle w:val="Compact"/>
      </w:pPr>
      <w:r>
        <w:t xml:space="preserve">区分物理层人工擦除与译码后语义特征包擦除，避免将自然链路错误与人为控制变量混为一谈；</w:t>
      </w:r>
    </w:p>
    <w:p>
      <w:pPr>
        <w:numPr>
          <w:ilvl w:val="0"/>
          <w:numId w:val="1001"/>
        </w:numPr>
        <w:pStyle w:val="Compact"/>
      </w:pPr>
      <w:r>
        <w:t xml:space="preserve">引入数字—模拟相对权重与可选特征恢复策略，并通过交互界面实现参数配置、结果可视化和实验记录。</w:t>
      </w:r>
    </w:p>
    <w:bookmarkEnd w:id="21"/>
    <w:bookmarkStart w:id="27" w:name="系统模型与不完美csi接收"/>
    <w:p>
      <w:pPr>
        <w:pStyle w:val="Heading1"/>
      </w:pPr>
      <w:r>
        <w:t xml:space="preserve">2 系统模型与不完美CSI接收</w:t>
      </w:r>
    </w:p>
    <w:bookmarkStart w:id="25" w:name="混合数字模拟语义链路"/>
    <w:p>
      <w:pPr>
        <w:pStyle w:val="Heading2"/>
      </w:pPr>
      <w:r>
        <w:t xml:space="preserve">2.1 混合数字—模拟语义链路</w:t>
      </w:r>
    </w:p>
    <w:p>
      <w:pPr>
        <w:pStyle w:val="FirstParagraph"/>
      </w:pPr>
      <w:r>
        <w:t xml:space="preserve">设输入图像为</w:t>
      </w:r>
      <w:r>
        <w:t xml:space="preserve"> </w:t>
      </w:r>
      <m:oMath>
        <m:r>
          <m:rPr>
            <m:sty m:val="b"/>
          </m:rPr>
          <m:t>I</m:t>
        </m:r>
      </m:oMath>
      <w:r>
        <w:t xml:space="preserve">，语义编码器输出潜在表示</w:t>
      </w:r>
    </w:p>
    <w:p>
      <w:pPr>
        <w:pStyle w:val="BodyText"/>
      </w:pPr>
      <m:oMathPara>
        <m:oMathParaPr>
          <m:jc m:val="center"/>
        </m:oMathParaPr>
        <m:oMath>
          <m:r>
            <m:rPr>
              <m:sty m:val="b"/>
            </m:rPr>
            <m:t>z</m:t>
          </m:r>
          <m:r>
            <m:rPr>
              <m:sty m:val="p"/>
            </m:rPr>
            <m:t>=</m:t>
          </m:r>
          <m:r>
            <m:t>S</m:t>
          </m:r>
          <m:d>
            <m:dPr>
              <m:begChr m:val="("/>
              <m:endChr m:val=")"/>
              <m:sepChr m:val=""/>
              <m:grow/>
            </m:dPr>
            <m:e>
              <m:r>
                <m:rPr>
                  <m:sty m:val="b"/>
                </m:rPr>
                <m:t>I</m:t>
              </m:r>
              <m:r>
                <m:rPr>
                  <m:sty m:val="p"/>
                </m:rPr>
                <m:t>;</m:t>
              </m:r>
              <m:sSub>
                <m:e>
                  <m:r>
                    <m:rPr>
                      <m:sty m:val="b"/>
                    </m:rPr>
                    <m:t>α</m:t>
                  </m:r>
                </m:e>
                <m:sub>
                  <m:r>
                    <m:t>t</m:t>
                  </m:r>
                </m:sub>
              </m:sSub>
            </m:e>
          </m:d>
          <m:r>
            <m:rPr>
              <m:sty m:val="p"/>
            </m:rPr>
            <m:t>.</m:t>
          </m:r>
        </m:oMath>
      </m:oMathPara>
    </w:p>
    <w:p>
      <w:pPr>
        <w:pStyle w:val="FirstParagraph"/>
      </w:pPr>
      <w:r>
        <w:t xml:space="preserve">数字—模拟分配模块将其分解为量化数字基描述</w:t>
      </w:r>
      <w:r>
        <w:t xml:space="preserve"> </w:t>
      </w:r>
      <m:oMath>
        <m:sSubSup>
          <m:e>
            <m:r>
              <m:rPr>
                <m:sty m:val="b"/>
              </m:rPr>
              <m:t>z</m:t>
            </m:r>
          </m:e>
          <m:sub>
            <m:r>
              <m:t>D</m:t>
            </m:r>
          </m:sub>
          <m:sup>
            <m:r>
              <m:t>q</m:t>
            </m:r>
          </m:sup>
        </m:sSubSup>
      </m:oMath>
      <w:r>
        <w:t xml:space="preserve"> </w:t>
      </w:r>
      <w:r>
        <w:t xml:space="preserve">和模拟残差</w:t>
      </w:r>
      <w:r>
        <w:t xml:space="preserve"> </w:t>
      </w:r>
      <m:oMath>
        <m:sSub>
          <m:e>
            <m:r>
              <m:rPr>
                <m:sty m:val="b"/>
              </m:rPr>
              <m:t>z</m:t>
            </m:r>
          </m:e>
          <m:sub>
            <m:r>
              <m:t>A</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b"/>
                      </m:rPr>
                      <m:t>z</m:t>
                    </m:r>
                  </m:e>
                  <m:sub>
                    <m:r>
                      <m:t>D</m:t>
                    </m:r>
                  </m:sub>
                </m:sSub>
              </m:e>
              <m:e>
                <m:r>
                  <m:rPr>
                    <m:sty m:val="p"/>
                  </m:rPr>
                  <m:t>=</m:t>
                </m:r>
                <m:r>
                  <m:t>H</m:t>
                </m:r>
                <m:d>
                  <m:dPr>
                    <m:begChr m:val="("/>
                    <m:endChr m:val=")"/>
                    <m:sepChr m:val=""/>
                    <m:grow/>
                  </m:dPr>
                  <m:e>
                    <m:r>
                      <m:rPr>
                        <m:sty m:val="b"/>
                      </m:rPr>
                      <m:t>z</m:t>
                    </m:r>
                  </m:e>
                </m:d>
                <m:r>
                  <m:rPr>
                    <m:sty m:val="p"/>
                  </m:rPr>
                  <m:t>,</m:t>
                </m:r>
              </m:e>
            </m:mr>
            <m:mr>
              <m:e>
                <m:sSubSup>
                  <m:e>
                    <m:r>
                      <m:rPr>
                        <m:sty m:val="b"/>
                      </m:rPr>
                      <m:t>z</m:t>
                    </m:r>
                  </m:e>
                  <m:sub>
                    <m:r>
                      <m:t>D</m:t>
                    </m:r>
                  </m:sub>
                  <m:sup>
                    <m:r>
                      <m:t>q</m:t>
                    </m:r>
                  </m:sup>
                </m:sSubSup>
              </m:e>
              <m:e>
                <m:r>
                  <m:rPr>
                    <m:sty m:val="p"/>
                  </m:rPr>
                  <m:t>=</m:t>
                </m:r>
                <m:r>
                  <m:t>Q</m:t>
                </m:r>
                <m:d>
                  <m:dPr>
                    <m:begChr m:val="("/>
                    <m:endChr m:val=")"/>
                    <m:sepChr m:val=""/>
                    <m:grow/>
                  </m:dPr>
                  <m:e>
                    <m:sSub>
                      <m:e>
                        <m:r>
                          <m:rPr>
                            <m:sty m:val="b"/>
                          </m:rPr>
                          <m:t>z</m:t>
                        </m:r>
                      </m:e>
                      <m:sub>
                        <m:r>
                          <m:t>D</m:t>
                        </m:r>
                      </m:sub>
                    </m:sSub>
                  </m:e>
                </m:d>
                <m:r>
                  <m:rPr>
                    <m:sty m:val="p"/>
                  </m:rPr>
                  <m:t>,</m:t>
                </m:r>
              </m:e>
            </m:mr>
            <m:mr>
              <m:e>
                <m:sSub>
                  <m:e>
                    <m:r>
                      <m:rPr>
                        <m:sty m:val="b"/>
                      </m:rPr>
                      <m:t>z</m:t>
                    </m:r>
                  </m:e>
                  <m:sub>
                    <m:r>
                      <m:t>A</m:t>
                    </m:r>
                  </m:sub>
                </m:sSub>
              </m:e>
              <m:e>
                <m:r>
                  <m:rPr>
                    <m:sty m:val="p"/>
                  </m:rPr>
                  <m:t>=</m:t>
                </m:r>
                <m:r>
                  <m:rPr>
                    <m:sty m:val="b"/>
                  </m:rPr>
                  <m:t>z</m:t>
                </m:r>
                <m:r>
                  <m:rPr>
                    <m:sty m:val="p"/>
                  </m:rPr>
                  <m:t>−</m:t>
                </m:r>
                <m:sSup>
                  <m:e>
                    <m:r>
                      <m:t>H</m:t>
                    </m:r>
                  </m:e>
                  <m:sup>
                    <m:r>
                      <m:rPr>
                        <m:sty m:val="p"/>
                      </m:rPr>
                      <m:t>−</m:t>
                    </m:r>
                    <m:r>
                      <m:t>1</m:t>
                    </m:r>
                  </m:sup>
                </m:sSup>
                <m:d>
                  <m:dPr>
                    <m:begChr m:val="("/>
                    <m:endChr m:val=")"/>
                    <m:sepChr m:val=""/>
                    <m:grow/>
                  </m:dPr>
                  <m:e>
                    <m:sSubSup>
                      <m:e>
                        <m:r>
                          <m:rPr>
                            <m:sty m:val="b"/>
                          </m:rPr>
                          <m:t>z</m:t>
                        </m:r>
                      </m:e>
                      <m:sub>
                        <m:r>
                          <m:t>D</m:t>
                        </m:r>
                      </m:sub>
                      <m:sup>
                        <m:r>
                          <m:t>q</m:t>
                        </m:r>
                      </m:sup>
                    </m:sSubSup>
                  </m:e>
                </m:d>
                <m:r>
                  <m:rPr>
                    <m:sty m:val="p"/>
                  </m:rPr>
                  <m:t>.</m:t>
                </m:r>
              </m:e>
            </m:mr>
          </m:m>
        </m:oMath>
      </m:oMathPara>
    </w:p>
    <w:p>
      <w:pPr>
        <w:pStyle w:val="FirstParagraph"/>
      </w:pPr>
      <w:r>
        <w:t xml:space="preserve">数字支路对8比特量化特征进行序列化、LDPC编码和自适应调制编码；模拟支路对连续残差进行功率归一化后直接传输。现有实现中，每个语义信息包包含256个信息比特，对应32个8比特量化特征值。</w:t>
      </w:r>
    </w:p>
    <w:p>
      <w:pPr>
        <w:pStyle w:val="BodyText"/>
      </w:pPr>
      <w:r>
        <w:t xml:space="preserve">接收信号采用块衰落模型</w:t>
      </w:r>
    </w:p>
    <w:p>
      <w:pPr>
        <w:pStyle w:val="BodyText"/>
      </w:pPr>
      <m:oMathPara>
        <m:oMathParaPr>
          <m:jc m:val="center"/>
        </m:oMathParaPr>
        <m:oMath>
          <m:sSub>
            <m:e>
              <m:r>
                <m:t>y</m:t>
              </m:r>
            </m:e>
            <m:sub>
              <m:r>
                <m:t>i</m:t>
              </m:r>
            </m:sub>
          </m:sSub>
          <m:r>
            <m:rPr>
              <m:sty m:val="p"/>
            </m:rPr>
            <m:t>=</m:t>
          </m:r>
          <m:r>
            <m:t>h</m:t>
          </m:r>
          <m:sSub>
            <m:e>
              <m:r>
                <m:t>x</m:t>
              </m:r>
            </m:e>
            <m:sub>
              <m:r>
                <m:t>i</m:t>
              </m:r>
            </m:sub>
          </m:sSub>
          <m:r>
            <m:rPr>
              <m:sty m:val="p"/>
            </m:rPr>
            <m:t>+</m:t>
          </m:r>
          <m:sSub>
            <m:e>
              <m:r>
                <m:t>n</m:t>
              </m:r>
            </m:e>
            <m:sub>
              <m:r>
                <m:t>i</m:t>
              </m:r>
            </m:sub>
          </m:sSub>
          <m:r>
            <m:rPr>
              <m:sty m:val="p"/>
            </m:rPr>
            <m:t>,</m:t>
          </m:r>
          <m:r>
            <m:t>  </m:t>
          </m:r>
          <m:acc>
            <m:accPr>
              <m:chr m:val="̂"/>
            </m:accPr>
            <m:e>
              <m:r>
                <m:t>h</m:t>
              </m:r>
            </m:e>
          </m:acc>
          <m:r>
            <m:rPr>
              <m:sty m:val="p"/>
            </m:rPr>
            <m:t>=</m:t>
          </m:r>
          <m:r>
            <m:t>h</m:t>
          </m:r>
          <m:r>
            <m:rPr>
              <m:sty m:val="p"/>
            </m:rPr>
            <m:t>+</m:t>
          </m:r>
          <m:r>
            <m:t>e</m:t>
          </m:r>
          <m:r>
            <m:rPr>
              <m:sty m:val="p"/>
            </m:rPr>
            <m:t>,</m:t>
          </m:r>
        </m:oMath>
      </m:oMathPara>
    </w:p>
    <w:p>
      <w:pPr>
        <w:pStyle w:val="FirstParagraph"/>
      </w:pPr>
      <w:r>
        <w:t xml:space="preserve">其中</w:t>
      </w:r>
      <w:r>
        <w:t xml:space="preserve"> </w:t>
      </w:r>
      <m:oMath>
        <m:r>
          <m:t>h</m:t>
        </m:r>
      </m:oMath>
      <w:r>
        <w:t xml:space="preserve"> </w:t>
      </w:r>
      <w:r>
        <w:t xml:space="preserve">为一个图像样本内共享的Rician衰落系数，</w:t>
      </w:r>
      <m:oMath>
        <m:sSub>
          <m:e>
            <m:r>
              <m:t>n</m:t>
            </m:r>
          </m:e>
          <m:sub>
            <m:r>
              <m:t>i</m:t>
            </m:r>
          </m:sub>
        </m:sSub>
      </m:oMath>
      <w:r>
        <w:t xml:space="preserve"> </w:t>
      </w:r>
      <w:r>
        <w:t xml:space="preserve">为加性高斯噪声，</w:t>
      </w:r>
      <m:oMath>
        <m:r>
          <m:t>e</m:t>
        </m:r>
      </m:oMath>
      <w:r>
        <w:t xml:space="preserve"> </w:t>
      </w:r>
      <w:r>
        <w:t xml:space="preserve">为信道估计误差。该模型用于隔离接收机软信息校准问题，不代表频率选择性、多天线或载波偏移等更复杂场景。</w:t>
      </w:r>
    </w:p>
    <w:p>
      <w:pPr>
        <w:pStyle w:val="CaptionedFigure"/>
      </w:pPr>
      <w:r>
        <w:drawing>
          <wp:inline>
            <wp:extent cx="6108700" cy="2430606"/>
            <wp:effectExtent b="0" l="0" r="0" t="0"/>
            <wp:docPr descr="统一实验框架。操作者界面同时控制信道、CSI误差、接收机、人工擦除模式、数字—模拟融合权重及恢复策略，并输出链路层与图像层指标。" title="" id="23" name="Picture"/>
            <a:graphic>
              <a:graphicData uri="http://schemas.openxmlformats.org/drawingml/2006/picture">
                <pic:pic>
                  <pic:nvPicPr>
                    <pic:cNvPr descr="figures/framework.png" id="24" name="Picture"/>
                    <pic:cNvPicPr>
                      <a:picLocks noChangeArrowheads="1" noChangeAspect="1"/>
                    </pic:cNvPicPr>
                  </pic:nvPicPr>
                  <pic:blipFill>
                    <a:blip r:embed="rId22"/>
                    <a:stretch>
                      <a:fillRect/>
                    </a:stretch>
                  </pic:blipFill>
                  <pic:spPr bwMode="auto">
                    <a:xfrm>
                      <a:off x="0" y="0"/>
                      <a:ext cx="6108700" cy="2430606"/>
                    </a:xfrm>
                    <a:prstGeom prst="rect">
                      <a:avLst/>
                    </a:prstGeom>
                    <a:noFill/>
                    <a:ln w="9525">
                      <a:noFill/>
                      <a:headEnd/>
                      <a:tailEnd/>
                    </a:ln>
                  </pic:spPr>
                </pic:pic>
              </a:graphicData>
            </a:graphic>
          </wp:inline>
        </w:drawing>
      </w:r>
    </w:p>
    <w:p>
      <w:pPr>
        <w:pStyle w:val="ImageCaption"/>
      </w:pPr>
      <w:r>
        <w:t xml:space="preserve">统一实验框架。操作者界面同时控制信道、CSI误差、接收机、人工擦除模式、数字—模拟融合权重及恢复策略，并输出链路层与图像层指标。</w:t>
      </w:r>
    </w:p>
    <w:bookmarkEnd w:id="25"/>
    <w:bookmarkStart w:id="26" w:name="不确定性感知软解调"/>
    <w:p>
      <w:pPr>
        <w:pStyle w:val="Heading2"/>
      </w:pPr>
      <w:r>
        <w:t xml:space="preserve">2.2 不确定性感知软解调</w:t>
      </w:r>
    </w:p>
    <w:p>
      <w:pPr>
        <w:pStyle w:val="FirstParagraph"/>
      </w:pPr>
      <w:r>
        <w:t xml:space="preserve">若均衡后同时向软解调器传递有效增益和滤波噪声方差，则非零标量均衡系数可能在归一化距离中抵消。因此，单纯将最小二乘均衡器替换为线性鲁棒最小均方误差均衡器，不一定改变LDPC译码器接收到的对数似然比。为直接建模CSI误差，本文在接收域对候选星座点</w:t>
      </w:r>
      <w:r>
        <w:t xml:space="preserve"> </w:t>
      </w:r>
      <m:oMath>
        <m:r>
          <m:t>s</m:t>
        </m:r>
      </m:oMath>
      <w:r>
        <w:t xml:space="preserve"> </w:t>
      </w:r>
      <w:r>
        <w:t xml:space="preserve">定义</w:t>
      </w:r>
    </w:p>
    <w:p>
      <w:pPr>
        <w:pStyle w:val="BodyText"/>
      </w:pPr>
      <m:oMathPara>
        <m:oMathParaPr>
          <m:jc m:val="center"/>
        </m:oMathParaPr>
        <m:oMath>
          <m:m>
            <m:mPr>
              <m:baseJc m:val="center"/>
              <m:plcHide m:val="on"/>
              <m:mcs>
                <m:mc>
                  <m:mcPr>
                    <m:mcJc m:val="right"/>
                    <m:count m:val="1"/>
                  </m:mcPr>
                </m:mc>
                <m:mc>
                  <m:mcPr>
                    <m:mcJc m:val="left"/>
                    <m:count m:val="1"/>
                  </m:mcPr>
                </m:mc>
              </m:mcs>
            </m:mPr>
            <m:mr>
              <m:e>
                <m:r>
                  <m:t>v</m:t>
                </m:r>
                <m:d>
                  <m:dPr>
                    <m:begChr m:val="("/>
                    <m:endChr m:val=")"/>
                    <m:sepChr m:val=""/>
                    <m:grow/>
                  </m:dPr>
                  <m:e>
                    <m:r>
                      <m:t>s</m:t>
                    </m:r>
                  </m:e>
                </m:d>
              </m:e>
              <m:e>
                <m:r>
                  <m:rPr>
                    <m:sty m:val="p"/>
                  </m:rPr>
                  <m:t>=</m:t>
                </m:r>
                <m:sSubSup>
                  <m:e>
                    <m:r>
                      <m:t>σ</m:t>
                    </m:r>
                  </m:e>
                  <m:sub>
                    <m:r>
                      <m:t>n</m:t>
                    </m:r>
                  </m:sub>
                  <m:sup>
                    <m:r>
                      <m:t>2</m:t>
                    </m:r>
                  </m:sup>
                </m:sSubSup>
                <m:r>
                  <m:rPr>
                    <m:sty m:val="p"/>
                  </m:rPr>
                  <m:t>+</m:t>
                </m:r>
                <m:sSup>
                  <m:e>
                    <m:d>
                      <m:dPr>
                        <m:begChr m:val="|"/>
                        <m:endChr m:val="|"/>
                        <m:sepChr m:val=""/>
                        <m:grow/>
                      </m:dPr>
                      <m:e>
                        <m:r>
                          <m:t>s</m:t>
                        </m:r>
                      </m:e>
                    </m:d>
                  </m:e>
                  <m:sup>
                    <m:r>
                      <m:t>2</m:t>
                    </m:r>
                  </m:sup>
                </m:sSup>
                <m:sSubSup>
                  <m:e>
                    <m:r>
                      <m:t>σ</m:t>
                    </m:r>
                  </m:e>
                  <m:sub>
                    <m:r>
                      <m:t>e</m:t>
                    </m:r>
                  </m:sub>
                  <m:sup>
                    <m:r>
                      <m:t>2</m:t>
                    </m:r>
                  </m:sup>
                </m:sSubSup>
                <m:r>
                  <m:rPr>
                    <m:sty m:val="p"/>
                  </m:rPr>
                  <m:t>,</m:t>
                </m:r>
              </m:e>
            </m:mr>
            <m:mr>
              <m:e>
                <m:sSub>
                  <m:e>
                    <m:r>
                      <m:rPr>
                        <m:sty m:val="p"/>
                        <m:scr m:val="script"/>
                      </m:rPr>
                      <m:t>M</m:t>
                    </m:r>
                  </m:e>
                  <m:sub>
                    <m:r>
                      <m:t>C</m:t>
                    </m:r>
                  </m:sub>
                </m:sSub>
                <m:d>
                  <m:dPr>
                    <m:begChr m:val="("/>
                    <m:endChr m:val=")"/>
                    <m:sepChr m:val=""/>
                    <m:grow/>
                  </m:dPr>
                  <m:e>
                    <m:r>
                      <m:t>s</m:t>
                    </m:r>
                  </m:e>
                </m:d>
              </m:e>
              <m:e>
                <m:r>
                  <m:rPr>
                    <m:sty m:val="p"/>
                  </m:rPr>
                  <m:t>=</m:t>
                </m:r>
                <m:r>
                  <m:rPr>
                    <m:sty m:val="p"/>
                  </m:rPr>
                  <m:t>−</m:t>
                </m:r>
                <m:f>
                  <m:fPr>
                    <m:type m:val="bar"/>
                  </m:fPr>
                  <m:num>
                    <m:sSup>
                      <m:e>
                        <m:d>
                          <m:dPr>
                            <m:begChr m:val="|"/>
                            <m:endChr m:val="|"/>
                            <m:sepChr m:val=""/>
                            <m:grow/>
                          </m:dPr>
                          <m:e>
                            <m:r>
                              <m:t>y</m:t>
                            </m:r>
                            <m:r>
                              <m:rPr>
                                <m:sty m:val="p"/>
                              </m:rPr>
                              <m:t>−</m:t>
                            </m:r>
                            <m:acc>
                              <m:accPr>
                                <m:chr m:val="̂"/>
                              </m:accPr>
                              <m:e>
                                <m:r>
                                  <m:t>h</m:t>
                                </m:r>
                              </m:e>
                            </m:acc>
                            <m:r>
                              <m:t>s</m:t>
                            </m:r>
                          </m:e>
                        </m:d>
                      </m:e>
                      <m:sup>
                        <m:r>
                          <m:t>2</m:t>
                        </m:r>
                      </m:sup>
                    </m:sSup>
                  </m:num>
                  <m:den>
                    <m:r>
                      <m:t>2</m:t>
                    </m:r>
                    <m:r>
                      <m:t>v</m:t>
                    </m:r>
                    <m:d>
                      <m:dPr>
                        <m:begChr m:val="("/>
                        <m:endChr m:val=")"/>
                        <m:sepChr m:val=""/>
                        <m:grow/>
                      </m:dPr>
                      <m:e>
                        <m:r>
                          <m:t>s</m:t>
                        </m:r>
                      </m:e>
                    </m:d>
                  </m:den>
                </m:f>
                <m:r>
                  <m:rPr>
                    <m:sty m:val="p"/>
                  </m:rPr>
                  <m:t>−</m:t>
                </m:r>
                <m:f>
                  <m:fPr>
                    <m:type m:val="bar"/>
                  </m:fPr>
                  <m:num>
                    <m:r>
                      <m:t>1</m:t>
                    </m:r>
                  </m:num>
                  <m:den>
                    <m:r>
                      <m:t>2</m:t>
                    </m:r>
                  </m:den>
                </m:f>
                <m:r>
                  <m:rPr>
                    <m:sty m:val="p"/>
                  </m:rPr>
                  <m:t>ln</m:t>
                </m:r>
                <m:r>
                  <m:t>v</m:t>
                </m:r>
                <m:d>
                  <m:dPr>
                    <m:begChr m:val="("/>
                    <m:endChr m:val=")"/>
                    <m:sepChr m:val=""/>
                    <m:grow/>
                  </m:dPr>
                  <m:e>
                    <m:r>
                      <m:t>s</m:t>
                    </m:r>
                  </m:e>
                </m:d>
                <m:r>
                  <m:rPr>
                    <m:sty m:val="p"/>
                  </m:rPr>
                  <m:t>,</m:t>
                </m:r>
              </m:e>
            </m:mr>
          </m:m>
        </m:oMath>
      </m:oMathPara>
    </w:p>
    <w:p>
      <w:pPr>
        <w:pStyle w:val="FirstParagraph"/>
      </w:pPr>
      <w:r>
        <w:t xml:space="preserve">其中</w:t>
      </w:r>
      <w:r>
        <w:t xml:space="preserve"> </w:t>
      </w:r>
      <m:oMath>
        <m:sSubSup>
          <m:e>
            <m:r>
              <m:t>σ</m:t>
            </m:r>
          </m:e>
          <m:sub>
            <m:r>
              <m:t>n</m:t>
            </m:r>
          </m:sub>
          <m:sup>
            <m:r>
              <m:t>2</m:t>
            </m:r>
          </m:sup>
        </m:sSubSup>
      </m:oMath>
      <w:r>
        <w:t xml:space="preserve"> </w:t>
      </w:r>
      <w:r>
        <w:t xml:space="preserve">和</w:t>
      </w:r>
      <w:r>
        <w:t xml:space="preserve"> </w:t>
      </w:r>
      <m:oMath>
        <m:sSubSup>
          <m:e>
            <m:r>
              <m:t>σ</m:t>
            </m:r>
          </m:e>
          <m:sub>
            <m:r>
              <m:t>e</m:t>
            </m:r>
          </m:sub>
          <m:sup>
            <m:r>
              <m:t>2</m:t>
            </m:r>
          </m:sup>
        </m:sSubSup>
      </m:oMath>
      <w:r>
        <w:t xml:space="preserve"> </w:t>
      </w:r>
      <w:r>
        <w:t xml:space="preserve">分别为热噪声方差与信道估计误差方差。对应第</w:t>
      </w:r>
      <w:r>
        <w:t xml:space="preserve"> </w:t>
      </w:r>
      <m:oMath>
        <m:r>
          <m:t>k</m:t>
        </m:r>
      </m:oMath>
      <w:r>
        <w:t xml:space="preserve"> </w:t>
      </w:r>
      <w:r>
        <w:t xml:space="preserve">个编码比特的软信息为</w:t>
      </w:r>
    </w:p>
    <w:p>
      <w:pPr>
        <w:pStyle w:val="BodyText"/>
      </w:pPr>
      <m:oMathPara>
        <m:oMathParaPr>
          <m:jc m:val="center"/>
        </m:oMathParaPr>
        <m:oMath>
          <m:r>
            <m:t>L</m:t>
          </m:r>
          <m:d>
            <m:dPr>
              <m:begChr m:val="("/>
              <m:endChr m:val=")"/>
              <m:sepChr m:val=""/>
              <m:grow/>
            </m:dPr>
            <m:e>
              <m:sSub>
                <m:e>
                  <m:r>
                    <m:t>b</m:t>
                  </m:r>
                </m:e>
                <m:sub>
                  <m:r>
                    <m:t>k</m:t>
                  </m:r>
                </m:sub>
              </m:sSub>
            </m:e>
          </m:d>
          <m:r>
            <m:rPr>
              <m:sty m:val="p"/>
            </m:rPr>
            <m:t>=</m:t>
          </m:r>
          <m:r>
            <m:rPr>
              <m:sty m:val="p"/>
            </m:rPr>
            <m:t>log</m:t>
          </m:r>
          <m:nary>
            <m:naryPr>
              <m:chr m:val="∑"/>
              <m:limLoc m:val="undOvr"/>
              <m:subHide m:val="off"/>
              <m:supHide m:val="on"/>
            </m:naryPr>
            <m:sub>
              <m:r>
                <m:t>s</m:t>
              </m:r>
              <m:r>
                <m:rPr>
                  <m:sty m:val="p"/>
                </m:rPr>
                <m:t>∈</m:t>
              </m:r>
              <m:sSub>
                <m:e>
                  <m:r>
                    <m:rPr>
                      <m:sty m:val="p"/>
                      <m:scr m:val="script"/>
                    </m:rPr>
                    <m:t>S</m:t>
                  </m:r>
                </m:e>
                <m:sub>
                  <m:r>
                    <m:t>k</m:t>
                  </m:r>
                  <m:r>
                    <m:rPr>
                      <m:sty m:val="p"/>
                    </m:rPr>
                    <m:t>,</m:t>
                  </m:r>
                  <m:r>
                    <m:t>1</m:t>
                  </m:r>
                </m:sub>
              </m:sSub>
            </m:sub>
            <m:sup>
              <m:r>
                <m:t>​</m:t>
              </m:r>
            </m:sup>
            <m:e>
              <m:r>
                <m:rPr>
                  <m:sty m:val="p"/>
                </m:rPr>
                <m:t>exp</m:t>
              </m:r>
            </m:e>
          </m:nary>
          <m:d>
            <m:dPr>
              <m:begChr m:val="["/>
              <m:endChr m:val="]"/>
              <m:sepChr m:val=""/>
              <m:grow/>
            </m:dPr>
            <m:e>
              <m:sSub>
                <m:e>
                  <m:r>
                    <m:rPr>
                      <m:sty m:val="p"/>
                      <m:scr m:val="script"/>
                    </m:rPr>
                    <m:t>M</m:t>
                  </m:r>
                </m:e>
                <m:sub>
                  <m:r>
                    <m:t>C</m:t>
                  </m:r>
                </m:sub>
              </m:sSub>
              <m:d>
                <m:dPr>
                  <m:begChr m:val="("/>
                  <m:endChr m:val=")"/>
                  <m:sepChr m:val=""/>
                  <m:grow/>
                </m:dPr>
                <m:e>
                  <m:r>
                    <m:t>s</m:t>
                  </m:r>
                </m:e>
              </m:d>
            </m:e>
          </m:d>
          <m:r>
            <m:rPr>
              <m:sty m:val="p"/>
            </m:rPr>
            <m:t>−</m:t>
          </m:r>
          <m:r>
            <m:rPr>
              <m:sty m:val="p"/>
            </m:rPr>
            <m:t>log</m:t>
          </m:r>
          <m:nary>
            <m:naryPr>
              <m:chr m:val="∑"/>
              <m:limLoc m:val="undOvr"/>
              <m:subHide m:val="off"/>
              <m:supHide m:val="on"/>
            </m:naryPr>
            <m:sub>
              <m:r>
                <m:t>s</m:t>
              </m:r>
              <m:r>
                <m:rPr>
                  <m:sty m:val="p"/>
                </m:rPr>
                <m:t>∈</m:t>
              </m:r>
              <m:sSub>
                <m:e>
                  <m:r>
                    <m:rPr>
                      <m:sty m:val="p"/>
                      <m:scr m:val="script"/>
                    </m:rPr>
                    <m:t>S</m:t>
                  </m:r>
                </m:e>
                <m:sub>
                  <m:r>
                    <m:t>k</m:t>
                  </m:r>
                  <m:r>
                    <m:rPr>
                      <m:sty m:val="p"/>
                    </m:rPr>
                    <m:t>,</m:t>
                  </m:r>
                  <m:r>
                    <m:t>0</m:t>
                  </m:r>
                </m:sub>
              </m:sSub>
            </m:sub>
            <m:sup>
              <m:r>
                <m:t>​</m:t>
              </m:r>
            </m:sup>
            <m:e>
              <m:r>
                <m:rPr>
                  <m:sty m:val="p"/>
                </m:rPr>
                <m:t>exp</m:t>
              </m:r>
            </m:e>
          </m:nary>
          <m:d>
            <m:dPr>
              <m:begChr m:val="["/>
              <m:endChr m:val="]"/>
              <m:sepChr m:val=""/>
              <m:grow/>
            </m:dPr>
            <m:e>
              <m:sSub>
                <m:e>
                  <m:r>
                    <m:rPr>
                      <m:sty m:val="p"/>
                      <m:scr m:val="script"/>
                    </m:rPr>
                    <m:t>M</m:t>
                  </m:r>
                </m:e>
                <m:sub>
                  <m:r>
                    <m:t>C</m:t>
                  </m:r>
                </m:sub>
              </m:sSub>
              <m:d>
                <m:dPr>
                  <m:begChr m:val="("/>
                  <m:endChr m:val=")"/>
                  <m:sepChr m:val=""/>
                  <m:grow/>
                </m:dPr>
                <m:e>
                  <m:r>
                    <m:t>s</m:t>
                  </m:r>
                </m:e>
              </m:d>
            </m:e>
          </m:d>
          <m:r>
            <m:rPr>
              <m:sty m:val="p"/>
            </m:rPr>
            <m:t>.</m:t>
          </m:r>
        </m:oMath>
      </m:oMathPara>
    </w:p>
    <w:p>
      <w:pPr>
        <w:pStyle w:val="FirstParagraph"/>
      </w:pPr>
      <w:r>
        <w:t xml:space="preserve">对于BPSK和QPSK等恒模星座，候选点能量相同，方差修正主要体现为统一缩放；对于16-QAM等非恒模星座，不同候选点具有不同能量，上述度量能够改变候选概率与软信息置信度。</w:t>
      </w:r>
    </w:p>
    <w:bookmarkEnd w:id="26"/>
    <w:bookmarkEnd w:id="27"/>
    <w:bookmarkStart w:id="31" w:name="分层错误度量与可控丢包"/>
    <w:p>
      <w:pPr>
        <w:pStyle w:val="Heading1"/>
      </w:pPr>
      <w:r>
        <w:t xml:space="preserve">3 分层错误度量与可控丢包</w:t>
      </w:r>
    </w:p>
    <w:bookmarkStart w:id="28" w:name="berper与fer"/>
    <w:p>
      <w:pPr>
        <w:pStyle w:val="Heading2"/>
      </w:pPr>
      <w:r>
        <w:t xml:space="preserve">3.1 BER、PER与FER</w:t>
      </w:r>
    </w:p>
    <w:p>
      <w:pPr>
        <w:pStyle w:val="FirstParagraph"/>
      </w:pPr>
      <w:r>
        <w:t xml:space="preserve">设一帧包含</w:t>
      </w:r>
      <w:r>
        <w:t xml:space="preserve"> </w:t>
      </w:r>
      <m:oMath>
        <m:sSub>
          <m:e>
            <m:r>
              <m:t>N</m:t>
            </m:r>
          </m:e>
          <m:sub>
            <m:r>
              <m:t>b</m:t>
            </m:r>
          </m:sub>
        </m:sSub>
      </m:oMath>
      <w:r>
        <w:t xml:space="preserve"> </w:t>
      </w:r>
      <w:r>
        <w:t xml:space="preserve">个信息比特、</w:t>
      </w:r>
      <m:oMath>
        <m:sSub>
          <m:e>
            <m:r>
              <m:t>N</m:t>
            </m:r>
          </m:e>
          <m:sub>
            <m:r>
              <m:t>p</m:t>
            </m:r>
          </m:sub>
        </m:sSub>
      </m:oMath>
      <w:r>
        <w:t xml:space="preserve"> </w:t>
      </w:r>
      <w:r>
        <w:t xml:space="preserve">个语义信息包和</w:t>
      </w:r>
      <w:r>
        <w:t xml:space="preserve"> </w:t>
      </w:r>
      <m:oMath>
        <m:sSub>
          <m:e>
            <m:r>
              <m:t>N</m:t>
            </m:r>
          </m:e>
          <m:sub>
            <m:r>
              <m:t>f</m:t>
            </m:r>
          </m:sub>
        </m:sSub>
      </m:oMath>
      <w:r>
        <w:t xml:space="preserve"> </w:t>
      </w:r>
      <w:r>
        <w:t xml:space="preserve">个LDPC信息块。定义</w:t>
      </w:r>
    </w:p>
    <w:p>
      <w:pPr>
        <w:pStyle w:val="BodyText"/>
      </w:pPr>
      <m:oMathPara>
        <m:oMathParaPr>
          <m:jc m:val="center"/>
        </m:oMathParaPr>
        <m:oMath>
          <m:r>
            <m:rPr>
              <m:sty m:val="p"/>
            </m:rPr>
            <m:t>B</m:t>
          </m:r>
          <m:r>
            <m:rPr>
              <m:sty m:val="p"/>
            </m:rPr>
            <m:t>E</m:t>
          </m:r>
          <m:r>
            <m:rPr>
              <m:sty m:val="p"/>
            </m:rPr>
            <m:t>R</m:t>
          </m:r>
          <m:r>
            <m:rPr>
              <m:sty m:val="p"/>
            </m:rPr>
            <m:t>=</m:t>
          </m:r>
          <m:f>
            <m:fPr>
              <m:type m:val="bar"/>
            </m:fPr>
            <m:num>
              <m:r>
                <m:t>1</m:t>
              </m:r>
            </m:num>
            <m:den>
              <m:sSub>
                <m:e>
                  <m:r>
                    <m:t>N</m:t>
                  </m:r>
                </m:e>
                <m:sub>
                  <m:r>
                    <m:t>b</m:t>
                  </m:r>
                </m:sub>
              </m:sSub>
            </m:den>
          </m:f>
          <m:nary>
            <m:naryPr>
              <m:chr m:val="∑"/>
              <m:limLoc m:val="undOvr"/>
              <m:subHide m:val="off"/>
              <m:supHide m:val="off"/>
            </m:naryPr>
            <m:sub>
              <m:r>
                <m:t>i</m:t>
              </m:r>
              <m:r>
                <m:rPr>
                  <m:sty m:val="p"/>
                </m:rPr>
                <m:t>=</m:t>
              </m:r>
              <m:r>
                <m:t>1</m:t>
              </m:r>
            </m:sub>
            <m:sup>
              <m:sSub>
                <m:e>
                  <m:r>
                    <m:t>N</m:t>
                  </m:r>
                </m:e>
                <m:sub>
                  <m:r>
                    <m:t>b</m:t>
                  </m:r>
                </m:sub>
              </m:sSub>
            </m:sup>
            <m:e>
              <m:r>
                <m:rPr>
                  <m:sty m:val="b"/>
                </m:rPr>
                <m:t>1</m:t>
              </m:r>
            </m:e>
          </m:nary>
          <m:d>
            <m:dPr>
              <m:begChr m:val="("/>
              <m:endChr m:val=")"/>
              <m:sepChr m:val=""/>
              <m:grow/>
            </m:dPr>
            <m:e>
              <m:sSub>
                <m:e>
                  <m:acc>
                    <m:accPr>
                      <m:chr m:val="̂"/>
                    </m:accPr>
                    <m:e>
                      <m:r>
                        <m:t>b</m:t>
                      </m:r>
                    </m:e>
                  </m:acc>
                </m:e>
                <m:sub>
                  <m:r>
                    <m:t>i</m:t>
                  </m:r>
                </m:sub>
              </m:sSub>
              <m:r>
                <m:rPr>
                  <m:sty m:val="p"/>
                </m:rPr>
                <m:t>≠</m:t>
              </m:r>
              <m:sSub>
                <m:e>
                  <m:r>
                    <m:t>b</m:t>
                  </m:r>
                </m:e>
                <m:sub>
                  <m:r>
                    <m:t>i</m:t>
                  </m:r>
                </m:sub>
              </m:sSub>
            </m:e>
          </m:d>
          <m:r>
            <m:rPr>
              <m:sty m:val="p"/>
            </m:rPr>
            <m:t>,</m:t>
          </m:r>
        </m:oMath>
      </m:oMathPara>
    </w:p>
    <w:p>
      <w:pPr>
        <w:pStyle w:val="FirstParagraph"/>
      </w:pPr>
      <m:oMathPara>
        <m:oMathParaPr>
          <m:jc m:val="center"/>
        </m:oMathParaPr>
        <m:oMath>
          <m:r>
            <m:rPr>
              <m:sty m:val="p"/>
            </m:rPr>
            <m:t>P</m:t>
          </m:r>
          <m:r>
            <m:rPr>
              <m:sty m:val="p"/>
            </m:rPr>
            <m:t>E</m:t>
          </m:r>
          <m:r>
            <m:rPr>
              <m:sty m:val="p"/>
            </m:rPr>
            <m:t>R</m:t>
          </m:r>
          <m:r>
            <m:rPr>
              <m:sty m:val="p"/>
            </m:rPr>
            <m:t>=</m:t>
          </m:r>
          <m:f>
            <m:fPr>
              <m:type m:val="bar"/>
            </m:fPr>
            <m:num>
              <m:r>
                <m:t>1</m:t>
              </m:r>
            </m:num>
            <m:den>
              <m:sSub>
                <m:e>
                  <m:r>
                    <m:t>N</m:t>
                  </m:r>
                </m:e>
                <m:sub>
                  <m:r>
                    <m:t>p</m:t>
                  </m:r>
                </m:sub>
              </m:sSub>
            </m:den>
          </m:f>
          <m:nary>
            <m:naryPr>
              <m:chr m:val="∑"/>
              <m:limLoc m:val="undOvr"/>
              <m:subHide m:val="off"/>
              <m:supHide m:val="off"/>
            </m:naryPr>
            <m:sub>
              <m:r>
                <m:t>p</m:t>
              </m:r>
              <m:r>
                <m:rPr>
                  <m:sty m:val="p"/>
                </m:rPr>
                <m:t>=</m:t>
              </m:r>
              <m:r>
                <m:t>1</m:t>
              </m:r>
            </m:sub>
            <m:sup>
              <m:sSub>
                <m:e>
                  <m:r>
                    <m:t>N</m:t>
                  </m:r>
                </m:e>
                <m:sub>
                  <m:r>
                    <m:t>p</m:t>
                  </m:r>
                </m:sub>
              </m:sSub>
            </m:sup>
            <m:e>
              <m:r>
                <m:rPr>
                  <m:sty m:val="b"/>
                </m:rPr>
                <m:t>1</m:t>
              </m:r>
            </m:e>
          </m:nary>
          <m:d>
            <m:dPr>
              <m:begChr m:val="("/>
              <m:endChr m:val=")"/>
              <m:sepChr m:val=""/>
              <m:grow/>
            </m:dPr>
            <m:e>
              <m:sSub>
                <m:e>
                  <m:acc>
                    <m:accPr>
                      <m:chr m:val="̂"/>
                    </m:accPr>
                    <m:e>
                      <m:r>
                        <m:rPr>
                          <m:sty m:val="b"/>
                        </m:rPr>
                        <m:t>b</m:t>
                      </m:r>
                    </m:e>
                  </m:acc>
                </m:e>
                <m:sub>
                  <m:r>
                    <m:t>p</m:t>
                  </m:r>
                </m:sub>
              </m:sSub>
              <m:r>
                <m:rPr>
                  <m:sty m:val="p"/>
                </m:rPr>
                <m:t>≠</m:t>
              </m:r>
              <m:sSub>
                <m:e>
                  <m:r>
                    <m:rPr>
                      <m:sty m:val="b"/>
                    </m:rPr>
                    <m:t>b</m:t>
                  </m:r>
                </m:e>
                <m:sub>
                  <m:r>
                    <m:t>p</m:t>
                  </m:r>
                </m:sub>
              </m:sSub>
            </m:e>
          </m:d>
          <m:r>
            <m:rPr>
              <m:sty m:val="p"/>
            </m:rPr>
            <m:t>,</m:t>
          </m:r>
        </m:oMath>
      </m:oMathPara>
    </w:p>
    <w:p>
      <w:pPr>
        <w:pStyle w:val="FirstParagraph"/>
      </w:pPr>
      <m:oMathPara>
        <m:oMathParaPr>
          <m:jc m:val="center"/>
        </m:oMathParaPr>
        <m:oMath>
          <m:r>
            <m:rPr>
              <m:sty m:val="p"/>
            </m:rPr>
            <m:t>F</m:t>
          </m:r>
          <m:r>
            <m:rPr>
              <m:sty m:val="p"/>
            </m:rPr>
            <m:t>E</m:t>
          </m:r>
          <m:r>
            <m:rPr>
              <m:sty m:val="p"/>
            </m:rPr>
            <m:t>R</m:t>
          </m:r>
          <m:r>
            <m:rPr>
              <m:sty m:val="p"/>
            </m:rPr>
            <m:t>=</m:t>
          </m:r>
          <m:f>
            <m:fPr>
              <m:type m:val="bar"/>
            </m:fPr>
            <m:num>
              <m:r>
                <m:t>1</m:t>
              </m:r>
            </m:num>
            <m:den>
              <m:sSub>
                <m:e>
                  <m:r>
                    <m:t>N</m:t>
                  </m:r>
                </m:e>
                <m:sub>
                  <m:r>
                    <m:t>f</m:t>
                  </m:r>
                </m:sub>
              </m:sSub>
            </m:den>
          </m:f>
          <m:nary>
            <m:naryPr>
              <m:chr m:val="∑"/>
              <m:limLoc m:val="undOvr"/>
              <m:subHide m:val="off"/>
              <m:supHide m:val="off"/>
            </m:naryPr>
            <m:sub>
              <m:r>
                <m:t>f</m:t>
              </m:r>
              <m:r>
                <m:rPr>
                  <m:sty m:val="p"/>
                </m:rPr>
                <m:t>=</m:t>
              </m:r>
              <m:r>
                <m:t>1</m:t>
              </m:r>
            </m:sub>
            <m:sup>
              <m:sSub>
                <m:e>
                  <m:r>
                    <m:t>N</m:t>
                  </m:r>
                </m:e>
                <m:sub>
                  <m:r>
                    <m:t>f</m:t>
                  </m:r>
                </m:sub>
              </m:sSub>
            </m:sup>
            <m:e>
              <m:r>
                <m:rPr>
                  <m:sty m:val="b"/>
                </m:rPr>
                <m:t>1</m:t>
              </m:r>
            </m:e>
          </m:nary>
          <m:d>
            <m:dPr>
              <m:begChr m:val="("/>
              <m:endChr m:val=")"/>
              <m:sepChr m:val=""/>
              <m:grow/>
            </m:dPr>
            <m:e>
              <m:sSub>
                <m:e>
                  <m:acc>
                    <m:accPr>
                      <m:chr m:val="̂"/>
                    </m:accPr>
                    <m:e>
                      <m:r>
                        <m:rPr>
                          <m:sty m:val="b"/>
                        </m:rPr>
                        <m:t>b</m:t>
                      </m:r>
                    </m:e>
                  </m:acc>
                </m:e>
                <m:sub>
                  <m:r>
                    <m:t>f</m:t>
                  </m:r>
                </m:sub>
              </m:sSub>
              <m:r>
                <m:rPr>
                  <m:sty m:val="p"/>
                </m:rPr>
                <m:t>≠</m:t>
              </m:r>
              <m:sSub>
                <m:e>
                  <m:r>
                    <m:rPr>
                      <m:sty m:val="b"/>
                    </m:rPr>
                    <m:t>b</m:t>
                  </m:r>
                </m:e>
                <m:sub>
                  <m:r>
                    <m:t>f</m:t>
                  </m:r>
                </m:sub>
              </m:sSub>
            </m:e>
          </m:d>
          <m:r>
            <m:rPr>
              <m:sty m:val="p"/>
            </m:rPr>
            <m:t>.</m:t>
          </m:r>
        </m:oMath>
      </m:oMathPara>
    </w:p>
    <w:p>
      <w:pPr>
        <w:pStyle w:val="FirstParagraph"/>
      </w:pPr>
      <w:r>
        <w:t xml:space="preserve">PER中的一个包只要存在至少一个错误信息比特即记为错误；FER则以LDPC信息块为单位。三者共同反映平均比特损伤、语义包可用性与信道编码块失效概率。对于图像语义传输，还需结合数字特征均方误差、PSNR、MS-SSIM和LPIPS进行端到端评价；FID只适用于足够规模的数据集分布比较，不用于单图像判定。</w:t>
      </w:r>
    </w:p>
    <w:bookmarkEnd w:id="28"/>
    <w:bookmarkStart w:id="29" w:name="人工物理分组擦除"/>
    <w:p>
      <w:pPr>
        <w:pStyle w:val="Heading2"/>
      </w:pPr>
      <w:r>
        <w:t xml:space="preserve">3.2 人工物理分组擦除</w:t>
      </w:r>
    </w:p>
    <w:p>
      <w:pPr>
        <w:pStyle w:val="FirstParagraph"/>
      </w:pPr>
      <w:r>
        <w:t xml:space="preserve">人工物理擦除作用于信道译码前后的分组可用状态，用于模拟缓存丢包、链路层丢弃或接收缓冲区缺失。对第</w:t>
      </w:r>
      <w:r>
        <w:t xml:space="preserve"> </w:t>
      </w:r>
      <m:oMath>
        <m:r>
          <m:t>p</m:t>
        </m:r>
      </m:oMath>
      <w:r>
        <w:t xml:space="preserve"> </w:t>
      </w:r>
      <w:r>
        <w:t xml:space="preserve">个数字包，定义伯努利掩码</w:t>
      </w:r>
      <w:r>
        <w:t xml:space="preserve"> </w:t>
      </w:r>
      <m:oMath>
        <m:sSubSup>
          <m:e>
            <m:r>
              <m:t>m</m:t>
            </m:r>
          </m:e>
          <m:sub>
            <m:r>
              <m:t>p</m:t>
            </m:r>
          </m:sub>
          <m:sup>
            <m:r>
              <m:rPr>
                <m:sty m:val="p"/>
              </m:rPr>
              <m:t>p</m:t>
            </m:r>
            <m:r>
              <m:rPr>
                <m:sty m:val="p"/>
              </m:rPr>
              <m:t>h</m:t>
            </m:r>
            <m:r>
              <m:rPr>
                <m:sty m:val="p"/>
              </m:rPr>
              <m:t>y</m:t>
            </m:r>
          </m:sup>
        </m:sSubSup>
        <m:r>
          <m:rPr>
            <m:sty m:val="p"/>
          </m:rPr>
          <m:t>∈</m:t>
        </m:r>
        <m:r>
          <m:rPr>
            <m:sty m:val="p"/>
          </m:rPr>
          <m:t>{</m:t>
        </m:r>
        <m:r>
          <m:t>0</m:t>
        </m:r>
        <m:r>
          <m:rPr>
            <m:sty m:val="p"/>
          </m:rPr>
          <m:t>,</m:t>
        </m:r>
        <m:r>
          <m:t>1</m:t>
        </m:r>
        <m:r>
          <m:rPr>
            <m:sty m:val="p"/>
          </m:rPr>
          <m:t>}</m:t>
        </m:r>
      </m:oMath>
      <w:r>
        <w:t xml:space="preserve">，则</w:t>
      </w:r>
    </w:p>
    <w:p>
      <w:pPr>
        <w:pStyle w:val="BodyText"/>
      </w:pPr>
      <m:oMathPara>
        <m:oMathParaPr>
          <m:jc m:val="center"/>
        </m:oMathParaPr>
        <m:oMath>
          <m:sSub>
            <m:e>
              <m:acc>
                <m:accPr>
                  <m:chr m:val="̃"/>
                </m:accPr>
                <m:e>
                  <m:r>
                    <m:rPr>
                      <m:sty m:val="b"/>
                    </m:rPr>
                    <m:t>b</m:t>
                  </m:r>
                </m:e>
              </m:acc>
            </m:e>
            <m:sub>
              <m:r>
                <m:t>p</m:t>
              </m:r>
            </m:sub>
          </m:sSub>
          <m:r>
            <m:rPr>
              <m:sty m:val="p"/>
            </m:rPr>
            <m:t>=</m:t>
          </m:r>
          <m:sSubSup>
            <m:e>
              <m:r>
                <m:t>m</m:t>
              </m:r>
            </m:e>
            <m:sub>
              <m:r>
                <m:t>p</m:t>
              </m:r>
            </m:sub>
            <m:sup>
              <m:r>
                <m:rPr>
                  <m:sty m:val="p"/>
                </m:rPr>
                <m:t>p</m:t>
              </m:r>
              <m:r>
                <m:rPr>
                  <m:sty m:val="p"/>
                </m:rPr>
                <m:t>h</m:t>
              </m:r>
              <m:r>
                <m:rPr>
                  <m:sty m:val="p"/>
                </m:rPr>
                <m:t>y</m:t>
              </m:r>
            </m:sup>
          </m:sSubSup>
          <m:sSub>
            <m:e>
              <m:acc>
                <m:accPr>
                  <m:chr m:val="̂"/>
                </m:accPr>
                <m:e>
                  <m:r>
                    <m:rPr>
                      <m:sty m:val="b"/>
                    </m:rPr>
                    <m:t>b</m:t>
                  </m:r>
                </m:e>
              </m:acc>
            </m:e>
            <m:sub>
              <m:r>
                <m:t>p</m:t>
              </m:r>
            </m:sub>
          </m:sSub>
          <m:r>
            <m:rPr>
              <m:sty m:val="p"/>
            </m:rPr>
            <m:t>.</m:t>
          </m:r>
        </m:oMath>
      </m:oMathPara>
    </w:p>
    <w:p>
      <w:pPr>
        <w:pStyle w:val="FirstParagraph"/>
      </w:pPr>
      <w:r>
        <w:t xml:space="preserve">该模式保留真实调制、噪声、信道估计和译码过程，同时额外注入可控目标擦除率。实验日志分别保存目标人工擦除率、实际人工擦除率、自然PER及两者的重叠关系。</w:t>
      </w:r>
    </w:p>
    <w:bookmarkEnd w:id="29"/>
    <w:bookmarkStart w:id="30" w:name="语义特征包擦除"/>
    <w:p>
      <w:pPr>
        <w:pStyle w:val="Heading2"/>
      </w:pPr>
      <w:r>
        <w:t xml:space="preserve">3.3 语义特征包擦除</w:t>
      </w:r>
    </w:p>
    <w:p>
      <w:pPr>
        <w:pStyle w:val="FirstParagraph"/>
      </w:pPr>
      <w:r>
        <w:t xml:space="preserve">语义擦除发生在数字比特恢复为量化特征之后。每32个特征值组成一个语义特征包，第</w:t>
      </w:r>
      <w:r>
        <w:t xml:space="preserve"> </w:t>
      </w:r>
      <m:oMath>
        <m:r>
          <m:t>g</m:t>
        </m:r>
      </m:oMath>
      <w:r>
        <w:t xml:space="preserve"> </w:t>
      </w:r>
      <w:r>
        <w:t xml:space="preserve">组的擦除掩码为</w:t>
      </w:r>
      <w:r>
        <w:t xml:space="preserve"> </w:t>
      </w:r>
      <m:oMath>
        <m:sSubSup>
          <m:e>
            <m:r>
              <m:t>m</m:t>
            </m:r>
          </m:e>
          <m:sub>
            <m:r>
              <m:t>g</m:t>
            </m:r>
          </m:sub>
          <m:sup>
            <m:r>
              <m:rPr>
                <m:sty m:val="p"/>
              </m:rPr>
              <m:t>s</m:t>
            </m:r>
            <m:r>
              <m:rPr>
                <m:sty m:val="p"/>
              </m:rPr>
              <m:t>e</m:t>
            </m:r>
            <m:r>
              <m:rPr>
                <m:sty m:val="p"/>
              </m:rPr>
              <m:t>m</m:t>
            </m:r>
          </m:sup>
        </m:sSubSup>
      </m:oMath>
      <w:r>
        <w:t xml:space="preserve">。采用恢复值</w:t>
      </w:r>
      <w:r>
        <w:t xml:space="preserve"> </w:t>
      </w:r>
      <m:oMath>
        <m:sSub>
          <m:e>
            <m:r>
              <m:rPr>
                <m:sty m:val="b"/>
              </m:rPr>
              <m:t>r</m:t>
            </m:r>
          </m:e>
          <m:sub>
            <m:r>
              <m:t>g</m:t>
            </m:r>
          </m:sub>
        </m:sSub>
      </m:oMath>
      <w:r>
        <w:t xml:space="preserve"> </w:t>
      </w:r>
      <w:r>
        <w:t xml:space="preserve">时，送入融合模块的数字特征为</w:t>
      </w:r>
    </w:p>
    <w:p>
      <w:pPr>
        <w:pStyle w:val="BodyText"/>
      </w:pPr>
      <m:oMathPara>
        <m:oMathParaPr>
          <m:jc m:val="center"/>
        </m:oMathParaPr>
        <m:oMath>
          <m:sSub>
            <m:e>
              <m:acc>
                <m:accPr>
                  <m:chr m:val="̃"/>
                </m:accPr>
                <m:e>
                  <m:r>
                    <m:rPr>
                      <m:sty m:val="b"/>
                    </m:rPr>
                    <m:t>z</m:t>
                  </m:r>
                </m:e>
              </m:acc>
            </m:e>
            <m:sub>
              <m:r>
                <m:t>D</m:t>
              </m:r>
              <m:r>
                <m:rPr>
                  <m:sty m:val="p"/>
                </m:rPr>
                <m:t>,</m:t>
              </m:r>
              <m:r>
                <m:t>g</m:t>
              </m:r>
            </m:sub>
          </m:sSub>
          <m:r>
            <m:rPr>
              <m:sty m:val="p"/>
            </m:rPr>
            <m:t>=</m:t>
          </m:r>
          <m:sSubSup>
            <m:e>
              <m:r>
                <m:t>m</m:t>
              </m:r>
            </m:e>
            <m:sub>
              <m:r>
                <m:t>g</m:t>
              </m:r>
            </m:sub>
            <m:sup>
              <m:r>
                <m:rPr>
                  <m:sty m:val="p"/>
                </m:rPr>
                <m:t>s</m:t>
              </m:r>
              <m:r>
                <m:rPr>
                  <m:sty m:val="p"/>
                </m:rPr>
                <m:t>e</m:t>
              </m:r>
              <m:r>
                <m:rPr>
                  <m:sty m:val="p"/>
                </m:rPr>
                <m:t>m</m:t>
              </m:r>
            </m:sup>
          </m:sSubSup>
          <m:sSub>
            <m:e>
              <m:acc>
                <m:accPr>
                  <m:chr m:val="̂"/>
                </m:accPr>
                <m:e>
                  <m:r>
                    <m:rPr>
                      <m:sty m:val="b"/>
                    </m:rPr>
                    <m:t>z</m:t>
                  </m:r>
                </m:e>
              </m:acc>
            </m:e>
            <m:sub>
              <m:r>
                <m:t>D</m:t>
              </m:r>
              <m:r>
                <m:rPr>
                  <m:sty m:val="p"/>
                </m:rPr>
                <m:t>,</m:t>
              </m:r>
              <m:r>
                <m:t>g</m:t>
              </m:r>
            </m:sub>
          </m:sSub>
          <m:r>
            <m:rPr>
              <m:sty m:val="p"/>
            </m:rPr>
            <m:t>+</m:t>
          </m:r>
          <m:d>
            <m:dPr>
              <m:begChr m:val="("/>
              <m:endChr m:val=")"/>
              <m:sepChr m:val=""/>
              <m:grow/>
            </m:dPr>
            <m:e>
              <m:r>
                <m:t>1</m:t>
              </m:r>
              <m:r>
                <m:rPr>
                  <m:sty m:val="p"/>
                </m:rPr>
                <m:t>−</m:t>
              </m:r>
              <m:sSubSup>
                <m:e>
                  <m:r>
                    <m:t>m</m:t>
                  </m:r>
                </m:e>
                <m:sub>
                  <m:r>
                    <m:t>g</m:t>
                  </m:r>
                </m:sub>
                <m:sup>
                  <m:r>
                    <m:rPr>
                      <m:sty m:val="p"/>
                    </m:rPr>
                    <m:t>s</m:t>
                  </m:r>
                  <m:r>
                    <m:rPr>
                      <m:sty m:val="p"/>
                    </m:rPr>
                    <m:t>e</m:t>
                  </m:r>
                  <m:r>
                    <m:rPr>
                      <m:sty m:val="p"/>
                    </m:rPr>
                    <m:t>m</m:t>
                  </m:r>
                </m:sup>
              </m:sSubSup>
            </m:e>
          </m:d>
          <m:sSub>
            <m:e>
              <m:r>
                <m:rPr>
                  <m:sty m:val="b"/>
                </m:rPr>
                <m:t>r</m:t>
              </m:r>
            </m:e>
            <m:sub>
              <m:r>
                <m:t>g</m:t>
              </m:r>
            </m:sub>
          </m:sSub>
          <m:r>
            <m:rPr>
              <m:sty m:val="p"/>
            </m:rPr>
            <m:t>.</m:t>
          </m:r>
        </m:oMath>
      </m:oMathPara>
    </w:p>
    <w:p>
      <w:pPr>
        <w:pStyle w:val="FirstParagraph"/>
      </w:pPr>
      <w:r>
        <w:t xml:space="preserve">当前操作者界面支持零填充与均值填充。学习型恢复模块应在单独训练、固定检查点和独立测试集条件下评估，不能将模拟支路扩散去噪器直接描述为数字缺失特征恢复器。</w:t>
      </w:r>
    </w:p>
    <w:p>
      <w:pPr>
        <w:pStyle w:val="BodyText"/>
      </w:pPr>
      <w:r>
        <w:t xml:space="preserve">设自然错误包集合为</w:t>
      </w:r>
      <w:r>
        <w:t xml:space="preserve"> </w:t>
      </w:r>
      <m:oMath>
        <m:r>
          <m:rPr>
            <m:sty m:val="p"/>
            <m:scr m:val="script"/>
          </m:rPr>
          <m:t>N</m:t>
        </m:r>
      </m:oMath>
      <w:r>
        <w:t xml:space="preserve">，人工擦除集合为</w:t>
      </w:r>
      <w:r>
        <w:t xml:space="preserve"> </w:t>
      </w:r>
      <m:oMath>
        <m:r>
          <m:rPr>
            <m:sty m:val="p"/>
            <m:scr m:val="script"/>
          </m:rPr>
          <m:t>A</m:t>
        </m:r>
      </m:oMath>
      <w:r>
        <w:t xml:space="preserve">，最终不可用率定义为</w:t>
      </w:r>
    </w:p>
    <w:p>
      <w:pPr>
        <w:pStyle w:val="BodyText"/>
      </w:pPr>
      <m:oMathPara>
        <m:oMathParaPr>
          <m:jc m:val="center"/>
        </m:oMathParaPr>
        <m:oMath>
          <m:sSub>
            <m:e>
              <m:r>
                <m:t>R</m:t>
              </m:r>
            </m:e>
            <m:sub>
              <m:r>
                <m:rPr>
                  <m:sty m:val="p"/>
                </m:rPr>
                <m:t>u</m:t>
              </m:r>
              <m:r>
                <m:rPr>
                  <m:sty m:val="p"/>
                </m:rPr>
                <m:t>n</m:t>
              </m:r>
              <m:r>
                <m:rPr>
                  <m:sty m:val="p"/>
                </m:rPr>
                <m:t>a</m:t>
              </m:r>
              <m:r>
                <m:rPr>
                  <m:sty m:val="p"/>
                </m:rPr>
                <m:t>v</m:t>
              </m:r>
              <m:r>
                <m:rPr>
                  <m:sty m:val="p"/>
                </m:rPr>
                <m:t>a</m:t>
              </m:r>
              <m:r>
                <m:rPr>
                  <m:sty m:val="p"/>
                </m:rPr>
                <m:t>i</m:t>
              </m:r>
              <m:r>
                <m:rPr>
                  <m:sty m:val="p"/>
                </m:rPr>
                <m:t>l</m:t>
              </m:r>
            </m:sub>
          </m:sSub>
          <m:r>
            <m:rPr>
              <m:sty m:val="p"/>
            </m:rPr>
            <m:t>=</m:t>
          </m:r>
          <m:f>
            <m:fPr>
              <m:type m:val="bar"/>
            </m:fPr>
            <m:num>
              <m:d>
                <m:dPr>
                  <m:begChr m:val="|"/>
                  <m:endChr m:val="|"/>
                  <m:sepChr m:val=""/>
                  <m:grow/>
                </m:dPr>
                <m:e>
                  <m:r>
                    <m:rPr>
                      <m:sty m:val="p"/>
                      <m:scr m:val="script"/>
                    </m:rPr>
                    <m:t>N</m:t>
                  </m:r>
                  <m:r>
                    <m:rPr>
                      <m:sty m:val="p"/>
                    </m:rPr>
                    <m:t>∪</m:t>
                  </m:r>
                  <m:r>
                    <m:rPr>
                      <m:sty m:val="p"/>
                      <m:scr m:val="script"/>
                    </m:rPr>
                    <m:t>A</m:t>
                  </m:r>
                </m:e>
              </m:d>
            </m:num>
            <m:den>
              <m:sSub>
                <m:e>
                  <m:r>
                    <m:t>N</m:t>
                  </m:r>
                </m:e>
                <m:sub>
                  <m:r>
                    <m:t>p</m:t>
                  </m:r>
                </m:sub>
              </m:sSub>
            </m:den>
          </m:f>
          <m:r>
            <m:rPr>
              <m:sty m:val="p"/>
            </m:rPr>
            <m:t>=</m:t>
          </m:r>
          <m:f>
            <m:fPr>
              <m:type m:val="bar"/>
            </m:fPr>
            <m:num>
              <m:d>
                <m:dPr>
                  <m:begChr m:val="|"/>
                  <m:endChr m:val="|"/>
                  <m:sepChr m:val=""/>
                  <m:grow/>
                </m:dPr>
                <m:e>
                  <m:r>
                    <m:rPr>
                      <m:sty m:val="p"/>
                      <m:scr m:val="script"/>
                    </m:rPr>
                    <m:t>N</m:t>
                  </m:r>
                </m:e>
              </m:d>
              <m:r>
                <m:rPr>
                  <m:sty m:val="p"/>
                </m:rPr>
                <m:t>+</m:t>
              </m:r>
              <m:d>
                <m:dPr>
                  <m:begChr m:val="|"/>
                  <m:endChr m:val="|"/>
                  <m:sepChr m:val=""/>
                  <m:grow/>
                </m:dPr>
                <m:e>
                  <m:r>
                    <m:rPr>
                      <m:sty m:val="p"/>
                      <m:scr m:val="script"/>
                    </m:rPr>
                    <m:t>A</m:t>
                  </m:r>
                </m:e>
              </m:d>
              <m:r>
                <m:rPr>
                  <m:sty m:val="p"/>
                </m:rPr>
                <m:t>−</m:t>
              </m:r>
              <m:d>
                <m:dPr>
                  <m:begChr m:val="|"/>
                  <m:endChr m:val="|"/>
                  <m:sepChr m:val=""/>
                  <m:grow/>
                </m:dPr>
                <m:e>
                  <m:r>
                    <m:rPr>
                      <m:sty m:val="p"/>
                      <m:scr m:val="script"/>
                    </m:rPr>
                    <m:t>N</m:t>
                  </m:r>
                  <m:r>
                    <m:rPr>
                      <m:sty m:val="p"/>
                    </m:rPr>
                    <m:t>∩</m:t>
                  </m:r>
                  <m:r>
                    <m:rPr>
                      <m:sty m:val="p"/>
                      <m:scr m:val="script"/>
                    </m:rPr>
                    <m:t>A</m:t>
                  </m:r>
                </m:e>
              </m:d>
            </m:num>
            <m:den>
              <m:sSub>
                <m:e>
                  <m:r>
                    <m:t>N</m:t>
                  </m:r>
                </m:e>
                <m:sub>
                  <m:r>
                    <m:t>p</m:t>
                  </m:r>
                </m:sub>
              </m:sSub>
            </m:den>
          </m:f>
          <m:r>
            <m:rPr>
              <m:sty m:val="p"/>
            </m:rPr>
            <m:t>.</m:t>
          </m:r>
        </m:oMath>
      </m:oMathPara>
    </w:p>
    <w:p>
      <w:pPr>
        <w:pStyle w:val="FirstParagraph"/>
      </w:pPr>
      <w:r>
        <w:t xml:space="preserve">该定义避免将目标人工丢包率与最终不可用率直接相加，从而保证实验报告在自然错误与人工干预共存时仍具有可解释性。</w:t>
      </w:r>
    </w:p>
    <w:bookmarkEnd w:id="30"/>
    <w:bookmarkEnd w:id="31"/>
    <w:bookmarkStart w:id="32" w:name="数字模拟可靠性融合与操作者界面"/>
    <w:p>
      <w:pPr>
        <w:pStyle w:val="Heading1"/>
      </w:pPr>
      <w:r>
        <w:t xml:space="preserve">4 数字—模拟可靠性融合与操作者界面</w:t>
      </w:r>
    </w:p>
    <w:p>
      <w:pPr>
        <w:pStyle w:val="FirstParagraph"/>
      </w:pPr>
      <w:r>
        <w:t xml:space="preserve">原始HDA融合通常直接相加数字基描述与模拟残差。为研究数字支路可靠性变化对端到端重建的影响，引入数字权重</w:t>
      </w:r>
      <w:r>
        <w:t xml:space="preserve"> </w:t>
      </w:r>
      <m:oMath>
        <m:sSub>
          <m:e>
            <m:r>
              <m:t>α</m:t>
            </m:r>
          </m:e>
          <m:sub>
            <m:r>
              <m:t>d</m:t>
            </m:r>
          </m:sub>
        </m:sSub>
        <m:r>
          <m:rPr>
            <m:sty m:val="p"/>
          </m:rPr>
          <m:t>∈</m:t>
        </m:r>
        <m:d>
          <m:dPr>
            <m:begChr m:val="["/>
            <m:endChr m:val="]"/>
            <m:sepChr m:val=""/>
            <m:grow/>
          </m:dPr>
          <m:e>
            <m:r>
              <m:t>0</m:t>
            </m:r>
            <m:r>
              <m:rPr>
                <m:sty m:val="p"/>
              </m:rPr>
              <m:t>,</m:t>
            </m:r>
            <m:r>
              <m:t>1</m:t>
            </m:r>
          </m:e>
        </m:d>
      </m:oMath>
      <w:r>
        <w:t xml:space="preserve">：</w:t>
      </w:r>
    </w:p>
    <w:p>
      <w:pPr>
        <w:pStyle w:val="BodyText"/>
      </w:pPr>
      <m:oMathPara>
        <m:oMathParaPr>
          <m:jc m:val="center"/>
        </m:oMathParaPr>
        <m:oMath>
          <m:acc>
            <m:accPr>
              <m:chr m:val="̂"/>
            </m:accPr>
            <m:e>
              <m:r>
                <m:rPr>
                  <m:sty m:val="b"/>
                </m:rPr>
                <m:t>z</m:t>
              </m:r>
            </m:e>
          </m:acc>
          <m:r>
            <m:rPr>
              <m:sty m:val="p"/>
            </m:rPr>
            <m:t>=</m:t>
          </m:r>
          <m:r>
            <m:t>2</m:t>
          </m:r>
          <m:sSub>
            <m:e>
              <m:r>
                <m:t>α</m:t>
              </m:r>
            </m:e>
            <m:sub>
              <m:r>
                <m:t>d</m:t>
              </m:r>
            </m:sub>
          </m:sSub>
          <m:sSub>
            <m:e>
              <m:acc>
                <m:accPr>
                  <m:chr m:val="̂"/>
                </m:accPr>
                <m:e>
                  <m:r>
                    <m:rPr>
                      <m:sty m:val="b"/>
                    </m:rPr>
                    <m:t>z</m:t>
                  </m:r>
                </m:e>
              </m:acc>
            </m:e>
            <m:sub>
              <m:r>
                <m:rPr>
                  <m:sty m:val="p"/>
                </m:rPr>
                <m:t>b</m:t>
              </m:r>
              <m:r>
                <m:rPr>
                  <m:sty m:val="p"/>
                </m:rPr>
                <m:t>a</m:t>
              </m:r>
              <m:r>
                <m:rPr>
                  <m:sty m:val="p"/>
                </m:rPr>
                <m:t>s</m:t>
              </m:r>
              <m:r>
                <m:rPr>
                  <m:sty m:val="p"/>
                </m:rPr>
                <m:t>e</m:t>
              </m:r>
            </m:sub>
          </m:sSub>
          <m:r>
            <m:rPr>
              <m:sty m:val="p"/>
            </m:rPr>
            <m:t>+</m:t>
          </m:r>
          <m:r>
            <m:t>2</m:t>
          </m:r>
          <m:d>
            <m:dPr>
              <m:begChr m:val="("/>
              <m:endChr m:val=")"/>
              <m:sepChr m:val=""/>
              <m:grow/>
            </m:dPr>
            <m:e>
              <m:r>
                <m:t>1</m:t>
              </m:r>
              <m:r>
                <m:rPr>
                  <m:sty m:val="p"/>
                </m:rPr>
                <m:t>−</m:t>
              </m:r>
              <m:sSub>
                <m:e>
                  <m:r>
                    <m:t>α</m:t>
                  </m:r>
                </m:e>
                <m:sub>
                  <m:r>
                    <m:t>d</m:t>
                  </m:r>
                </m:sub>
              </m:sSub>
            </m:e>
          </m:d>
          <m:sSub>
            <m:e>
              <m:acc>
                <m:accPr>
                  <m:chr m:val="̂"/>
                </m:accPr>
                <m:e>
                  <m:r>
                    <m:rPr>
                      <m:sty m:val="b"/>
                    </m:rPr>
                    <m:t>z</m:t>
                  </m:r>
                </m:e>
              </m:acc>
            </m:e>
            <m:sub>
              <m:r>
                <m:t>A</m:t>
              </m:r>
            </m:sub>
          </m:sSub>
          <m:r>
            <m:rPr>
              <m:sty m:val="p"/>
            </m:rPr>
            <m:t>.</m:t>
          </m:r>
        </m:oMath>
      </m:oMathPara>
    </w:p>
    <w:p>
      <w:pPr>
        <w:pStyle w:val="FirstParagraph"/>
      </w:pPr>
      <w:r>
        <w:t xml:space="preserve">当</w:t>
      </w:r>
      <w:r>
        <w:t xml:space="preserve"> </w:t>
      </w:r>
      <m:oMath>
        <m:sSub>
          <m:e>
            <m:r>
              <m:t>α</m:t>
            </m:r>
          </m:e>
          <m:sub>
            <m:r>
              <m:t>d</m:t>
            </m:r>
          </m:sub>
        </m:sSub>
        <m:r>
          <m:rPr>
            <m:sty m:val="p"/>
          </m:rPr>
          <m:t>=</m:t>
        </m:r>
        <m:r>
          <m:t>0.5</m:t>
        </m:r>
      </m:oMath>
      <w:r>
        <w:t xml:space="preserve"> </w:t>
      </w:r>
      <w:r>
        <w:t xml:space="preserve">时，上式严格退化为原始等权相加；</w:t>
      </w:r>
      <m:oMath>
        <m:sSub>
          <m:e>
            <m:r>
              <m:t>α</m:t>
            </m:r>
          </m:e>
          <m:sub>
            <m:r>
              <m:t>d</m:t>
            </m:r>
          </m:sub>
        </m:sSub>
        <m:r>
          <m:rPr>
            <m:sty m:val="p"/>
          </m:rPr>
          <m:t>&gt;</m:t>
        </m:r>
        <m:r>
          <m:t>0.5</m:t>
        </m:r>
      </m:oMath>
      <w:r>
        <w:t xml:space="preserve"> </w:t>
      </w:r>
      <w:r>
        <w:t xml:space="preserve">强调数字基描述，</w:t>
      </w:r>
      <m:oMath>
        <m:sSub>
          <m:e>
            <m:r>
              <m:t>α</m:t>
            </m:r>
          </m:e>
          <m:sub>
            <m:r>
              <m:t>d</m:t>
            </m:r>
          </m:sub>
        </m:sSub>
        <m:r>
          <m:rPr>
            <m:sty m:val="p"/>
          </m:rPr>
          <m:t>&lt;</m:t>
        </m:r>
        <m:r>
          <m:t>0.5</m:t>
        </m:r>
      </m:oMath>
      <w:r>
        <w:t xml:space="preserve"> </w:t>
      </w:r>
      <w:r>
        <w:t xml:space="preserve">则降低不可靠数字特征对最终潜在表示的污染。该参数本身不是完整的自适应融合算法，但为后续利用平均</w:t>
      </w:r>
      <w:r>
        <w:t xml:space="preserve"> </w:t>
      </w:r>
      <m:oMath>
        <m:d>
          <m:dPr>
            <m:begChr m:val="|"/>
            <m:endChr m:val="|"/>
            <m:sepChr m:val=""/>
            <m:grow/>
          </m:dPr>
          <m:e>
            <m:r>
              <m:t>L</m:t>
            </m:r>
          </m:e>
        </m:d>
      </m:oMath>
      <w:r>
        <w:t xml:space="preserve">、校验失败标记、有效SNR和包级可靠性预测权重提供了可控基线。</w:t>
      </w:r>
    </w:p>
    <w:p>
      <w:pPr>
        <w:pStyle w:val="BodyText"/>
      </w:pPr>
      <w:r>
        <w:rPr>
          <w:bCs/>
          <w:b/>
        </w:rPr>
        <w:t xml:space="preserve">表1 操作者界面的主要控制量与输出量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主要控制量</w:t>
            </w:r>
          </w:p>
        </w:tc>
        <w:tc>
          <w:tcPr/>
          <w:p>
            <w:pPr>
              <w:pStyle w:val="Compact"/>
              <w:jc w:val="left"/>
            </w:pPr>
            <w:r>
              <w:t xml:space="preserve">记录与输出</w:t>
            </w:r>
          </w:p>
        </w:tc>
      </w:tr>
      <w:tr>
        <w:tc>
          <w:tcPr/>
          <w:p>
            <w:pPr>
              <w:pStyle w:val="Compact"/>
              <w:jc w:val="left"/>
            </w:pPr>
            <w:r>
              <w:t xml:space="preserve">信道与CSI</w:t>
            </w:r>
          </w:p>
        </w:tc>
        <w:tc>
          <w:tcPr/>
          <w:p>
            <w:pPr>
              <w:pStyle w:val="Compact"/>
              <w:jc w:val="left"/>
            </w:pPr>
            <w:r>
              <w:t xml:space="preserve">AWGN/Rician、SNR、完美CSI、导频估计、受控NMSE</w:t>
            </w:r>
          </w:p>
        </w:tc>
        <w:tc>
          <w:tcPr/>
          <w:p>
            <w:pPr>
              <w:pStyle w:val="Compact"/>
              <w:jc w:val="left"/>
            </w:pPr>
            <w:r>
              <w:t xml:space="preserve">真实信道、估计信道、实现NMSE、有效SNR</w:t>
            </w:r>
          </w:p>
        </w:tc>
      </w:tr>
      <w:tr>
        <w:tc>
          <w:tcPr/>
          <w:p>
            <w:pPr>
              <w:pStyle w:val="Compact"/>
              <w:jc w:val="left"/>
            </w:pPr>
            <w:r>
              <w:t xml:space="preserve">数字接收机</w:t>
            </w:r>
          </w:p>
        </w:tc>
        <w:tc>
          <w:tcPr/>
          <w:p>
            <w:pPr>
              <w:pStyle w:val="Compact"/>
              <w:jc w:val="left"/>
            </w:pPr>
            <w:r>
              <w:t xml:space="preserve">失配软解调、不确定性感知MAP软解调</w:t>
            </w:r>
          </w:p>
        </w:tc>
        <w:tc>
          <w:tcPr/>
          <w:p>
            <w:pPr>
              <w:pStyle w:val="Compact"/>
              <w:jc w:val="left"/>
            </w:pPr>
            <w:r>
              <w:t xml:space="preserve">解码BER、PER、FER、平均</w:t>
            </w:r>
            <w:r>
              <w:t xml:space="preserve"> </w:t>
            </w:r>
            <m:oMath>
              <m:d>
                <m:dPr>
                  <m:begChr m:val="|"/>
                  <m:endChr m:val="|"/>
                  <m:sepChr m:val=""/>
                  <m:grow/>
                </m:dPr>
                <m:e>
                  <m:r>
                    <m:t>L</m:t>
                  </m:r>
                </m:e>
              </m:d>
            </m:oMath>
            <w:r>
              <w:t xml:space="preserve">、译码状态</w:t>
            </w:r>
          </w:p>
        </w:tc>
      </w:tr>
      <w:tr>
        <w:tc>
          <w:tcPr/>
          <w:p>
            <w:pPr>
              <w:pStyle w:val="Compact"/>
              <w:jc w:val="left"/>
            </w:pPr>
            <w:r>
              <w:t xml:space="preserve">丢包控制</w:t>
            </w:r>
          </w:p>
        </w:tc>
        <w:tc>
          <w:tcPr/>
          <w:p>
            <w:pPr>
              <w:pStyle w:val="Compact"/>
              <w:jc w:val="left"/>
            </w:pPr>
            <w:r>
              <w:t xml:space="preserve">自然信道、人工物理擦除、人工语义擦除、自然加语义擦除</w:t>
            </w:r>
          </w:p>
        </w:tc>
        <w:tc>
          <w:tcPr/>
          <w:p>
            <w:pPr>
              <w:pStyle w:val="Compact"/>
              <w:jc w:val="left"/>
            </w:pPr>
            <w:r>
              <w:t xml:space="preserve">目标人工率、实现人工率、自然PER、重叠率、最终不可用率</w:t>
            </w:r>
          </w:p>
        </w:tc>
      </w:tr>
      <w:tr>
        <w:tc>
          <w:tcPr/>
          <w:p>
            <w:pPr>
              <w:pStyle w:val="Compact"/>
              <w:jc w:val="left"/>
            </w:pPr>
            <w:r>
              <w:t xml:space="preserve">融合与恢复</w:t>
            </w:r>
          </w:p>
        </w:tc>
        <w:tc>
          <w:tcPr/>
          <w:p>
            <w:pPr>
              <w:pStyle w:val="Compact"/>
              <w:jc w:val="left"/>
            </w:pPr>
            <m:oMath>
              <m:sSub>
                <m:e>
                  <m:r>
                    <m:t>α</m:t>
                  </m:r>
                </m:e>
                <m:sub>
                  <m:r>
                    <m:t>d</m:t>
                  </m:r>
                </m:sub>
              </m:sSub>
            </m:oMath>
            <w:r>
              <w:t xml:space="preserve">、零填充、均值填充</w:t>
            </w:r>
          </w:p>
        </w:tc>
        <w:tc>
          <w:tcPr/>
          <w:p>
            <w:pPr>
              <w:pStyle w:val="Compact"/>
              <w:jc w:val="left"/>
            </w:pPr>
            <w:r>
              <w:t xml:space="preserve">数字基描述、模拟残差、融合潜在表示</w:t>
            </w:r>
          </w:p>
        </w:tc>
      </w:tr>
      <w:tr>
        <w:tc>
          <w:tcPr/>
          <w:p>
            <w:pPr>
              <w:pStyle w:val="Compact"/>
              <w:jc w:val="left"/>
            </w:pPr>
            <w:r>
              <w:t xml:space="preserve">图像评价</w:t>
            </w:r>
          </w:p>
        </w:tc>
        <w:tc>
          <w:tcPr/>
          <w:p>
            <w:pPr>
              <w:pStyle w:val="Compact"/>
              <w:jc w:val="left"/>
            </w:pPr>
            <w:r>
              <w:t xml:space="preserve">输入图像、随机种子、检查点</w:t>
            </w:r>
          </w:p>
        </w:tc>
        <w:tc>
          <w:tcPr/>
          <w:p>
            <w:pPr>
              <w:pStyle w:val="Compact"/>
              <w:jc w:val="left"/>
            </w:pPr>
            <w:r>
              <w:t xml:space="preserve">重建图像、PSNR、MS-SSIM、LPIPS及逐样本日志</w:t>
            </w:r>
          </w:p>
        </w:tc>
      </w:tr>
    </w:tbl>
    <w:p>
      <w:pPr>
        <w:pStyle w:val="BodyText"/>
      </w:pPr>
      <w:r>
        <w:t xml:space="preserve">界面设计遵循“同一输入、同一随机种子、同一检查点、同一信道实现”的配对原则。操作者改变单个控制量后，系统同步刷新链路指标、擦除掩码、重建图像和参数摘要，以降低手工脚本中由于随机状态不一致造成的比较偏差。</w:t>
      </w:r>
    </w:p>
    <w:bookmarkEnd w:id="32"/>
    <w:bookmarkStart w:id="39" w:name="实验协议与已有结果"/>
    <w:p>
      <w:pPr>
        <w:pStyle w:val="Heading1"/>
      </w:pPr>
      <w:r>
        <w:t xml:space="preserve">5 实验协议与已有结果</w:t>
      </w:r>
    </w:p>
    <w:bookmarkStart w:id="33" w:name="配对比较协议"/>
    <w:p>
      <w:pPr>
        <w:pStyle w:val="Heading2"/>
      </w:pPr>
      <w:r>
        <w:t xml:space="preserve">5.1 配对比较协议</w:t>
      </w:r>
    </w:p>
    <w:p>
      <w:pPr>
        <w:pStyle w:val="FirstParagraph"/>
      </w:pPr>
      <w:r>
        <w:t xml:space="preserve">实验组A使用完美CSI和匹配软解调；组B使用不完美CSI但忽略估计不确定性的失配软解调；组C使用相同估计信道和误差方差的不确定性感知软解调。每次前向传播前恢复相同随机状态，保证B、C两组共享输入图像、真实衰落、热噪声和信道估计误差。定义</w:t>
      </w:r>
    </w:p>
    <w:p>
      <w:pPr>
        <w:pStyle w:val="BodyText"/>
      </w:pPr>
      <m:oMathPara>
        <m:oMathParaPr>
          <m:jc m:val="center"/>
        </m:oMathParaPr>
        <m:oMath>
          <m:r>
            <m:t>Δ</m:t>
          </m:r>
          <m:r>
            <m:rPr>
              <m:sty m:val="p"/>
            </m:rPr>
            <m:t>B</m:t>
          </m:r>
          <m:r>
            <m:rPr>
              <m:sty m:val="p"/>
            </m:rPr>
            <m:t>E</m:t>
          </m:r>
          <m:r>
            <m:rPr>
              <m:sty m:val="p"/>
            </m:rPr>
            <m:t>R</m:t>
          </m:r>
          <m:r>
            <m:rPr>
              <m:sty m:val="p"/>
            </m:rPr>
            <m:t>=</m:t>
          </m:r>
          <m:sSub>
            <m:e>
              <m:r>
                <m:rPr>
                  <m:sty m:val="p"/>
                </m:rPr>
                <m:t>B</m:t>
              </m:r>
              <m:r>
                <m:rPr>
                  <m:sty m:val="p"/>
                </m:rPr>
                <m:t>E</m:t>
              </m:r>
              <m:r>
                <m:rPr>
                  <m:sty m:val="p"/>
                </m:rPr>
                <m:t>R</m:t>
              </m:r>
            </m:e>
            <m:sub>
              <m:r>
                <m:t>B</m:t>
              </m:r>
            </m:sub>
          </m:sSub>
          <m:r>
            <m:rPr>
              <m:sty m:val="p"/>
            </m:rPr>
            <m:t>−</m:t>
          </m:r>
          <m:sSub>
            <m:e>
              <m:r>
                <m:rPr>
                  <m:sty m:val="p"/>
                </m:rPr>
                <m:t>B</m:t>
              </m:r>
              <m:r>
                <m:rPr>
                  <m:sty m:val="p"/>
                </m:rPr>
                <m:t>E</m:t>
              </m:r>
              <m:r>
                <m:rPr>
                  <m:sty m:val="p"/>
                </m:rPr>
                <m:t>R</m:t>
              </m:r>
            </m:e>
            <m:sub>
              <m:r>
                <m:t>C</m:t>
              </m:r>
            </m:sub>
          </m:sSub>
          <m:r>
            <m:rPr>
              <m:sty m:val="p"/>
            </m:rPr>
            <m:t>,</m:t>
          </m:r>
          <m:r>
            <m:t>  </m:t>
          </m:r>
          <m:r>
            <m:t>Δ</m:t>
          </m:r>
          <m:r>
            <m:rPr>
              <m:sty m:val="p"/>
            </m:rPr>
            <m:t>P</m:t>
          </m:r>
          <m:r>
            <m:rPr>
              <m:sty m:val="p"/>
            </m:rPr>
            <m:t>S</m:t>
          </m:r>
          <m:r>
            <m:rPr>
              <m:sty m:val="p"/>
            </m:rPr>
            <m:t>N</m:t>
          </m:r>
          <m:r>
            <m:rPr>
              <m:sty m:val="p"/>
            </m:rPr>
            <m:t>R</m:t>
          </m:r>
          <m:r>
            <m:rPr>
              <m:sty m:val="p"/>
            </m:rPr>
            <m:t>=</m:t>
          </m:r>
          <m:sSub>
            <m:e>
              <m:r>
                <m:rPr>
                  <m:sty m:val="p"/>
                </m:rPr>
                <m:t>P</m:t>
              </m:r>
              <m:r>
                <m:rPr>
                  <m:sty m:val="p"/>
                </m:rPr>
                <m:t>S</m:t>
              </m:r>
              <m:r>
                <m:rPr>
                  <m:sty m:val="p"/>
                </m:rPr>
                <m:t>N</m:t>
              </m:r>
              <m:r>
                <m:rPr>
                  <m:sty m:val="p"/>
                </m:rPr>
                <m:t>R</m:t>
              </m:r>
            </m:e>
            <m:sub>
              <m:r>
                <m:t>C</m:t>
              </m:r>
            </m:sub>
          </m:sSub>
          <m:r>
            <m:rPr>
              <m:sty m:val="p"/>
            </m:rPr>
            <m:t>−</m:t>
          </m:r>
          <m:sSub>
            <m:e>
              <m:r>
                <m:rPr>
                  <m:sty m:val="p"/>
                </m:rPr>
                <m:t>P</m:t>
              </m:r>
              <m:r>
                <m:rPr>
                  <m:sty m:val="p"/>
                </m:rPr>
                <m:t>S</m:t>
              </m:r>
              <m:r>
                <m:rPr>
                  <m:sty m:val="p"/>
                </m:rPr>
                <m:t>N</m:t>
              </m:r>
              <m:r>
                <m:rPr>
                  <m:sty m:val="p"/>
                </m:rPr>
                <m:t>R</m:t>
              </m:r>
            </m:e>
            <m:sub>
              <m:r>
                <m:t>B</m:t>
              </m:r>
            </m:sub>
          </m:sSub>
          <m:r>
            <m:rPr>
              <m:sty m:val="p"/>
            </m:rPr>
            <m:t>.</m:t>
          </m:r>
        </m:oMath>
      </m:oMathPara>
    </w:p>
    <w:p>
      <w:pPr>
        <w:pStyle w:val="FirstParagraph"/>
      </w:pPr>
      <w:r>
        <w:t xml:space="preserve">正值表示不确定性感知接收机更优。</w:t>
      </w:r>
    </w:p>
    <w:bookmarkEnd w:id="33"/>
    <w:bookmarkStart w:id="37" w:name="受控csi误差结果"/>
    <w:p>
      <w:pPr>
        <w:pStyle w:val="Heading2"/>
      </w:pPr>
      <w:r>
        <w:t xml:space="preserve">5.2 受控CSI误差结果</w:t>
      </w:r>
    </w:p>
    <w:p>
      <w:pPr>
        <w:pStyle w:val="FirstParagraph"/>
      </w:pPr>
      <w:r>
        <w:t xml:space="preserve">在16-QAM工作区间，已有受控NMSE实验结果如表2和图2所示。</w:t>
      </w:r>
    </w:p>
    <w:p>
      <w:pPr>
        <w:pStyle w:val="BodyText"/>
      </w:pPr>
      <w:r>
        <w:rPr>
          <w:bCs/>
          <w:b/>
        </w:rPr>
        <w:t xml:space="preserve">表2 16-QAM区间的平均受控NMSE结果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目标NMSE</w:t>
            </w:r>
          </w:p>
        </w:tc>
        <w:tc>
          <w:tcPr/>
          <w:p>
            <w:pPr>
              <w:pStyle w:val="Compact"/>
              <w:jc w:val="right"/>
            </w:pPr>
            <w:r>
              <w:t xml:space="preserve">BER降低量</w:t>
            </w:r>
          </w:p>
        </w:tc>
        <w:tc>
          <w:tcPr/>
          <w:p>
            <w:pPr>
              <w:pStyle w:val="Compact"/>
              <w:jc w:val="right"/>
            </w:pPr>
            <w:r>
              <w:t xml:space="preserve">PSNR增益/dB</w:t>
            </w:r>
          </w:p>
        </w:tc>
      </w:tr>
      <w:tr>
        <w:tc>
          <w:tcPr/>
          <w:p>
            <w:pPr>
              <w:pStyle w:val="Compact"/>
              <w:jc w:val="right"/>
            </w:pPr>
            <w:r>
              <w:t xml:space="preserve">0.10</w:t>
            </w:r>
          </w:p>
        </w:tc>
        <w:tc>
          <w:tcPr/>
          <w:p>
            <w:pPr>
              <w:pStyle w:val="Compact"/>
              <w:jc w:val="right"/>
            </w:pPr>
            <w:r>
              <w:t xml:space="preserve">0.009557</w:t>
            </w:r>
          </w:p>
        </w:tc>
        <w:tc>
          <w:tcPr/>
          <w:p>
            <w:pPr>
              <w:pStyle w:val="Compact"/>
              <w:jc w:val="right"/>
            </w:pPr>
            <w:r>
              <w:t xml:space="preserve">1.040</w:t>
            </w:r>
          </w:p>
        </w:tc>
      </w:tr>
      <w:tr>
        <w:tc>
          <w:tcPr/>
          <w:p>
            <w:pPr>
              <w:pStyle w:val="Compact"/>
              <w:jc w:val="right"/>
            </w:pPr>
            <w:r>
              <w:t xml:space="preserve">0.20</w:t>
            </w:r>
          </w:p>
        </w:tc>
        <w:tc>
          <w:tcPr/>
          <w:p>
            <w:pPr>
              <w:pStyle w:val="Compact"/>
              <w:jc w:val="right"/>
            </w:pPr>
            <w:r>
              <w:t xml:space="preserve">0.016187</w:t>
            </w:r>
          </w:p>
        </w:tc>
        <w:tc>
          <w:tcPr/>
          <w:p>
            <w:pPr>
              <w:pStyle w:val="Compact"/>
              <w:jc w:val="right"/>
            </w:pPr>
            <w:r>
              <w:t xml:space="preserve">1.445</w:t>
            </w:r>
          </w:p>
        </w:tc>
      </w:tr>
      <w:tr>
        <w:tc>
          <w:tcPr/>
          <w:p>
            <w:pPr>
              <w:pStyle w:val="Compact"/>
              <w:jc w:val="right"/>
            </w:pPr>
            <w:r>
              <w:t xml:space="preserve">0.50</w:t>
            </w:r>
          </w:p>
        </w:tc>
        <w:tc>
          <w:tcPr/>
          <w:p>
            <w:pPr>
              <w:pStyle w:val="Compact"/>
              <w:jc w:val="right"/>
            </w:pPr>
            <w:r>
              <w:t xml:space="preserve">0.022957</w:t>
            </w:r>
          </w:p>
        </w:tc>
        <w:tc>
          <w:tcPr/>
          <w:p>
            <w:pPr>
              <w:pStyle w:val="Compact"/>
              <w:jc w:val="right"/>
            </w:pPr>
            <w:r>
              <w:t xml:space="preserve">1.058</w:t>
            </w:r>
          </w:p>
        </w:tc>
      </w:tr>
      <w:tr>
        <w:tc>
          <w:tcPr/>
          <w:p>
            <w:pPr>
              <w:pStyle w:val="Compact"/>
              <w:jc w:val="right"/>
            </w:pPr>
            <w:r>
              <w:t xml:space="preserve">1.00</w:t>
            </w:r>
          </w:p>
        </w:tc>
        <w:tc>
          <w:tcPr/>
          <w:p>
            <w:pPr>
              <w:pStyle w:val="Compact"/>
              <w:jc w:val="right"/>
            </w:pPr>
            <w:r>
              <w:t xml:space="preserve">0.019637</w:t>
            </w:r>
          </w:p>
        </w:tc>
        <w:tc>
          <w:tcPr/>
          <w:p>
            <w:pPr>
              <w:pStyle w:val="Compact"/>
              <w:jc w:val="right"/>
            </w:pPr>
            <w:r>
              <w:t xml:space="preserve">0.022</w:t>
            </w:r>
          </w:p>
        </w:tc>
      </w:tr>
    </w:tbl>
    <w:p>
      <w:pPr>
        <w:pStyle w:val="CaptionedFigure"/>
      </w:pPr>
      <w:r>
        <w:drawing>
          <wp:inline>
            <wp:extent cx="5760720" cy="1988435"/>
            <wp:effectExtent b="0" l="0" r="0" t="0"/>
            <wp:docPr descr="受控信道估计误差下的不确定性感知接收机平均收益。NMSE为1.0时BER改善仍为正，但其向图像质量的转化几乎消失。" title="" id="35" name="Picture"/>
            <a:graphic>
              <a:graphicData uri="http://schemas.openxmlformats.org/drawingml/2006/picture">
                <pic:pic>
                  <pic:nvPicPr>
                    <pic:cNvPr descr="figures/nmse_results.png" id="36" name="Picture"/>
                    <pic:cNvPicPr>
                      <a:picLocks noChangeArrowheads="1" noChangeAspect="1"/>
                    </pic:cNvPicPr>
                  </pic:nvPicPr>
                  <pic:blipFill>
                    <a:blip r:embed="rId34"/>
                    <a:stretch>
                      <a:fillRect/>
                    </a:stretch>
                  </pic:blipFill>
                  <pic:spPr bwMode="auto">
                    <a:xfrm>
                      <a:off x="0" y="0"/>
                      <a:ext cx="5760720" cy="1988435"/>
                    </a:xfrm>
                    <a:prstGeom prst="rect">
                      <a:avLst/>
                    </a:prstGeom>
                    <a:noFill/>
                    <a:ln w="9525">
                      <a:noFill/>
                      <a:headEnd/>
                      <a:tailEnd/>
                    </a:ln>
                  </pic:spPr>
                </pic:pic>
              </a:graphicData>
            </a:graphic>
          </wp:inline>
        </w:drawing>
      </w:r>
    </w:p>
    <w:p>
      <w:pPr>
        <w:pStyle w:val="ImageCaption"/>
      </w:pPr>
      <w:r>
        <w:t xml:space="preserve">受控信道估计误差下的不确定性感知接收机平均收益。NMSE为1.0时BER改善仍为正，但其向图像质量的转化几乎消失。</w:t>
      </w:r>
    </w:p>
    <w:p>
      <w:pPr>
        <w:pStyle w:val="BodyText"/>
      </w:pPr>
      <w:r>
        <w:t xml:space="preserve">中等估计误差下，候选相关方差能够缓解16-QAM软信息过度置信问题。NMSE为1.0时，平均BER降低仍为正，而PSNR仅提高0.022 dB，说明平均比特错误并不能完全表征数字特征对语义重建的破坏程度。高有效位错误、包级错误聚集以及固定数字—模拟融合均可能使少量严重数字特征异常主导最终失真。</w:t>
      </w:r>
    </w:p>
    <w:bookmarkEnd w:id="37"/>
    <w:bookmarkStart w:id="38" w:name="人工丢包与融合权重实验设计"/>
    <w:p>
      <w:pPr>
        <w:pStyle w:val="Heading2"/>
      </w:pPr>
      <w:r>
        <w:t xml:space="preserve">5.3 人工丢包与融合权重实验设计</w:t>
      </w:r>
    </w:p>
    <w:p>
      <w:pPr>
        <w:pStyle w:val="FirstParagraph"/>
      </w:pPr>
      <w:r>
        <w:t xml:space="preserve">在受控CSI实验基础上，后续实验应形成三维配对网格：CSI误差强度、人工语义不可用率和数字权重</w:t>
      </w:r>
      <w:r>
        <w:t xml:space="preserve"> </w:t>
      </w:r>
      <m:oMath>
        <m:sSub>
          <m:e>
            <m:r>
              <m:t>α</m:t>
            </m:r>
          </m:e>
          <m:sub>
            <m:r>
              <m:t>d</m:t>
            </m:r>
          </m:sub>
        </m:sSub>
      </m:oMath>
      <w:r>
        <w:t xml:space="preserve">。建议至少比较自然信道、物理人工擦除、语义人工擦除以及自然PER与语义擦除叠加四种模式；每种模式均报告目标与实现擦除率、BER/PER/FER、最终不可用率和端到端图像指标。对于零填充、均值填充及未来学习型恢复方法，应保持相同擦除掩码，并按图像/信道样本进行配对自助法置信区间估计。本文片段不填充尚未获得的恢复增益数值，相关表格与曲线应在完整实验后补充。</w:t>
      </w:r>
    </w:p>
    <w:bookmarkEnd w:id="38"/>
    <w:bookmarkEnd w:id="39"/>
    <w:bookmarkStart w:id="40" w:name="讨论与结论"/>
    <w:p>
      <w:pPr>
        <w:pStyle w:val="Heading1"/>
      </w:pPr>
      <w:r>
        <w:t xml:space="preserve">6 讨论与结论</w:t>
      </w:r>
    </w:p>
    <w:p>
      <w:pPr>
        <w:pStyle w:val="FirstParagraph"/>
      </w:pPr>
      <w:r>
        <w:t xml:space="preserve">不完美CSI、自然分组错误和人工语义擦除属于不同层级的扰动：前者改变星座观测的统计模型，自然PER反映实际译码失效，人工物理擦除模拟链路层不可用，而人工语义擦除直接测试数字语义表征缺失。将其统一到一个操作者界面后，可以通过固定随机种子和检查点进行逐因素对照，并避免把人工目标丢包率误写为自然信道PER。</w:t>
      </w:r>
    </w:p>
    <w:p>
      <w:pPr>
        <w:pStyle w:val="BodyText"/>
      </w:pPr>
      <w:r>
        <w:t xml:space="preserve">已有实验支持不确定性感知软解调在非恒模16-QAM及中等CSI误差条件下改善数字译码和图像重建，但不支持对所有调制方式、所有SNR或所有恢复方法作普遍性结论。下一步应补充导频开销、多个独立检查点、逐SNR置信区间、可靠性自适应融合以及掩码条件语义恢复实验。总体而言，鲁棒混合数字—模拟语义接收应同时优化软信息校准、包级可用性和数字—模拟融合，而非仅关注均衡符号的均方误差。</w:t>
      </w:r>
    </w:p>
    <w:bookmarkEnd w:id="40"/>
    <w:bookmarkStart w:id="48" w:name="参考文献"/>
    <w:p>
      <w:pPr>
        <w:pStyle w:val="Heading1"/>
      </w:pPr>
      <w:r>
        <w:t xml:space="preserve">参考文献</w:t>
      </w:r>
    </w:p>
    <w:bookmarkStart w:id="47" w:name="refs"/>
    <w:bookmarkStart w:id="42" w:name="ref-bourtsoulatze2019deepjscc"/>
    <w:p>
      <w:pPr>
        <w:pStyle w:val="Bibliography"/>
      </w:pPr>
      <w:r>
        <w:t xml:space="preserve">Bourtsoulatze, Eirina, David Burth Kurka, 和 Deniz Gündüz. 2019.</w:t>
      </w:r>
      <w:r>
        <w:t xml:space="preserve"> </w:t>
      </w:r>
      <w:r>
        <w:t xml:space="preserve">《Deep Joint Source–Channel Coding for Wireless Image Transmission》</w:t>
      </w:r>
      <w:r>
        <w:t xml:space="preserve">.</w:t>
      </w:r>
      <w:r>
        <w:t xml:space="preserve"> </w:t>
      </w:r>
      <w:r>
        <w:rPr>
          <w:iCs/>
          <w:i/>
        </w:rPr>
        <w:t xml:space="preserve">IEEE Transactions on Cognitive Communications and Networking</w:t>
      </w:r>
      <w:r>
        <w:t xml:space="preserve"> </w:t>
      </w:r>
      <w:r>
        <w:t xml:space="preserve">5 (3): 567–79.</w:t>
      </w:r>
      <w:r>
        <w:t xml:space="preserve"> </w:t>
      </w:r>
      <w:hyperlink r:id="rId41">
        <w:r>
          <w:rPr>
            <w:rStyle w:val="Hyperlink"/>
          </w:rPr>
          <w:t xml:space="preserve">https://doi.org/10.1109/TCCN.2019.2919306</w:t>
        </w:r>
      </w:hyperlink>
      <w:r>
        <w:t xml:space="preserve">.</w:t>
      </w:r>
    </w:p>
    <w:bookmarkEnd w:id="42"/>
    <w:bookmarkStart w:id="44" w:name="ref-xie2025hda"/>
    <w:p>
      <w:pPr>
        <w:pStyle w:val="Bibliography"/>
      </w:pPr>
      <w:r>
        <w:t xml:space="preserve">Xie, Huiqiang, Zhijin Qin, Zhu Han, 和 Khaled B. Letaief. 2025.</w:t>
      </w:r>
      <w:r>
        <w:t xml:space="preserve"> </w:t>
      </w:r>
      <w:r>
        <w:t xml:space="preserve">《Hybrid Digital–Analog Semantic Communications》</w:t>
      </w:r>
      <w:r>
        <w:t xml:space="preserve">.</w:t>
      </w:r>
      <w:r>
        <w:t xml:space="preserve"> </w:t>
      </w:r>
      <w:r>
        <w:rPr>
          <w:iCs/>
          <w:i/>
        </w:rPr>
        <w:t xml:space="preserve">IEEE Journal on Selected Areas in Communications</w:t>
      </w:r>
      <w:r>
        <w:t xml:space="preserve"> </w:t>
      </w:r>
      <w:r>
        <w:t xml:space="preserve">43 (7): 2478–92.</w:t>
      </w:r>
      <w:r>
        <w:t xml:space="preserve"> </w:t>
      </w:r>
      <w:hyperlink r:id="rId43">
        <w:r>
          <w:rPr>
            <w:rStyle w:val="Hyperlink"/>
          </w:rPr>
          <w:t xml:space="preserve">https://doi.org/10.1109/JSAC.2025.3559149</w:t>
        </w:r>
      </w:hyperlink>
      <w:r>
        <w:t xml:space="preserve">.</w:t>
      </w:r>
    </w:p>
    <w:bookmarkEnd w:id="44"/>
    <w:bookmarkStart w:id="46" w:name="ref-xie2021deepsc"/>
    <w:p>
      <w:pPr>
        <w:pStyle w:val="Bibliography"/>
      </w:pPr>
      <w:r>
        <w:t xml:space="preserve">Xie, Huiqiang, Zhijin Qin, Geoffrey Ye Li, 和 Biing-Hwang Juang. 2021.</w:t>
      </w:r>
      <w:r>
        <w:t xml:space="preserve"> </w:t>
      </w:r>
      <w:r>
        <w:t xml:space="preserve">《Deep Learning Enabled Semantic Communication Systems》</w:t>
      </w:r>
      <w:r>
        <w:t xml:space="preserve">.</w:t>
      </w:r>
      <w:r>
        <w:t xml:space="preserve"> </w:t>
      </w:r>
      <w:r>
        <w:rPr>
          <w:iCs/>
          <w:i/>
        </w:rPr>
        <w:t xml:space="preserve">IEEE Transactions on Signal Processing</w:t>
      </w:r>
      <w:r>
        <w:t xml:space="preserve"> </w:t>
      </w:r>
      <w:r>
        <w:t xml:space="preserve">69: 2663–75.</w:t>
      </w:r>
      <w:r>
        <w:t xml:space="preserve"> </w:t>
      </w:r>
      <w:hyperlink r:id="rId45">
        <w:r>
          <w:rPr>
            <w:rStyle w:val="Hyperlink"/>
          </w:rPr>
          <w:t xml:space="preserve">https://doi.org/10.1109/TSP.2021.3071218</w:t>
        </w:r>
      </w:hyperlink>
      <w:r>
        <w:t xml:space="preserve">.</w:t>
      </w:r>
    </w:p>
    <w:bookmarkEnd w:id="46"/>
    <w:bookmarkEnd w:id="47"/>
    <w:bookmarkEnd w:id="48"/>
    <w:sectPr w:rsidR="00FC693F" w:rsidRPr="0006063C" w:rsidSect="00034616">
      <w:footerReference r:id="rId9" w:type="default"/>
      <w:pgSz w:h="16838" w:w="11906"/>
      <w:pgMar w:bottom="1134" w:footer="454" w:gutter="0" w:header="454"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76" w:lineRule="auto"/>
      <w:ind w:firstLine="420"/>
      <w:jc w:val="both"/>
    </w:pPr>
    <w:rPr>
      <w:rFonts w:ascii="Times New Roman" w:eastAsia="SimSu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jc w:val="center"/>
      <w:outlineLvl w:val="0"/>
    </w:pPr>
    <w:rPr>
      <w:rFonts w:ascii="Times New Roman" w:asciiTheme="majorHAnsi" w:cstheme="majorBidi" w:eastAsia="SimHe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40" w:before="120"/>
      <w:jc w:val="left"/>
      <w:outlineLvl w:val="1"/>
    </w:pPr>
    <w:rPr>
      <w:rFonts w:ascii="Times New Roman" w:asciiTheme="majorHAnsi" w:cstheme="majorBidi" w:eastAsia="SimHei" w:eastAsiaTheme="majorEastAsia" w:hAnsi="Times New Roman" w:hAnsiTheme="majorHAnsi"/>
      <w:b/>
      <w:bCs/>
      <w:color w:themeColor="accent1" w:val="4F81BD"/>
      <w:sz w:val="21"/>
      <w:szCs w:val="26"/>
    </w:rPr>
  </w:style>
  <w:style w:styleId="Heading3" w:type="paragraph">
    <w:name w:val="heading 3"/>
    <w:basedOn w:val="Normal"/>
    <w:next w:val="Normal"/>
    <w:link w:val="Heading3Char"/>
    <w:uiPriority w:val="9"/>
    <w:unhideWhenUsed/>
    <w:qFormat/>
    <w:rsid w:val="00FC693F"/>
    <w:pPr>
      <w:keepNext/>
      <w:keepLines/>
      <w:spacing w:after="40" w:before="80"/>
      <w:jc w:val="left"/>
      <w:outlineLvl w:val="2"/>
    </w:pPr>
    <w:rPr>
      <w:rFonts w:ascii="Times New Roman" w:asciiTheme="majorHAnsi" w:cstheme="majorBidi" w:eastAsia="SimSun" w:eastAsiaTheme="majorEastAsia" w:hAnsi="Times New Roman" w:hAnsiTheme="majorHAnsi"/>
      <w:b w:val="0"/>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center"/>
    </w:pPr>
    <w:rPr>
      <w:rFonts w:ascii="Times New Roman" w:asciiTheme="majorHAnsi" w:cstheme="majorBidi" w:eastAsia="SimHei"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before="0"/>
      <w:jc w:val="left"/>
    </w:pPr>
    <w:rPr>
      <w:rFonts w:ascii="Times New Roman" w:asciiTheme="majorHAnsi" w:cstheme="majorBidi" w:eastAsia="SimSun" w:eastAsiaTheme="majorEastAsia" w:hAnsi="Times New Roman" w:hAnsiTheme="majorHAnsi"/>
      <w:b w:val="0"/>
      <w:i/>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SimSun" w:hAnsi="Times New Roman"/>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eastAsia="SimSun" w:hAnsi="Times New Roman"/>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43" Target="https://doi.org/10.1109/JSAC.2025.3559149" TargetMode="External" /><Relationship Type="http://schemas.openxmlformats.org/officeDocument/2006/relationships/hyperlink" Id="rId41" Target="https://doi.org/10.1109/TCCN.2019.2919306" TargetMode="External" /><Relationship Type="http://schemas.openxmlformats.org/officeDocument/2006/relationships/hyperlink" Id="rId45" Target="https://doi.org/10.1109/TSP.2021.3071218"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109/JSAC.2025.3559149" TargetMode="External" /><Relationship Type="http://schemas.openxmlformats.org/officeDocument/2006/relationships/hyperlink" Id="rId41" Target="https://doi.org/10.1109/TCCN.2019.2919306" TargetMode="External" /><Relationship Type="http://schemas.openxmlformats.org/officeDocument/2006/relationships/hyperlink" Id="rId45" Target="https://doi.org/10.1109/TSP.2021.30712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面向不完美CSI与可控语义丢包的混合数字—模拟语义图像传输：鲁棒接收、可靠性融合与交互式实验平台</dc:title>
  <dc:creator>作者姓名（待填写）</dc:creator>
  <dc:language>zh-CN</dc:language>
  <cp:keywords/>
  <dcterms:created xsi:type="dcterms:W3CDTF">2026-07-20T12:47:40Z</dcterms:created>
  <dcterms:modified xsi:type="dcterms:W3CDTF">2026-07-20T12:47:40Z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中文可编辑论文片段</vt:lpwstr>
  </property>
</Properties>
</file>