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6B" w:val="clear"/>
            <w:tcMar>
              <w:top w:type="dxa" w:w="520"/>
              <w:left w:type="dxa" w:w="600"/>
              <w:bottom w:type="dxa" w:w="520"/>
              <w:right w:type="dxa" w:w="600"/>
            </w:tcMar>
          </w:tcPr>
          <w:p>
            <w:pPr>
              <w:jc w:val="center"/>
            </w:pPr>
            <w:r>
              <w:rPr>
                <w:rFonts w:ascii="Arial" w:cs="Arial" w:eastAsia="Arial" w:hAnsi="Arial"/>
                <w:b/>
                <w:bCs/>
                <w:color w:val="FFFFFF"/>
                <w:sz w:val="72"/>
                <w:szCs w:val="72"/>
              </w:rPr>
              <w:t xml:space="preserve">SNS GROUP</w:t>
            </w:r>
          </w:p>
          <w:p>
            <w:pPr>
              <w:spacing w:after="80" w:before="80"/>
              <w:jc w:val="center"/>
            </w:pPr>
            <w:r>
              <w:rPr>
                <w:rFonts w:ascii="Arial" w:cs="Arial" w:eastAsia="Arial" w:hAnsi="Arial"/>
                <w:b/>
                <w:bCs/>
                <w:color w:val="99BBDD"/>
                <w:sz w:val="26"/>
                <w:szCs w:val="26"/>
              </w:rPr>
              <w:t xml:space="preserve">BUSINESS RESTRUCTURING PLAN</w:t>
            </w:r>
          </w:p>
        </w:tc>
      </w:tr>
    </w:tbl>
    <w:p>
      <w:pPr>
        <w:spacing w:after="0" w:before="320"/>
      </w:pPr>
    </w:p>
    <w:p>
      <w:pPr>
        <w:spacing w:after="60" w:before="0"/>
        <w:jc w:val="center"/>
      </w:pPr>
      <w:r>
        <w:rPr>
          <w:rFonts w:ascii="Arial" w:cs="Arial" w:eastAsia="Arial" w:hAnsi="Arial"/>
          <w:i/>
          <w:iCs/>
          <w:color w:val="6B7280"/>
          <w:sz w:val="22"/>
          <w:szCs w:val="22"/>
        </w:rPr>
        <w:t xml:space="preserve">Confidential — Prepared for Ockert Smit</w:t>
      </w:r>
    </w:p>
    <w:p>
      <w:pPr>
        <w:jc w:val="center"/>
      </w:pPr>
      <w:r>
        <w:rPr>
          <w:rFonts w:ascii="Arial" w:cs="Arial" w:eastAsia="Arial" w:hAnsi="Arial"/>
          <w:color w:val="9CA3AF"/>
          <w:sz w:val="22"/>
          <w:szCs w:val="22"/>
        </w:rPr>
        <w:t xml:space="preserve">April 2026</w:t>
      </w:r>
    </w:p>
    <w:p>
      <w:r>
        <w:br w:type="page"/>
      </w:r>
    </w:p>
    <w:p>
      <w:pPr>
        <w:pStyle w:val="Heading1"/>
      </w:pPr>
      <w:r>
        <w:t xml:space="preserve">1.  Executive Summary</w:t>
      </w:r>
    </w:p>
    <w:p>
      <w:pPr>
        <w:spacing w:after="80" w:before="80"/>
      </w:pPr>
      <w:r>
        <w:rPr>
          <w:rFonts w:ascii="Arial" w:cs="Arial" w:eastAsia="Arial" w:hAnsi="Arial"/>
          <w:sz w:val="21"/>
          <w:szCs w:val="21"/>
        </w:rPr>
        <w:t xml:space="preserve">You are at a pivotal decision point in the evolution of your business. This document sets out the recommended group structure as you exit the Signarama franchise and build an independent, scalable operation under the Signacore brand.</w:t>
      </w:r>
    </w:p>
    <w:p>
      <w:pPr>
        <w:spacing w:after="80" w:before="80"/>
      </w:pPr>
      <w:r>
        <w:rPr>
          <w:rFonts w:ascii="Arial" w:cs="Arial" w:eastAsia="Arial" w:hAnsi="Arial"/>
          <w:sz w:val="21"/>
          <w:szCs w:val="21"/>
        </w:rPr>
        <w:t xml:space="preserve">The structure is designed to achieve the following outcomes:</w:t>
      </w:r>
    </w:p>
    <w:p>
      <w:pPr>
        <w:pStyle w:val="ListParagraph"/>
        <w:numPr>
          <w:ilvl w:val="0"/>
          <w:numId w:val="2"/>
        </w:numPr>
        <w:spacing w:after="40" w:before="40"/>
      </w:pPr>
      <w:r>
        <w:rPr>
          <w:rFonts w:ascii="Arial" w:cs="Arial" w:eastAsia="Arial" w:hAnsi="Arial"/>
          <w:sz w:val="21"/>
          <w:szCs w:val="21"/>
        </w:rPr>
        <w:t xml:space="preserve">Zero disruption to existing staff, clients, and banking arrangements</w:t>
      </w:r>
    </w:p>
    <w:p>
      <w:pPr>
        <w:pStyle w:val="ListParagraph"/>
        <w:numPr>
          <w:ilvl w:val="0"/>
          <w:numId w:val="2"/>
        </w:numPr>
        <w:spacing w:after="40" w:before="40"/>
      </w:pPr>
      <w:r>
        <w:rPr>
          <w:rFonts w:ascii="Arial" w:cs="Arial" w:eastAsia="Arial" w:hAnsi="Arial"/>
          <w:sz w:val="21"/>
          <w:szCs w:val="21"/>
        </w:rPr>
        <w:t xml:space="preserve">Clean, defensible accounting with profit tracked at each entity level</w:t>
      </w:r>
    </w:p>
    <w:p>
      <w:pPr>
        <w:pStyle w:val="ListParagraph"/>
        <w:numPr>
          <w:ilvl w:val="0"/>
          <w:numId w:val="2"/>
        </w:numPr>
        <w:spacing w:after="40" w:before="40"/>
      </w:pPr>
      <w:r>
        <w:rPr>
          <w:rFonts w:ascii="Arial" w:cs="Arial" w:eastAsia="Arial" w:hAnsi="Arial"/>
          <w:sz w:val="21"/>
          <w:szCs w:val="21"/>
        </w:rPr>
        <w:t xml:space="preserve">Protected margins throughout the supply and project chain</w:t>
      </w:r>
    </w:p>
    <w:p>
      <w:pPr>
        <w:pStyle w:val="ListParagraph"/>
        <w:numPr>
          <w:ilvl w:val="0"/>
          <w:numId w:val="2"/>
        </w:numPr>
        <w:spacing w:after="40" w:before="40"/>
      </w:pPr>
      <w:r>
        <w:rPr>
          <w:rFonts w:ascii="Arial" w:cs="Arial" w:eastAsia="Arial" w:hAnsi="Arial"/>
          <w:sz w:val="21"/>
          <w:szCs w:val="21"/>
        </w:rPr>
        <w:t xml:space="preserve">Flexible foundation for future expansion, including a possible Greensky Garden Route partnership</w:t>
      </w:r>
    </w:p>
    <w:p>
      <w:pPr>
        <w:pStyle w:val="ListParagraph"/>
        <w:numPr>
          <w:ilvl w:val="0"/>
          <w:numId w:val="2"/>
        </w:numPr>
        <w:spacing w:after="40" w:before="40"/>
      </w:pPr>
      <w:r>
        <w:rPr>
          <w:rFonts w:ascii="Arial" w:cs="Arial" w:eastAsia="Arial" w:hAnsi="Arial"/>
          <w:sz w:val="21"/>
          <w:szCs w:val="21"/>
        </w:rPr>
        <w:t xml:space="preserve">Signacore positioned as the primary market-facing brand</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4"/>
              <w:left w:val="single" w:color="1A3A6B" w:sz="24"/>
              <w:bottom w:val="single" w:color="1A3A6B" w:sz="4"/>
              <w:right w:val="single" w:color="1A3A6B" w:sz="4"/>
            </w:tcBorders>
            <w:shd w:fill="DBEAFE" w:val="clear"/>
            <w:tcMar>
              <w:top w:type="dxa" w:w="120"/>
              <w:left w:type="dxa" w:w="240"/>
              <w:bottom w:type="dxa" w:w="120"/>
              <w:right w:type="dxa" w:w="240"/>
            </w:tcMar>
          </w:tcPr>
          <w:p>
            <w:r>
              <w:rPr>
                <w:rFonts w:ascii="Arial" w:cs="Arial" w:eastAsia="Arial" w:hAnsi="Arial"/>
                <w:sz w:val="21"/>
                <w:szCs w:val="21"/>
              </w:rPr>
              <w:t xml:space="preserve">Core recommendation: Rename the existing Signarama company to SNS Group (Pty) Ltd as the holding entity. Retain Hornet Honey (Pty) Ltd as the operating supply company, trading as Signacore. Keep Cover X (Pty) Ltd unchanged as the installation arm.</w:t>
            </w:r>
          </w:p>
        </w:tc>
      </w:tr>
    </w:tbl>
    <w:p>
      <w:r>
        <w:br w:type="page"/>
      </w:r>
    </w:p>
    <w:p>
      <w:pPr>
        <w:pStyle w:val="Heading1"/>
      </w:pPr>
      <w:r>
        <w:t xml:space="preserve">2.  Recommended Group Structure</w:t>
      </w:r>
    </w:p>
    <w:p>
      <w:pPr>
        <w:spacing w:after="80" w:before="80"/>
      </w:pPr>
      <w:r>
        <w:rPr>
          <w:rFonts w:ascii="Arial" w:cs="Arial" w:eastAsia="Arial" w:hAnsi="Arial"/>
          <w:sz w:val="21"/>
          <w:szCs w:val="21"/>
        </w:rPr>
        <w:t xml:space="preserve">The structure operates on two levels: a holding company at the top and two active operating entities below. A third entity can be added later without any restructuring.</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none" w:color="FFFFFF" w:sz="0"/>
              <w:left w:val="none" w:color="FFFFFF" w:sz="0"/>
              <w:bottom w:val="none" w:color="FFFFFF" w:sz="0"/>
              <w:right w:val="none" w:color="FFFFFF" w:sz="0"/>
            </w:tcBorders>
          </w:tcPr>
          <w:p/>
        </w:tc>
        <w:tc>
          <w:tcPr>
            <w:tcW w:type="dxa" w:w="5426"/>
            <w:tcBorders>
              <w:top w:val="single" w:color="FFFFFF" w:sz="0"/>
              <w:left w:val="single" w:color="FFFFFF" w:sz="0"/>
              <w:bottom w:val="single" w:color="FFFFFF" w:sz="0"/>
              <w:right w:val="single" w:color="FFFFFF" w:sz="0"/>
            </w:tcBorders>
            <w:shd w:fill="1A3A6B" w:val="clear"/>
            <w:tcMar>
              <w:top w:type="dxa" w:w="80"/>
              <w:left w:type="dxa" w:w="200"/>
              <w:bottom w:type="dxa" w:w="80"/>
              <w:right w:type="dxa" w:w="200"/>
            </w:tcMar>
            <w:vAlign w:val="center"/>
          </w:tcPr>
          <w:p>
            <w:pPr>
              <w:spacing w:after="30" w:before="80"/>
              <w:jc w:val="center"/>
            </w:pPr>
            <w:r>
              <w:rPr>
                <w:rFonts w:ascii="Arial" w:cs="Arial" w:eastAsia="Arial" w:hAnsi="Arial"/>
                <w:b/>
                <w:bCs/>
                <w:color w:val="FFFFFF"/>
                <w:sz w:val="23"/>
                <w:szCs w:val="23"/>
              </w:rPr>
              <w:t xml:space="preserve">SNS GROUP (PTY) LTD</w:t>
            </w:r>
          </w:p>
          <w:p>
            <w:pPr>
              <w:spacing w:after="0" w:before="0"/>
              <w:jc w:val="center"/>
            </w:pPr>
            <w:r>
              <w:rPr>
                <w:rFonts w:ascii="Arial" w:cs="Arial" w:eastAsia="Arial" w:hAnsi="Arial"/>
                <w:i/>
                <w:iCs/>
                <w:color w:val="6B7280"/>
                <w:sz w:val="18"/>
                <w:szCs w:val="18"/>
              </w:rPr>
              <w:t xml:space="preserve">Holding &amp; Management Company</w:t>
            </w:r>
          </w:p>
          <w:p>
            <w:pPr>
              <w:spacing w:after="80" w:before="20"/>
              <w:jc w:val="center"/>
            </w:pPr>
            <w:r>
              <w:rPr>
                <w:rFonts w:ascii="Arial" w:cs="Arial" w:eastAsia="Arial" w:hAnsi="Arial"/>
                <w:color w:val="9CA3AF"/>
                <w:sz w:val="17"/>
                <w:szCs w:val="17"/>
              </w:rPr>
              <w:t xml:space="preserve">Formerly: Signarama Company</w:t>
            </w:r>
          </w:p>
        </w:tc>
        <w:tc>
          <w:tcPr>
            <w:tcW w:type="dxa" w:w="1800"/>
            <w:tcBorders>
              <w:top w:val="none" w:color="FFFFFF" w:sz="0"/>
              <w:left w:val="none" w:color="FFFFFF" w:sz="0"/>
              <w:bottom w:val="none" w:color="FFFFFF" w:sz="0"/>
              <w:right w:val="none" w:color="FFFFFF" w:sz="0"/>
            </w:tcBorders>
          </w:tcPr>
          <w:p/>
        </w:tc>
      </w:tr>
    </w:tbl>
    <w:p>
      <w:pPr>
        <w:spacing w:after="0" w:before="0"/>
        <w:jc w:val="center"/>
      </w:pPr>
      <w:r>
        <w:rPr>
          <w:rFonts w:ascii="Courier New" w:cs="Courier New" w:eastAsia="Courier New" w:hAnsi="Courier New"/>
          <w:color w:val="9CA3AF"/>
          <w:sz w:val="20"/>
          <w:szCs w:val="20"/>
        </w:rPr>
        <w:t xml:space="preserve">                                 │</w:t>
      </w:r>
    </w:p>
    <w:p>
      <w:pPr>
        <w:spacing w:after="0" w:before="0"/>
        <w:jc w:val="center"/>
      </w:pPr>
      <w:r>
        <w:rPr>
          <w:rFonts w:ascii="Courier New" w:cs="Courier New" w:eastAsia="Courier New" w:hAnsi="Courier New"/>
          <w:color w:val="9CA3AF"/>
          <w:sz w:val="20"/>
          <w:szCs w:val="20"/>
        </w:rPr>
        <w:t xml:space="preserve">           ┌───────────────────┤</w:t>
      </w:r>
    </w:p>
    <w:p>
      <w:pPr>
        <w:spacing w:after="0" w:before="0"/>
        <w:jc w:val="center"/>
      </w:pPr>
      <w:r>
        <w:rPr>
          <w:rFonts w:ascii="Courier New" w:cs="Courier New" w:eastAsia="Courier New" w:hAnsi="Courier New"/>
          <w:color w:val="9CA3AF"/>
          <w:sz w:val="20"/>
          <w:szCs w:val="20"/>
        </w:rPr>
        <w:t xml:space="preserve">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50"/>
        <w:gridCol w:w="326"/>
        <w:gridCol w:w="4350"/>
      </w:tblGrid>
      <w:tr>
        <w:tc>
          <w:tcPr>
            <w:tcW w:type="dxa" w:w="4350"/>
            <w:tcBorders>
              <w:top w:val="single" w:color="0D7490" w:sz="10"/>
              <w:left w:val="single" w:color="0D7490" w:sz="10"/>
              <w:bottom w:val="single" w:color="0D7490" w:sz="10"/>
              <w:right w:val="single" w:color="0D7490" w:sz="10"/>
            </w:tcBorders>
            <w:shd w:fill="CCFBF1" w:val="clear"/>
            <w:tcMar>
              <w:top w:type="dxa" w:w="80"/>
              <w:left w:type="dxa" w:w="200"/>
              <w:bottom w:type="dxa" w:w="80"/>
              <w:right w:type="dxa" w:w="200"/>
            </w:tcMar>
            <w:vAlign w:val="center"/>
          </w:tcPr>
          <w:p>
            <w:pPr>
              <w:spacing w:after="30" w:before="80"/>
              <w:jc w:val="center"/>
            </w:pPr>
            <w:r>
              <w:rPr>
                <w:rFonts w:ascii="Arial" w:cs="Arial" w:eastAsia="Arial" w:hAnsi="Arial"/>
                <w:b/>
                <w:bCs/>
                <w:color w:val="0D7490"/>
                <w:sz w:val="23"/>
                <w:szCs w:val="23"/>
              </w:rPr>
              <w:t xml:space="preserve">SIGNACORE</w:t>
            </w:r>
          </w:p>
          <w:p>
            <w:pPr>
              <w:spacing w:after="0" w:before="0"/>
              <w:jc w:val="center"/>
            </w:pPr>
            <w:r>
              <w:rPr>
                <w:rFonts w:ascii="Arial" w:cs="Arial" w:eastAsia="Arial" w:hAnsi="Arial"/>
                <w:i/>
                <w:iCs/>
                <w:color w:val="6B7280"/>
                <w:sz w:val="18"/>
                <w:szCs w:val="18"/>
              </w:rPr>
              <w:t xml:space="preserve">Hornet Honey (Pty) Ltd</w:t>
            </w:r>
          </w:p>
          <w:p>
            <w:pPr>
              <w:spacing w:after="80" w:before="20"/>
              <w:jc w:val="center"/>
            </w:pPr>
            <w:r>
              <w:rPr>
                <w:rFonts w:ascii="Arial" w:cs="Arial" w:eastAsia="Arial" w:hAnsi="Arial"/>
                <w:color w:val="9CA3AF"/>
                <w:sz w:val="17"/>
                <w:szCs w:val="17"/>
              </w:rPr>
              <w:t xml:space="preserve">Supply · Manufacturing · CNC · Technical</w:t>
            </w:r>
          </w:p>
        </w:tc>
        <w:tc>
          <w:tcPr>
            <w:tcW w:type="dxa" w:w="326"/>
            <w:tcBorders>
              <w:top w:val="none" w:color="FFFFFF" w:sz="0"/>
              <w:left w:val="none" w:color="FFFFFF" w:sz="0"/>
              <w:bottom w:val="none" w:color="FFFFFF" w:sz="0"/>
              <w:right w:val="none" w:color="FFFFFF" w:sz="0"/>
            </w:tcBorders>
          </w:tcPr>
          <w:p/>
        </w:tc>
        <w:tc>
          <w:tcPr>
            <w:tcW w:type="dxa" w:w="4350"/>
            <w:tcBorders>
              <w:top w:val="single" w:color="15803D" w:sz="10"/>
              <w:left w:val="single" w:color="15803D" w:sz="10"/>
              <w:bottom w:val="single" w:color="15803D" w:sz="10"/>
              <w:right w:val="single" w:color="15803D" w:sz="10"/>
            </w:tcBorders>
            <w:shd w:fill="DCFCE7" w:val="clear"/>
            <w:tcMar>
              <w:top w:type="dxa" w:w="80"/>
              <w:left w:type="dxa" w:w="200"/>
              <w:bottom w:type="dxa" w:w="80"/>
              <w:right w:type="dxa" w:w="200"/>
            </w:tcMar>
            <w:vAlign w:val="center"/>
          </w:tcPr>
          <w:p>
            <w:pPr>
              <w:spacing w:after="30" w:before="80"/>
              <w:jc w:val="center"/>
            </w:pPr>
            <w:r>
              <w:rPr>
                <w:rFonts w:ascii="Arial" w:cs="Arial" w:eastAsia="Arial" w:hAnsi="Arial"/>
                <w:b/>
                <w:bCs/>
                <w:color w:val="15803D"/>
                <w:sz w:val="23"/>
                <w:szCs w:val="23"/>
              </w:rPr>
              <w:t xml:space="preserve">COVER X (PTY) LTD</w:t>
            </w:r>
          </w:p>
          <w:p>
            <w:pPr>
              <w:spacing w:after="0" w:before="0"/>
              <w:jc w:val="center"/>
            </w:pPr>
            <w:r>
              <w:rPr>
                <w:rFonts w:ascii="Arial" w:cs="Arial" w:eastAsia="Arial" w:hAnsi="Arial"/>
                <w:i/>
                <w:iCs/>
                <w:color w:val="6B7280"/>
                <w:sz w:val="18"/>
                <w:szCs w:val="18"/>
              </w:rPr>
              <w:t xml:space="preserve">Installation Division</w:t>
            </w:r>
          </w:p>
          <w:p>
            <w:pPr>
              <w:spacing w:after="80" w:before="20"/>
              <w:jc w:val="center"/>
            </w:pPr>
            <w:r>
              <w:rPr>
                <w:rFonts w:ascii="Arial" w:cs="Arial" w:eastAsia="Arial" w:hAnsi="Arial"/>
                <w:color w:val="9CA3AF"/>
                <w:sz w:val="17"/>
                <w:szCs w:val="17"/>
              </w:rPr>
              <w:t xml:space="preserve">Vehicle Wrapping · Architectural Film</w:t>
            </w:r>
          </w:p>
        </w:tc>
      </w:tr>
    </w:tbl>
    <w:p>
      <w:pPr>
        <w:spacing w:after="0" w:before="0"/>
        <w:jc w:val="center"/>
      </w:pPr>
      <w:r>
        <w:rPr>
          <w:rFonts w:ascii="Courier New" w:cs="Courier New" w:eastAsia="Courier New" w:hAnsi="Courier New"/>
          <w:color w:val="9CA3AF"/>
          <w:sz w:val="20"/>
          <w:szCs w:val="20"/>
        </w:rPr>
        <w:t xml:space="preserve">           │</w:t>
      </w:r>
    </w:p>
    <w:p>
      <w:pPr>
        <w:spacing w:after="0" w:before="0"/>
        <w:jc w:val="center"/>
      </w:pPr>
      <w:r>
        <w:rPr>
          <w:rFonts w:ascii="Courier New" w:cs="Courier New" w:eastAsia="Courier New" w:hAnsi="Courier New"/>
          <w:color w:val="9CA3AF"/>
          <w:sz w:val="20"/>
          <w:szCs w:val="20"/>
        </w:rPr>
        <w:t xml:space="preserve">           │  (Future — optional)</w:t>
      </w:r>
    </w:p>
    <w:p>
      <w:pPr>
        <w:spacing w:after="0" w:before="0"/>
        <w:jc w:val="center"/>
      </w:pPr>
      <w:r>
        <w:rPr>
          <w:rFonts w:ascii="Courier New" w:cs="Courier New" w:eastAsia="Courier New" w:hAnsi="Courier New"/>
          <w:color w:val="9CA3AF"/>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none" w:color="FFFFFF" w:sz="0"/>
              <w:left w:val="none" w:color="FFFFFF" w:sz="0"/>
              <w:bottom w:val="none" w:color="FFFFFF" w:sz="0"/>
              <w:right w:val="none" w:color="FFFFFF" w:sz="0"/>
            </w:tcBorders>
          </w:tcPr>
          <w:p/>
        </w:tc>
        <w:tc>
          <w:tcPr>
            <w:tcW w:type="dxa" w:w="5426"/>
            <w:tcBorders>
              <w:top w:val="dotted" w:color="7C3AED" w:sz="6"/>
              <w:left w:val="dotted" w:color="7C3AED" w:sz="6"/>
              <w:bottom w:val="dotted" w:color="7C3AED" w:sz="6"/>
              <w:right w:val="dotted" w:color="7C3AED" w:sz="6"/>
            </w:tcBorders>
            <w:shd w:fill="EDE9FE" w:val="clear"/>
            <w:tcMar>
              <w:top w:type="dxa" w:w="80"/>
              <w:left w:type="dxa" w:w="200"/>
              <w:bottom w:type="dxa" w:w="80"/>
              <w:right w:type="dxa" w:w="200"/>
            </w:tcMar>
            <w:vAlign w:val="center"/>
          </w:tcPr>
          <w:p>
            <w:pPr>
              <w:spacing w:after="30" w:before="80"/>
              <w:jc w:val="center"/>
            </w:pPr>
            <w:r>
              <w:rPr>
                <w:rFonts w:ascii="Arial" w:cs="Arial" w:eastAsia="Arial" w:hAnsi="Arial"/>
                <w:b/>
                <w:bCs/>
                <w:color w:val="7C3AED"/>
                <w:sz w:val="23"/>
                <w:szCs w:val="23"/>
              </w:rPr>
              <w:t xml:space="preserve">GREENSKY GARDEN ROUTE</w:t>
            </w:r>
          </w:p>
          <w:p>
            <w:pPr>
              <w:spacing w:after="0" w:before="0"/>
              <w:jc w:val="center"/>
            </w:pPr>
            <w:r>
              <w:rPr>
                <w:rFonts w:ascii="Arial" w:cs="Arial" w:eastAsia="Arial" w:hAnsi="Arial"/>
                <w:i/>
                <w:iCs/>
                <w:color w:val="6B7280"/>
                <w:sz w:val="18"/>
                <w:szCs w:val="18"/>
              </w:rPr>
              <w:t xml:space="preserve">Optional Joint Venture</w:t>
            </w:r>
          </w:p>
          <w:p>
            <w:pPr>
              <w:spacing w:after="80" w:before="20"/>
              <w:jc w:val="center"/>
            </w:pPr>
            <w:r>
              <w:rPr>
                <w:rFonts w:ascii="Arial" w:cs="Arial" w:eastAsia="Arial" w:hAnsi="Arial"/>
                <w:color w:val="9CA3AF"/>
                <w:sz w:val="17"/>
                <w:szCs w:val="17"/>
              </w:rPr>
              <w:t xml:space="preserve">No restructuring required to add this entity</w:t>
            </w:r>
          </w:p>
        </w:tc>
        <w:tc>
          <w:tcPr>
            <w:tcW w:type="dxa" w:w="1800"/>
            <w:tcBorders>
              <w:top w:val="none" w:color="FFFFFF" w:sz="0"/>
              <w:left w:val="none" w:color="FFFFFF" w:sz="0"/>
              <w:bottom w:val="none" w:color="FFFFFF" w:sz="0"/>
              <w:right w:val="none" w:color="FFFFFF" w:sz="0"/>
            </w:tcBorders>
          </w:tcPr>
          <w:p/>
        </w:tc>
      </w:tr>
    </w:tbl>
    <w:p>
      <w:pPr>
        <w:spacing w:after="0" w:before="200"/>
      </w:pPr>
    </w:p>
    <w:p>
      <w:pPr>
        <w:pStyle w:val="Heading2"/>
      </w:pPr>
      <w:r>
        <w:t xml:space="preserve">Why This Structure Works</w:t>
      </w:r>
    </w:p>
    <w:p>
      <w:pPr>
        <w:spacing w:after="80" w:before="80"/>
      </w:pPr>
      <w:r>
        <w:rPr>
          <w:rFonts w:ascii="Arial" w:cs="Arial" w:eastAsia="Arial" w:hAnsi="Arial"/>
          <w:sz w:val="21"/>
          <w:szCs w:val="21"/>
        </w:rPr>
        <w:t xml:space="preserve">This arrangement delivers all of the following advantages without disturbing current operations:</w:t>
      </w:r>
    </w:p>
    <w:p>
      <w:pPr>
        <w:pStyle w:val="ListParagraph"/>
        <w:numPr>
          <w:ilvl w:val="0"/>
          <w:numId w:val="3"/>
        </w:numPr>
        <w:spacing w:after="40" w:before="40"/>
      </w:pPr>
      <w:r>
        <w:rPr>
          <w:rFonts w:ascii="Arial" w:cs="Arial" w:eastAsia="Arial" w:hAnsi="Arial"/>
          <w:sz w:val="21"/>
          <w:szCs w:val="21"/>
        </w:rPr>
        <w:t xml:space="preserve">No need to deregister or dissolve any existing company</w:t>
      </w:r>
    </w:p>
    <w:p>
      <w:pPr>
        <w:pStyle w:val="ListParagraph"/>
        <w:numPr>
          <w:ilvl w:val="0"/>
          <w:numId w:val="3"/>
        </w:numPr>
        <w:spacing w:after="40" w:before="40"/>
      </w:pPr>
      <w:r>
        <w:rPr>
          <w:rFonts w:ascii="Arial" w:cs="Arial" w:eastAsia="Arial" w:hAnsi="Arial"/>
          <w:sz w:val="21"/>
          <w:szCs w:val="21"/>
        </w:rPr>
        <w:t xml:space="preserve">VAT numbers remain unchanged — SARS updates automatically</w:t>
      </w:r>
    </w:p>
    <w:p>
      <w:pPr>
        <w:pStyle w:val="ListParagraph"/>
        <w:numPr>
          <w:ilvl w:val="0"/>
          <w:numId w:val="3"/>
        </w:numPr>
        <w:spacing w:after="40" w:before="40"/>
      </w:pPr>
      <w:r>
        <w:rPr>
          <w:rFonts w:ascii="Arial" w:cs="Arial" w:eastAsia="Arial" w:hAnsi="Arial"/>
          <w:sz w:val="21"/>
          <w:szCs w:val="21"/>
        </w:rPr>
        <w:t xml:space="preserve">Bank account numbers remain unchanged</w:t>
      </w:r>
    </w:p>
    <w:p>
      <w:pPr>
        <w:pStyle w:val="ListParagraph"/>
        <w:numPr>
          <w:ilvl w:val="0"/>
          <w:numId w:val="3"/>
        </w:numPr>
        <w:spacing w:after="40" w:before="40"/>
      </w:pPr>
      <w:r>
        <w:rPr>
          <w:rFonts w:ascii="Arial" w:cs="Arial" w:eastAsia="Arial" w:hAnsi="Arial"/>
          <w:sz w:val="21"/>
          <w:szCs w:val="21"/>
        </w:rPr>
        <w:t xml:space="preserve">No staff movement or new employment contracts needed</w:t>
      </w:r>
    </w:p>
    <w:p>
      <w:pPr>
        <w:pStyle w:val="ListParagraph"/>
        <w:numPr>
          <w:ilvl w:val="0"/>
          <w:numId w:val="3"/>
        </w:numPr>
        <w:spacing w:after="40" w:before="40"/>
      </w:pPr>
      <w:r>
        <w:rPr>
          <w:rFonts w:ascii="Arial" w:cs="Arial" w:eastAsia="Arial" w:hAnsi="Arial"/>
          <w:sz w:val="21"/>
          <w:szCs w:val="21"/>
        </w:rPr>
        <w:t xml:space="preserve">Clean profit tracking and reporting at each entity level</w:t>
      </w:r>
    </w:p>
    <w:p>
      <w:pPr>
        <w:pStyle w:val="ListParagraph"/>
        <w:numPr>
          <w:ilvl w:val="0"/>
          <w:numId w:val="3"/>
        </w:numPr>
        <w:spacing w:after="40" w:before="40"/>
      </w:pPr>
      <w:r>
        <w:rPr>
          <w:rFonts w:ascii="Arial" w:cs="Arial" w:eastAsia="Arial" w:hAnsi="Arial"/>
          <w:sz w:val="21"/>
          <w:szCs w:val="21"/>
        </w:rPr>
        <w:t xml:space="preserve">Greensky can be added as a fourth entity at any time</w:t>
      </w:r>
    </w:p>
    <w:p>
      <w:pPr>
        <w:pStyle w:val="ListParagraph"/>
        <w:numPr>
          <w:ilvl w:val="0"/>
          <w:numId w:val="3"/>
        </w:numPr>
        <w:spacing w:after="40" w:before="40"/>
      </w:pPr>
      <w:r>
        <w:rPr>
          <w:rFonts w:ascii="Arial" w:cs="Arial" w:eastAsia="Arial" w:hAnsi="Arial"/>
          <w:sz w:val="21"/>
          <w:szCs w:val="21"/>
        </w:rPr>
        <w:t xml:space="preserve">Any division can be sold independently if required</w:t>
      </w:r>
    </w:p>
    <w:p>
      <w:pPr>
        <w:pStyle w:val="ListParagraph"/>
        <w:numPr>
          <w:ilvl w:val="0"/>
          <w:numId w:val="3"/>
        </w:numPr>
        <w:spacing w:after="40" w:before="40"/>
      </w:pPr>
      <w:r>
        <w:rPr>
          <w:rFonts w:ascii="Arial" w:cs="Arial" w:eastAsia="Arial" w:hAnsi="Arial"/>
          <w:sz w:val="21"/>
          <w:szCs w:val="21"/>
        </w:rPr>
        <w:t xml:space="preserve">Full tax planning flexibility across the group</w:t>
      </w:r>
    </w:p>
    <w:p>
      <w:r>
        <w:br w:type="page"/>
      </w:r>
    </w:p>
    <w:p>
      <w:pPr>
        <w:pStyle w:val="Heading1"/>
      </w:pPr>
      <w:r>
        <w:t xml:space="preserve">3.  Business Flow Model</w:t>
      </w:r>
    </w:p>
    <w:p>
      <w:pPr>
        <w:spacing w:after="80" w:before="80"/>
      </w:pPr>
      <w:r>
        <w:rPr>
          <w:rFonts w:ascii="Arial" w:cs="Arial" w:eastAsia="Arial" w:hAnsi="Arial"/>
          <w:sz w:val="21"/>
          <w:szCs w:val="21"/>
        </w:rPr>
        <w:t xml:space="preserve">Work and revenue flow through the group in a clean, sequential manner. Each entity adds value at its designated stage and earns a defined margin.</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284C7" w:sz="6"/>
              <w:left w:val="single" w:color="0284C7" w:sz="22"/>
              <w:bottom w:val="single" w:color="0284C7" w:sz="6"/>
              <w:right w:val="single" w:color="0284C7" w:sz="6"/>
            </w:tcBorders>
            <w:shd w:fill="F0F9FF" w:val="clear"/>
            <w:tcMar>
              <w:top w:type="dxa" w:w="90"/>
              <w:left w:type="dxa" w:w="220"/>
              <w:bottom w:type="dxa" w:w="90"/>
              <w:right w:type="dxa" w:w="160"/>
            </w:tcMar>
          </w:tcPr>
          <w:p>
            <w:r>
              <w:rPr>
                <w:rFonts w:ascii="Arial" w:cs="Arial" w:eastAsia="Arial" w:hAnsi="Arial"/>
                <w:b/>
                <w:bCs/>
                <w:color w:val="0284C7"/>
                <w:sz w:val="21"/>
                <w:szCs w:val="21"/>
              </w:rPr>
              <w:t xml:space="preserve">CLIENT</w:t>
            </w:r>
          </w:p>
        </w:tc>
      </w:tr>
    </w:tbl>
    <w:p>
      <w:pPr>
        <w:spacing w:after="0" w:before="0"/>
        <w:jc w:val="center"/>
      </w:pPr>
      <w:r>
        <w:rPr>
          <w:rFonts w:ascii="Arial" w:cs="Arial" w:eastAsia="Arial" w:hAnsi="Arial"/>
          <w:b/>
          <w:bCs/>
          <w:color w:val="9CA3AF"/>
          <w:sz w:val="26"/>
          <w:szCs w:val="26"/>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6"/>
              <w:left w:val="single" w:color="1A3A6B" w:sz="22"/>
              <w:bottom w:val="single" w:color="1A3A6B" w:sz="6"/>
              <w:right w:val="single" w:color="1A3A6B" w:sz="6"/>
            </w:tcBorders>
            <w:shd w:fill="DBEAFE" w:val="clear"/>
            <w:tcMar>
              <w:top w:type="dxa" w:w="90"/>
              <w:left w:type="dxa" w:w="220"/>
              <w:bottom w:type="dxa" w:w="90"/>
              <w:right w:type="dxa" w:w="160"/>
            </w:tcMar>
          </w:tcPr>
          <w:p>
            <w:r>
              <w:rPr>
                <w:rFonts w:ascii="Arial" w:cs="Arial" w:eastAsia="Arial" w:hAnsi="Arial"/>
                <w:b/>
                <w:bCs/>
                <w:color w:val="1A3A6B"/>
                <w:sz w:val="21"/>
                <w:szCs w:val="21"/>
              </w:rPr>
              <w:t xml:space="preserve">SNS GROUP  —  Sales, Admin &amp; Finance</w:t>
            </w:r>
          </w:p>
        </w:tc>
      </w:tr>
    </w:tbl>
    <w:p>
      <w:pPr>
        <w:spacing w:after="0" w:before="0"/>
        <w:jc w:val="center"/>
      </w:pPr>
      <w:r>
        <w:rPr>
          <w:rFonts w:ascii="Arial" w:cs="Arial" w:eastAsia="Arial" w:hAnsi="Arial"/>
          <w:b/>
          <w:bCs/>
          <w:color w:val="9CA3AF"/>
          <w:sz w:val="26"/>
          <w:szCs w:val="26"/>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490" w:sz="6"/>
              <w:left w:val="single" w:color="0D7490" w:sz="22"/>
              <w:bottom w:val="single" w:color="0D7490" w:sz="6"/>
              <w:right w:val="single" w:color="0D7490" w:sz="6"/>
            </w:tcBorders>
            <w:shd w:fill="CCFBF1" w:val="clear"/>
            <w:tcMar>
              <w:top w:type="dxa" w:w="90"/>
              <w:left w:type="dxa" w:w="220"/>
              <w:bottom w:type="dxa" w:w="90"/>
              <w:right w:type="dxa" w:w="160"/>
            </w:tcMar>
          </w:tcPr>
          <w:p>
            <w:r>
              <w:rPr>
                <w:rFonts w:ascii="Arial" w:cs="Arial" w:eastAsia="Arial" w:hAnsi="Arial"/>
                <w:b/>
                <w:bCs/>
                <w:color w:val="0D7490"/>
                <w:sz w:val="21"/>
                <w:szCs w:val="21"/>
              </w:rPr>
              <w:t xml:space="preserve">SIGNACORE (Hornet Honey)  —  Manufacturing &amp; Supply</w:t>
            </w:r>
          </w:p>
        </w:tc>
      </w:tr>
    </w:tbl>
    <w:p>
      <w:pPr>
        <w:spacing w:after="0" w:before="0"/>
        <w:jc w:val="center"/>
      </w:pPr>
      <w:r>
        <w:rPr>
          <w:rFonts w:ascii="Arial" w:cs="Arial" w:eastAsia="Arial" w:hAnsi="Arial"/>
          <w:b/>
          <w:bCs/>
          <w:color w:val="9CA3AF"/>
          <w:sz w:val="26"/>
          <w:szCs w:val="26"/>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803D" w:sz="6"/>
              <w:left w:val="single" w:color="15803D" w:sz="22"/>
              <w:bottom w:val="single" w:color="15803D" w:sz="6"/>
              <w:right w:val="single" w:color="15803D" w:sz="6"/>
            </w:tcBorders>
            <w:shd w:fill="DCFCE7" w:val="clear"/>
            <w:tcMar>
              <w:top w:type="dxa" w:w="90"/>
              <w:left w:type="dxa" w:w="220"/>
              <w:bottom w:type="dxa" w:w="90"/>
              <w:right w:type="dxa" w:w="160"/>
            </w:tcMar>
          </w:tcPr>
          <w:p>
            <w:r>
              <w:rPr>
                <w:rFonts w:ascii="Arial" w:cs="Arial" w:eastAsia="Arial" w:hAnsi="Arial"/>
                <w:b/>
                <w:bCs/>
                <w:color w:val="15803D"/>
                <w:sz w:val="21"/>
                <w:szCs w:val="21"/>
              </w:rPr>
              <w:t xml:space="preserve">COVER X  —  Installation &amp; Wrapping</w:t>
            </w:r>
          </w:p>
        </w:tc>
      </w:tr>
    </w:tbl>
    <w:p>
      <w:pPr>
        <w:spacing w:after="0" w:before="200"/>
      </w:pPr>
    </w:p>
    <w:p>
      <w:pPr>
        <w:pStyle w:val="Heading2"/>
      </w:pPr>
      <w:r>
        <w:t xml:space="preserve">Uniontech Supply Chain</w:t>
      </w:r>
    </w:p>
    <w:p>
      <w:pPr>
        <w:spacing w:after="80" w:before="80"/>
      </w:pPr>
      <w:r>
        <w:rPr>
          <w:rFonts w:ascii="Arial" w:cs="Arial" w:eastAsia="Arial" w:hAnsi="Arial"/>
          <w:sz w:val="21"/>
          <w:szCs w:val="21"/>
        </w:rPr>
        <w:t xml:space="preserve">Uniontech sits upstream of Signacore. It imports materials from Chinese suppliers and sells exclusively to Signacore, which holds all stock and distributes internally to SNS Group and Cover X as required.</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CA3AF" w:sz="6"/>
              <w:left w:val="single" w:color="9CA3AF" w:sz="22"/>
              <w:bottom w:val="single" w:color="9CA3AF" w:sz="6"/>
              <w:right w:val="single" w:color="9CA3AF" w:sz="6"/>
            </w:tcBorders>
            <w:shd w:fill="F9FAFB" w:val="clear"/>
            <w:tcMar>
              <w:top w:type="dxa" w:w="90"/>
              <w:left w:type="dxa" w:w="220"/>
              <w:bottom w:type="dxa" w:w="90"/>
              <w:right w:type="dxa" w:w="160"/>
            </w:tcMar>
          </w:tcPr>
          <w:p>
            <w:r>
              <w:rPr>
                <w:rFonts w:ascii="Arial" w:cs="Arial" w:eastAsia="Arial" w:hAnsi="Arial"/>
                <w:b/>
                <w:bCs/>
                <w:color w:val="9CA3AF"/>
                <w:sz w:val="21"/>
                <w:szCs w:val="21"/>
              </w:rPr>
              <w:t xml:space="preserve">CHINA SUPPLIER</w:t>
            </w:r>
          </w:p>
        </w:tc>
      </w:tr>
    </w:tbl>
    <w:p>
      <w:pPr>
        <w:spacing w:after="0" w:before="0"/>
        <w:jc w:val="center"/>
      </w:pPr>
      <w:r>
        <w:rPr>
          <w:rFonts w:ascii="Arial" w:cs="Arial" w:eastAsia="Arial" w:hAnsi="Arial"/>
          <w:b/>
          <w:bCs/>
          <w:color w:val="9CA3AF"/>
          <w:sz w:val="26"/>
          <w:szCs w:val="26"/>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6"/>
              <w:left w:val="single" w:color="B45309" w:sz="22"/>
              <w:bottom w:val="single" w:color="B45309" w:sz="6"/>
              <w:right w:val="single" w:color="B45309" w:sz="6"/>
            </w:tcBorders>
            <w:shd w:fill="FEF3C7" w:val="clear"/>
            <w:tcMar>
              <w:top w:type="dxa" w:w="90"/>
              <w:left w:type="dxa" w:w="220"/>
              <w:bottom w:type="dxa" w:w="90"/>
              <w:right w:type="dxa" w:w="160"/>
            </w:tcMar>
          </w:tcPr>
          <w:p>
            <w:r>
              <w:rPr>
                <w:rFonts w:ascii="Arial" w:cs="Arial" w:eastAsia="Arial" w:hAnsi="Arial"/>
                <w:b/>
                <w:bCs/>
                <w:color w:val="B45309"/>
                <w:sz w:val="21"/>
                <w:szCs w:val="21"/>
              </w:rPr>
              <w:t xml:space="preserve">UNIONTECH  —  Importer &amp; Procurement</w:t>
            </w:r>
          </w:p>
        </w:tc>
      </w:tr>
    </w:tbl>
    <w:p>
      <w:pPr>
        <w:spacing w:after="0" w:before="0"/>
        <w:jc w:val="center"/>
      </w:pPr>
      <w:r>
        <w:rPr>
          <w:rFonts w:ascii="Arial" w:cs="Arial" w:eastAsia="Arial" w:hAnsi="Arial"/>
          <w:b/>
          <w:bCs/>
          <w:color w:val="9CA3AF"/>
          <w:sz w:val="26"/>
          <w:szCs w:val="26"/>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490" w:sz="6"/>
              <w:left w:val="single" w:color="0D7490" w:sz="22"/>
              <w:bottom w:val="single" w:color="0D7490" w:sz="6"/>
              <w:right w:val="single" w:color="0D7490" w:sz="6"/>
            </w:tcBorders>
            <w:shd w:fill="CCFBF1" w:val="clear"/>
            <w:tcMar>
              <w:top w:type="dxa" w:w="90"/>
              <w:left w:type="dxa" w:w="220"/>
              <w:bottom w:type="dxa" w:w="90"/>
              <w:right w:type="dxa" w:w="160"/>
            </w:tcMar>
          </w:tcPr>
          <w:p>
            <w:r>
              <w:rPr>
                <w:rFonts w:ascii="Arial" w:cs="Arial" w:eastAsia="Arial" w:hAnsi="Arial"/>
                <w:b/>
                <w:bCs/>
                <w:color w:val="0D7490"/>
                <w:sz w:val="21"/>
                <w:szCs w:val="21"/>
              </w:rPr>
              <w:t xml:space="preserve">SIGNACORE  —  Stock Holding &amp; Distribution</w:t>
            </w:r>
          </w:p>
        </w:tc>
      </w:tr>
    </w:tbl>
    <w:p>
      <w:pPr>
        <w:spacing w:after="0" w:before="0"/>
        <w:jc w:val="center"/>
      </w:pPr>
      <w:r>
        <w:rPr>
          <w:rFonts w:ascii="Arial" w:cs="Arial" w:eastAsia="Arial" w:hAnsi="Arial"/>
          <w:b/>
          <w:bCs/>
          <w:color w:val="9CA3AF"/>
          <w:sz w:val="26"/>
          <w:szCs w:val="26"/>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6B" w:sz="6"/>
              <w:left w:val="single" w:color="1A3A6B" w:sz="22"/>
              <w:bottom w:val="single" w:color="1A3A6B" w:sz="6"/>
              <w:right w:val="single" w:color="1A3A6B" w:sz="6"/>
            </w:tcBorders>
            <w:shd w:fill="DBEAFE" w:val="clear"/>
            <w:tcMar>
              <w:top w:type="dxa" w:w="90"/>
              <w:left w:type="dxa" w:w="220"/>
              <w:bottom w:type="dxa" w:w="90"/>
              <w:right w:type="dxa" w:w="160"/>
            </w:tcMar>
          </w:tcPr>
          <w:p>
            <w:r>
              <w:rPr>
                <w:rFonts w:ascii="Arial" w:cs="Arial" w:eastAsia="Arial" w:hAnsi="Arial"/>
                <w:b/>
                <w:bCs/>
                <w:color w:val="1A3A6B"/>
                <w:sz w:val="21"/>
                <w:szCs w:val="21"/>
              </w:rPr>
              <w:t xml:space="preserve">SNS GROUP  /  COVER X  —  Project &amp; Installation</w:t>
            </w:r>
          </w:p>
        </w:tc>
      </w:tr>
    </w:tbl>
    <w:p>
      <w:r>
        <w:br w:type="page"/>
      </w:r>
    </w:p>
    <w:p>
      <w:pPr>
        <w:pStyle w:val="Heading1"/>
      </w:pPr>
      <w:r>
        <w:t xml:space="preserve">4.  Profit Distribution by Entity</w:t>
      </w:r>
    </w:p>
    <w:p>
      <w:pPr>
        <w:spacing w:after="80" w:before="80"/>
      </w:pPr>
      <w:r>
        <w:rPr>
          <w:rFonts w:ascii="Arial" w:cs="Arial" w:eastAsia="Arial" w:hAnsi="Arial"/>
          <w:sz w:val="21"/>
          <w:szCs w:val="21"/>
        </w:rPr>
        <w:t xml:space="preserve">Each entity earns a separate, legitimate, and trackable margin. This is the strongest possible structure for tax planning, future investment, and eventual disposal of any division.</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0"/>
                <w:szCs w:val="20"/>
              </w:rPr>
              <w:t xml:space="preserve">Entity</w:t>
            </w:r>
          </w:p>
        </w:tc>
        <w:tc>
          <w:tcPr>
            <w:tcW w:type="dxa" w:w="2800"/>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0"/>
                <w:szCs w:val="20"/>
              </w:rPr>
              <w:t xml:space="preserve">Profit Type</w:t>
            </w:r>
          </w:p>
        </w:tc>
        <w:tc>
          <w:tcPr>
            <w:tcW w:type="dxa" w:w="3826"/>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r>
              <w:rPr>
                <w:rFonts w:ascii="Arial" w:cs="Arial" w:eastAsia="Arial" w:hAnsi="Arial"/>
                <w:sz w:val="20"/>
                <w:szCs w:val="20"/>
              </w:rPr>
              <w:t xml:space="preserve">Uniontech</w:t>
            </w:r>
          </w:p>
        </w:tc>
        <w:tc>
          <w:tcPr>
            <w:tcW w:type="dxa" w:w="2800"/>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r>
              <w:rPr>
                <w:rFonts w:ascii="Arial" w:cs="Arial" w:eastAsia="Arial" w:hAnsi="Arial"/>
                <w:sz w:val="20"/>
                <w:szCs w:val="20"/>
              </w:rPr>
              <w:t xml:space="preserve">Import margin</w:t>
            </w:r>
          </w:p>
        </w:tc>
        <w:tc>
          <w:tcPr>
            <w:tcW w:type="dxa" w:w="3826"/>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r>
              <w:rPr>
                <w:rFonts w:ascii="Arial" w:cs="Arial" w:eastAsia="Arial" w:hAnsi="Arial"/>
                <w:sz w:val="20"/>
                <w:szCs w:val="20"/>
              </w:rPr>
              <w:t xml:space="preserve">Procurement, importing &amp; customs clearance</w:t>
            </w:r>
          </w:p>
        </w:tc>
      </w:tr>
      <w:tr>
        <w:tc>
          <w:tcPr>
            <w:tcW w:type="dxa" w:w="2400"/>
            <w:tcBorders>
              <w:top w:val="single" w:color="DDDDDD" w:sz="4"/>
              <w:left w:val="single" w:color="DDDDDD" w:sz="4"/>
              <w:bottom w:val="single" w:color="DDDDDD" w:sz="4"/>
              <w:right w:val="single" w:color="DDDDDD" w:sz="4"/>
            </w:tcBorders>
            <w:shd w:fill="F9FAFB" w:val="clear"/>
            <w:tcMar>
              <w:top w:type="dxa" w:w="70"/>
              <w:left w:type="dxa" w:w="140"/>
              <w:bottom w:type="dxa" w:w="70"/>
              <w:right w:type="dxa" w:w="140"/>
            </w:tcMar>
          </w:tcPr>
          <w:p>
            <w:r>
              <w:rPr>
                <w:rFonts w:ascii="Arial" w:cs="Arial" w:eastAsia="Arial" w:hAnsi="Arial"/>
                <w:sz w:val="20"/>
                <w:szCs w:val="20"/>
              </w:rPr>
              <w:t xml:space="preserve">Signacore (Hornet Honey)</w:t>
            </w:r>
          </w:p>
        </w:tc>
        <w:tc>
          <w:tcPr>
            <w:tcW w:type="dxa" w:w="2800"/>
            <w:tcBorders>
              <w:top w:val="single" w:color="DDDDDD" w:sz="4"/>
              <w:left w:val="single" w:color="DDDDDD" w:sz="4"/>
              <w:bottom w:val="single" w:color="DDDDDD" w:sz="4"/>
              <w:right w:val="single" w:color="DDDDDD" w:sz="4"/>
            </w:tcBorders>
            <w:shd w:fill="F9FAFB" w:val="clear"/>
            <w:tcMar>
              <w:top w:type="dxa" w:w="70"/>
              <w:left w:type="dxa" w:w="140"/>
              <w:bottom w:type="dxa" w:w="70"/>
              <w:right w:type="dxa" w:w="140"/>
            </w:tcMar>
          </w:tcPr>
          <w:p>
            <w:r>
              <w:rPr>
                <w:rFonts w:ascii="Arial" w:cs="Arial" w:eastAsia="Arial" w:hAnsi="Arial"/>
                <w:sz w:val="20"/>
                <w:szCs w:val="20"/>
              </w:rPr>
              <w:t xml:space="preserve">Distribution margin</w:t>
            </w:r>
          </w:p>
        </w:tc>
        <w:tc>
          <w:tcPr>
            <w:tcW w:type="dxa" w:w="3826"/>
            <w:tcBorders>
              <w:top w:val="single" w:color="DDDDDD" w:sz="4"/>
              <w:left w:val="single" w:color="DDDDDD" w:sz="4"/>
              <w:bottom w:val="single" w:color="DDDDDD" w:sz="4"/>
              <w:right w:val="single" w:color="DDDDDD" w:sz="4"/>
            </w:tcBorders>
            <w:shd w:fill="F9FAFB" w:val="clear"/>
            <w:tcMar>
              <w:top w:type="dxa" w:w="70"/>
              <w:left w:type="dxa" w:w="140"/>
              <w:bottom w:type="dxa" w:w="70"/>
              <w:right w:type="dxa" w:w="140"/>
            </w:tcMar>
          </w:tcPr>
          <w:p>
            <w:r>
              <w:rPr>
                <w:rFonts w:ascii="Arial" w:cs="Arial" w:eastAsia="Arial" w:hAnsi="Arial"/>
                <w:sz w:val="20"/>
                <w:szCs w:val="20"/>
              </w:rPr>
              <w:t xml:space="preserve">Materials supply, stock holding &amp; manufacturing</w:t>
            </w:r>
          </w:p>
        </w:tc>
      </w:tr>
      <w:tr>
        <w:tc>
          <w:tcPr>
            <w:tcW w:type="dxa" w:w="2400"/>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r>
              <w:rPr>
                <w:rFonts w:ascii="Arial" w:cs="Arial" w:eastAsia="Arial" w:hAnsi="Arial"/>
                <w:sz w:val="20"/>
                <w:szCs w:val="20"/>
              </w:rPr>
              <w:t xml:space="preserve">SNS Group</w:t>
            </w:r>
          </w:p>
        </w:tc>
        <w:tc>
          <w:tcPr>
            <w:tcW w:type="dxa" w:w="2800"/>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r>
              <w:rPr>
                <w:rFonts w:ascii="Arial" w:cs="Arial" w:eastAsia="Arial" w:hAnsi="Arial"/>
                <w:sz w:val="20"/>
                <w:szCs w:val="20"/>
              </w:rPr>
              <w:t xml:space="preserve">Project margin</w:t>
            </w:r>
          </w:p>
        </w:tc>
        <w:tc>
          <w:tcPr>
            <w:tcW w:type="dxa" w:w="3826"/>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r>
              <w:rPr>
                <w:rFonts w:ascii="Arial" w:cs="Arial" w:eastAsia="Arial" w:hAnsi="Arial"/>
                <w:sz w:val="20"/>
                <w:szCs w:val="20"/>
              </w:rPr>
              <w:t xml:space="preserve">Sales, project management &amp; admin</w:t>
            </w:r>
          </w:p>
        </w:tc>
      </w:tr>
      <w:tr>
        <w:tc>
          <w:tcPr>
            <w:tcW w:type="dxa" w:w="2400"/>
            <w:tcBorders>
              <w:top w:val="single" w:color="DDDDDD" w:sz="4"/>
              <w:left w:val="single" w:color="DDDDDD" w:sz="4"/>
              <w:bottom w:val="single" w:color="DDDDDD" w:sz="4"/>
              <w:right w:val="single" w:color="DDDDDD" w:sz="4"/>
            </w:tcBorders>
            <w:shd w:fill="F9FAFB" w:val="clear"/>
            <w:tcMar>
              <w:top w:type="dxa" w:w="70"/>
              <w:left w:type="dxa" w:w="140"/>
              <w:bottom w:type="dxa" w:w="70"/>
              <w:right w:type="dxa" w:w="140"/>
            </w:tcMar>
          </w:tcPr>
          <w:p>
            <w:r>
              <w:rPr>
                <w:rFonts w:ascii="Arial" w:cs="Arial" w:eastAsia="Arial" w:hAnsi="Arial"/>
                <w:sz w:val="20"/>
                <w:szCs w:val="20"/>
              </w:rPr>
              <w:t xml:space="preserve">Cover X</w:t>
            </w:r>
          </w:p>
        </w:tc>
        <w:tc>
          <w:tcPr>
            <w:tcW w:type="dxa" w:w="2800"/>
            <w:tcBorders>
              <w:top w:val="single" w:color="DDDDDD" w:sz="4"/>
              <w:left w:val="single" w:color="DDDDDD" w:sz="4"/>
              <w:bottom w:val="single" w:color="DDDDDD" w:sz="4"/>
              <w:right w:val="single" w:color="DDDDDD" w:sz="4"/>
            </w:tcBorders>
            <w:shd w:fill="F9FAFB" w:val="clear"/>
            <w:tcMar>
              <w:top w:type="dxa" w:w="70"/>
              <w:left w:type="dxa" w:w="140"/>
              <w:bottom w:type="dxa" w:w="70"/>
              <w:right w:type="dxa" w:w="140"/>
            </w:tcMar>
          </w:tcPr>
          <w:p>
            <w:r>
              <w:rPr>
                <w:rFonts w:ascii="Arial" w:cs="Arial" w:eastAsia="Arial" w:hAnsi="Arial"/>
                <w:sz w:val="20"/>
                <w:szCs w:val="20"/>
              </w:rPr>
              <w:t xml:space="preserve">Installation margin</w:t>
            </w:r>
          </w:p>
        </w:tc>
        <w:tc>
          <w:tcPr>
            <w:tcW w:type="dxa" w:w="3826"/>
            <w:tcBorders>
              <w:top w:val="single" w:color="DDDDDD" w:sz="4"/>
              <w:left w:val="single" w:color="DDDDDD" w:sz="4"/>
              <w:bottom w:val="single" w:color="DDDDDD" w:sz="4"/>
              <w:right w:val="single" w:color="DDDDDD" w:sz="4"/>
            </w:tcBorders>
            <w:shd w:fill="F9FAFB" w:val="clear"/>
            <w:tcMar>
              <w:top w:type="dxa" w:w="70"/>
              <w:left w:type="dxa" w:w="140"/>
              <w:bottom w:type="dxa" w:w="70"/>
              <w:right w:type="dxa" w:w="140"/>
            </w:tcMar>
          </w:tcPr>
          <w:p>
            <w:r>
              <w:rPr>
                <w:rFonts w:ascii="Arial" w:cs="Arial" w:eastAsia="Arial" w:hAnsi="Arial"/>
                <w:sz w:val="20"/>
                <w:szCs w:val="20"/>
              </w:rPr>
              <w:t xml:space="preserve">Fitting, wrapping &amp; architectural installations</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4"/>
              <w:left w:val="single" w:color="B45309" w:sz="24"/>
              <w:bottom w:val="single" w:color="B45309" w:sz="4"/>
              <w:right w:val="single" w:color="B45309" w:sz="4"/>
            </w:tcBorders>
            <w:shd w:fill="FEF3C7" w:val="clear"/>
            <w:tcMar>
              <w:top w:type="dxa" w:w="120"/>
              <w:left w:type="dxa" w:w="240"/>
              <w:bottom w:type="dxa" w:w="120"/>
              <w:right w:type="dxa" w:w="240"/>
            </w:tcMar>
          </w:tcPr>
          <w:p>
            <w:r>
              <w:rPr>
                <w:rFonts w:ascii="Arial" w:cs="Arial" w:eastAsia="Arial" w:hAnsi="Arial"/>
                <w:sz w:val="21"/>
                <w:szCs w:val="21"/>
              </w:rPr>
              <w:t xml:space="preserve">Example: Uniontech imports ACM sheets → sells to Signacore at R100 → Signacore sells to SNS Group at R120 → SNS Group builds project margin → Cover X adds installation margin. Each entity earns legitimately and is independently auditable.</w:t>
            </w:r>
          </w:p>
        </w:tc>
      </w:tr>
    </w:tbl>
    <w:p>
      <w:r>
        <w:br w:type="page"/>
      </w:r>
    </w:p>
    <w:p>
      <w:pPr>
        <w:pStyle w:val="Heading1"/>
      </w:pPr>
      <w:r>
        <w:t xml:space="preserve">5.  Company Name Change Process</w:t>
      </w:r>
    </w:p>
    <w:p>
      <w:pPr>
        <w:spacing w:after="80" w:before="80"/>
      </w:pPr>
      <w:r>
        <w:rPr>
          <w:rFonts w:ascii="Arial" w:cs="Arial" w:eastAsia="Arial" w:hAnsi="Arial"/>
          <w:sz w:val="21"/>
          <w:szCs w:val="21"/>
        </w:rPr>
        <w:t xml:space="preserve">Only one formal name change is required: the existing Signarama company is renamed to SNS Group (Pty) Ltd. Hornet Honey does not require a registered name change.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none" w:color="FFFFFF" w:sz="0"/>
              <w:left w:val="none" w:color="FFFFFF" w:sz="0"/>
              <w:bottom w:val="none" w:color="FFFFFF" w:sz="0"/>
              <w:right w:val="none" w:color="FFFFFF" w:sz="0"/>
            </w:tcBorders>
            <w:shd w:fill="0D7490"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1</w:t>
            </w:r>
          </w:p>
        </w:tc>
        <w:tc>
          <w:tcPr>
            <w:tcW w:type="dxa" w:w="8386"/>
            <w:tcBorders>
              <w:top w:val="none" w:color="FFFFFF" w:sz="0"/>
              <w:left w:val="none" w:color="FFFFFF" w:sz="0"/>
              <w:bottom w:val="none" w:color="FFFFFF" w:sz="0"/>
              <w:right w:val="none" w:color="FFFFFF" w:sz="0"/>
            </w:tcBorders>
            <w:shd w:fill="CCFBF1" w:val="clear"/>
            <w:tcMar>
              <w:top w:type="dxa" w:w="80"/>
              <w:left w:type="dxa" w:w="240"/>
              <w:bottom w:type="dxa" w:w="80"/>
              <w:right w:type="dxa" w:w="160"/>
            </w:tcMar>
          </w:tcPr>
          <w:p>
            <w:pPr>
              <w:spacing w:after="30" w:before="0"/>
            </w:pPr>
            <w:r>
              <w:rPr>
                <w:rFonts w:ascii="Arial" w:cs="Arial" w:eastAsia="Arial" w:hAnsi="Arial"/>
                <w:b/>
                <w:bCs/>
                <w:color w:val="0D7490"/>
                <w:sz w:val="21"/>
                <w:szCs w:val="21"/>
              </w:rPr>
              <w:t xml:space="preserve">Decide Your New Name</w:t>
            </w:r>
          </w:p>
          <w:p>
            <w:pPr>
              <w:spacing w:after="0" w:before="0"/>
            </w:pPr>
            <w:r>
              <w:rPr>
                <w:rFonts w:ascii="Arial" w:cs="Arial" w:eastAsia="Arial" w:hAnsi="Arial"/>
                <w:color w:val="6B7280"/>
                <w:sz w:val="19"/>
                <w:szCs w:val="19"/>
              </w:rPr>
              <w:t xml:space="preserve">Reserve one of the following at CIPC: SNS Group (Pty) Ltd [recommended], Signacore Group (Pty) Ltd, or Signacore Holdings (Pty) Ltd. Reserve 2–3 options as backups.</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none" w:color="FFFFFF" w:sz="0"/>
              <w:left w:val="none" w:color="FFFFFF" w:sz="0"/>
              <w:bottom w:val="none" w:color="FFFFFF" w:sz="0"/>
              <w:right w:val="none" w:color="FFFFFF" w:sz="0"/>
            </w:tcBorders>
            <w:shd w:fill="0D7490"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2</w:t>
            </w:r>
          </w:p>
        </w:tc>
        <w:tc>
          <w:tcPr>
            <w:tcW w:type="dxa" w:w="8386"/>
            <w:tcBorders>
              <w:top w:val="none" w:color="FFFFFF" w:sz="0"/>
              <w:left w:val="none" w:color="FFFFFF" w:sz="0"/>
              <w:bottom w:val="none" w:color="FFFFFF" w:sz="0"/>
              <w:right w:val="none" w:color="FFFFFF" w:sz="0"/>
            </w:tcBorders>
            <w:shd w:fill="CCFBF1" w:val="clear"/>
            <w:tcMar>
              <w:top w:type="dxa" w:w="80"/>
              <w:left w:type="dxa" w:w="240"/>
              <w:bottom w:type="dxa" w:w="80"/>
              <w:right w:type="dxa" w:w="160"/>
            </w:tcMar>
          </w:tcPr>
          <w:p>
            <w:pPr>
              <w:spacing w:after="30" w:before="0"/>
            </w:pPr>
            <w:r>
              <w:rPr>
                <w:rFonts w:ascii="Arial" w:cs="Arial" w:eastAsia="Arial" w:hAnsi="Arial"/>
                <w:b/>
                <w:bCs/>
                <w:color w:val="0D7490"/>
                <w:sz w:val="21"/>
                <w:szCs w:val="21"/>
              </w:rPr>
              <w:t xml:space="preserve">Reserve the Name at CIPC</w:t>
            </w:r>
          </w:p>
          <w:p>
            <w:pPr>
              <w:spacing w:after="0" w:before="0"/>
            </w:pPr>
            <w:r>
              <w:rPr>
                <w:rFonts w:ascii="Arial" w:cs="Arial" w:eastAsia="Arial" w:hAnsi="Arial"/>
                <w:color w:val="6B7280"/>
                <w:sz w:val="19"/>
                <w:szCs w:val="19"/>
              </w:rPr>
              <w:t xml:space="preserve">Log in at www.cipc.co.za → eServices → Name Reservation. Submit up to 4 name preferences. Cost: ±R50. Processing: 1–5 business days.</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none" w:color="FFFFFF" w:sz="0"/>
              <w:left w:val="none" w:color="FFFFFF" w:sz="0"/>
              <w:bottom w:val="none" w:color="FFFFFF" w:sz="0"/>
              <w:right w:val="none" w:color="FFFFFF" w:sz="0"/>
            </w:tcBorders>
            <w:shd w:fill="0D7490"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3</w:t>
            </w:r>
          </w:p>
        </w:tc>
        <w:tc>
          <w:tcPr>
            <w:tcW w:type="dxa" w:w="8386"/>
            <w:tcBorders>
              <w:top w:val="none" w:color="FFFFFF" w:sz="0"/>
              <w:left w:val="none" w:color="FFFFFF" w:sz="0"/>
              <w:bottom w:val="none" w:color="FFFFFF" w:sz="0"/>
              <w:right w:val="none" w:color="FFFFFF" w:sz="0"/>
            </w:tcBorders>
            <w:shd w:fill="CCFBF1" w:val="clear"/>
            <w:tcMar>
              <w:top w:type="dxa" w:w="80"/>
              <w:left w:type="dxa" w:w="240"/>
              <w:bottom w:type="dxa" w:w="80"/>
              <w:right w:type="dxa" w:w="160"/>
            </w:tcMar>
          </w:tcPr>
          <w:p>
            <w:pPr>
              <w:spacing w:after="30" w:before="0"/>
            </w:pPr>
            <w:r>
              <w:rPr>
                <w:rFonts w:ascii="Arial" w:cs="Arial" w:eastAsia="Arial" w:hAnsi="Arial"/>
                <w:b/>
                <w:bCs/>
                <w:color w:val="0D7490"/>
                <w:sz w:val="21"/>
                <w:szCs w:val="21"/>
              </w:rPr>
              <w:t xml:space="preserve">File CoR 9.1 — Name Change Form</w:t>
            </w:r>
          </w:p>
          <w:p>
            <w:pPr>
              <w:spacing w:after="0" w:before="0"/>
            </w:pPr>
            <w:r>
              <w:rPr>
                <w:rFonts w:ascii="Arial" w:cs="Arial" w:eastAsia="Arial" w:hAnsi="Arial"/>
                <w:color w:val="6B7280"/>
                <w:sz w:val="19"/>
                <w:szCs w:val="19"/>
              </w:rPr>
              <w:t xml:space="preserve">Submit the CoR 9.1 (Change of Company Name) via CIPC eServices. Attach: name reservation certificate and a director resolution approving the change. Processing: 1–3 business days.</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none" w:color="FFFFFF" w:sz="0"/>
              <w:left w:val="none" w:color="FFFFFF" w:sz="0"/>
              <w:bottom w:val="none" w:color="FFFFFF" w:sz="0"/>
              <w:right w:val="none" w:color="FFFFFF" w:sz="0"/>
            </w:tcBorders>
            <w:shd w:fill="1A3A6B"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4</w:t>
            </w:r>
          </w:p>
        </w:tc>
        <w:tc>
          <w:tcPr>
            <w:tcW w:type="dxa" w:w="8386"/>
            <w:tcBorders>
              <w:top w:val="none" w:color="FFFFFF" w:sz="0"/>
              <w:left w:val="none" w:color="FFFFFF" w:sz="0"/>
              <w:bottom w:val="none" w:color="FFFFFF" w:sz="0"/>
              <w:right w:val="none" w:color="FFFFFF" w:sz="0"/>
            </w:tcBorders>
            <w:shd w:fill="DBEAFE" w:val="clear"/>
            <w:tcMar>
              <w:top w:type="dxa" w:w="80"/>
              <w:left w:type="dxa" w:w="240"/>
              <w:bottom w:type="dxa" w:w="80"/>
              <w:right w:type="dxa" w:w="160"/>
            </w:tcMar>
          </w:tcPr>
          <w:p>
            <w:pPr>
              <w:spacing w:after="30" w:before="0"/>
            </w:pPr>
            <w:r>
              <w:rPr>
                <w:rFonts w:ascii="Arial" w:cs="Arial" w:eastAsia="Arial" w:hAnsi="Arial"/>
                <w:b/>
                <w:bCs/>
                <w:color w:val="1A3A6B"/>
                <w:sz w:val="21"/>
                <w:szCs w:val="21"/>
              </w:rPr>
              <w:t xml:space="preserve">Notify Your Bank</w:t>
            </w:r>
          </w:p>
          <w:p>
            <w:pPr>
              <w:spacing w:after="0" w:before="0"/>
            </w:pPr>
            <w:r>
              <w:rPr>
                <w:rFonts w:ascii="Arial" w:cs="Arial" w:eastAsia="Arial" w:hAnsi="Arial"/>
                <w:color w:val="6B7280"/>
                <w:sz w:val="19"/>
                <w:szCs w:val="19"/>
              </w:rPr>
              <w:t xml:space="preserve">Inform your bank’s account manager of the name change. Your account number stays the same. The bank will update their records and may issue a new bank letter.</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none" w:color="FFFFFF" w:sz="0"/>
              <w:left w:val="none" w:color="FFFFFF" w:sz="0"/>
              <w:bottom w:val="none" w:color="FFFFFF" w:sz="0"/>
              <w:right w:val="none" w:color="FFFFFF" w:sz="0"/>
            </w:tcBorders>
            <w:shd w:fill="1A3A6B"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5</w:t>
            </w:r>
          </w:p>
        </w:tc>
        <w:tc>
          <w:tcPr>
            <w:tcW w:type="dxa" w:w="8386"/>
            <w:tcBorders>
              <w:top w:val="none" w:color="FFFFFF" w:sz="0"/>
              <w:left w:val="none" w:color="FFFFFF" w:sz="0"/>
              <w:bottom w:val="none" w:color="FFFFFF" w:sz="0"/>
              <w:right w:val="none" w:color="FFFFFF" w:sz="0"/>
            </w:tcBorders>
            <w:shd w:fill="DBEAFE" w:val="clear"/>
            <w:tcMar>
              <w:top w:type="dxa" w:w="80"/>
              <w:left w:type="dxa" w:w="240"/>
              <w:bottom w:type="dxa" w:w="80"/>
              <w:right w:type="dxa" w:w="160"/>
            </w:tcMar>
          </w:tcPr>
          <w:p>
            <w:pPr>
              <w:spacing w:after="30" w:before="0"/>
            </w:pPr>
            <w:r>
              <w:rPr>
                <w:rFonts w:ascii="Arial" w:cs="Arial" w:eastAsia="Arial" w:hAnsi="Arial"/>
                <w:b/>
                <w:bCs/>
                <w:color w:val="1A3A6B"/>
                <w:sz w:val="21"/>
                <w:szCs w:val="21"/>
              </w:rPr>
              <w:t xml:space="preserve">Update Brand Materials</w:t>
            </w:r>
          </w:p>
          <w:p>
            <w:pPr>
              <w:spacing w:after="0" w:before="0"/>
            </w:pPr>
            <w:r>
              <w:rPr>
                <w:rFonts w:ascii="Arial" w:cs="Arial" w:eastAsia="Arial" w:hAnsi="Arial"/>
                <w:color w:val="6B7280"/>
                <w:sz w:val="19"/>
                <w:szCs w:val="19"/>
              </w:rPr>
              <w:t xml:space="preserve">New letterheads, quote and invoice templates, email signatures, and website reflecting Signacore as the primary brand and SNS Group as the group name.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none" w:color="FFFFFF" w:sz="0"/>
              <w:left w:val="none" w:color="FFFFFF" w:sz="0"/>
              <w:bottom w:val="none" w:color="FFFFFF" w:sz="0"/>
              <w:right w:val="none" w:color="FFFFFF" w:sz="0"/>
            </w:tcBorders>
            <w:shd w:fill="B45309"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6</w:t>
            </w:r>
          </w:p>
        </w:tc>
        <w:tc>
          <w:tcPr>
            <w:tcW w:type="dxa" w:w="8386"/>
            <w:tcBorders>
              <w:top w:val="none" w:color="FFFFFF" w:sz="0"/>
              <w:left w:val="none" w:color="FFFFFF" w:sz="0"/>
              <w:bottom w:val="none" w:color="FFFFFF" w:sz="0"/>
              <w:right w:val="none" w:color="FFFFFF" w:sz="0"/>
            </w:tcBorders>
            <w:shd w:fill="FEF3C7" w:val="clear"/>
            <w:tcMar>
              <w:top w:type="dxa" w:w="80"/>
              <w:left w:type="dxa" w:w="240"/>
              <w:bottom w:type="dxa" w:w="80"/>
              <w:right w:type="dxa" w:w="160"/>
            </w:tcMar>
          </w:tcPr>
          <w:p>
            <w:pPr>
              <w:spacing w:after="30" w:before="0"/>
            </w:pPr>
            <w:r>
              <w:rPr>
                <w:rFonts w:ascii="Arial" w:cs="Arial" w:eastAsia="Arial" w:hAnsi="Arial"/>
                <w:b/>
                <w:bCs/>
                <w:color w:val="B45309"/>
                <w:sz w:val="21"/>
                <w:szCs w:val="21"/>
              </w:rPr>
              <w:t xml:space="preserve">Review Franchise Exit Terms</w:t>
            </w:r>
          </w:p>
          <w:p>
            <w:pPr>
              <w:spacing w:after="0" w:before="0"/>
            </w:pPr>
            <w:r>
              <w:rPr>
                <w:rFonts w:ascii="Arial" w:cs="Arial" w:eastAsia="Arial" w:hAnsi="Arial"/>
                <w:color w:val="6B7280"/>
                <w:sz w:val="19"/>
                <w:szCs w:val="19"/>
              </w:rPr>
              <w:t xml:space="preserve">Consult your Signarama franchise agreement for exit clauses, notice periods, name-use restrictions post-exit, and any penalties. Engage a franchise attorney if needed.</w:t>
            </w:r>
          </w:p>
        </w:tc>
      </w:tr>
    </w:tbl>
    <w:p>
      <w:pPr>
        <w:spacing w:after="0" w:before="60"/>
      </w:pPr>
    </w:p>
    <w:p>
      <w:pPr>
        <w:spacing w:after="0" w:before="120"/>
      </w:pPr>
    </w:p>
    <w:p>
      <w:pPr>
        <w:pStyle w:val="Heading2"/>
      </w:pPr>
      <w:r>
        <w:t xml:space="preserve">What Changes vs. What Stays the Same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D7490" w:sz="4"/>
              <w:left w:val="single" w:color="0D7490" w:sz="4"/>
              <w:bottom w:val="single" w:color="0D7490" w:sz="4"/>
              <w:right w:val="single" w:color="0D7490" w:sz="4"/>
            </w:tcBorders>
            <w:shd w:fill="CCFBF1" w:val="clear"/>
            <w:tcMar>
              <w:top w:type="dxa" w:w="80"/>
              <w:left w:type="dxa" w:w="160"/>
              <w:bottom w:type="dxa" w:w="80"/>
              <w:right w:type="dxa" w:w="160"/>
            </w:tcMar>
          </w:tcPr>
          <w:p>
            <w:pPr>
              <w:spacing w:after="60" w:before="0"/>
            </w:pPr>
            <w:r>
              <w:rPr>
                <w:rFonts w:ascii="Arial" w:cs="Arial" w:eastAsia="Arial" w:hAnsi="Arial"/>
                <w:b/>
                <w:bCs/>
                <w:color w:val="0D7490"/>
                <w:sz w:val="21"/>
                <w:szCs w:val="21"/>
              </w:rPr>
              <w:t xml:space="preserve">Must Be Updated</w:t>
            </w:r>
          </w:p>
          <w:p>
            <w:pPr>
              <w:pStyle w:val="ListParagraph"/>
              <w:numPr>
                <w:ilvl w:val="0"/>
                <w:numId w:val="2"/>
              </w:numPr>
              <w:spacing w:after="30" w:before="30"/>
            </w:pPr>
            <w:r>
              <w:rPr>
                <w:rFonts w:ascii="Arial" w:cs="Arial" w:eastAsia="Arial" w:hAnsi="Arial"/>
                <w:sz w:val="19"/>
                <w:szCs w:val="19"/>
              </w:rPr>
              <w:t xml:space="preserve">Company letterhead and email templates</w:t>
            </w:r>
          </w:p>
          <w:p>
            <w:pPr>
              <w:pStyle w:val="ListParagraph"/>
              <w:numPr>
                <w:ilvl w:val="0"/>
                <w:numId w:val="2"/>
              </w:numPr>
              <w:spacing w:after="30" w:before="30"/>
            </w:pPr>
            <w:r>
              <w:rPr>
                <w:rFonts w:ascii="Arial" w:cs="Arial" w:eastAsia="Arial" w:hAnsi="Arial"/>
                <w:sz w:val="19"/>
                <w:szCs w:val="19"/>
              </w:rPr>
              <w:t xml:space="preserve">Quote and invoice documents</w:t>
            </w:r>
          </w:p>
          <w:p>
            <w:pPr>
              <w:pStyle w:val="ListParagraph"/>
              <w:numPr>
                <w:ilvl w:val="0"/>
                <w:numId w:val="2"/>
              </w:numPr>
              <w:spacing w:after="30" w:before="30"/>
            </w:pPr>
            <w:r>
              <w:rPr>
                <w:rFonts w:ascii="Arial" w:cs="Arial" w:eastAsia="Arial" w:hAnsi="Arial"/>
                <w:sz w:val="19"/>
                <w:szCs w:val="19"/>
              </w:rPr>
              <w:t xml:space="preserve">Email signatures of all staff</w:t>
            </w:r>
          </w:p>
          <w:p>
            <w:pPr>
              <w:pStyle w:val="ListParagraph"/>
              <w:numPr>
                <w:ilvl w:val="0"/>
                <w:numId w:val="2"/>
              </w:numPr>
              <w:spacing w:after="30" w:before="30"/>
            </w:pPr>
            <w:r>
              <w:rPr>
                <w:rFonts w:ascii="Arial" w:cs="Arial" w:eastAsia="Arial" w:hAnsi="Arial"/>
                <w:sz w:val="19"/>
                <w:szCs w:val="19"/>
              </w:rPr>
              <w:t xml:space="preserve">Website and social media profiles</w:t>
            </w:r>
          </w:p>
          <w:p>
            <w:pPr>
              <w:pStyle w:val="ListParagraph"/>
              <w:numPr>
                <w:ilvl w:val="0"/>
                <w:numId w:val="2"/>
              </w:numPr>
              <w:spacing w:after="30" w:before="30"/>
            </w:pPr>
            <w:r>
              <w:rPr>
                <w:rFonts w:ascii="Arial" w:cs="Arial" w:eastAsia="Arial" w:hAnsi="Arial"/>
                <w:sz w:val="19"/>
                <w:szCs w:val="19"/>
              </w:rPr>
              <w:t xml:space="preserve">Supplier and client service agreements</w:t>
            </w:r>
          </w:p>
          <w:p>
            <w:pPr>
              <w:pStyle w:val="ListParagraph"/>
              <w:numPr>
                <w:ilvl w:val="0"/>
                <w:numId w:val="2"/>
              </w:numPr>
              <w:spacing w:after="30" w:before="30"/>
            </w:pPr>
            <w:r>
              <w:rPr>
                <w:rFonts w:ascii="Arial" w:cs="Arial" w:eastAsia="Arial" w:hAnsi="Arial"/>
                <w:sz w:val="19"/>
                <w:szCs w:val="19"/>
              </w:rPr>
              <w:t xml:space="preserve">Vehicle signage and premises branding</w:t>
            </w:r>
          </w:p>
        </w:tc>
        <w:tc>
          <w:tcPr>
            <w:tcW w:type="dxa" w:w="4513"/>
            <w:tcBorders>
              <w:top w:val="single" w:color="15803D" w:sz="4"/>
              <w:left w:val="single" w:color="15803D" w:sz="4"/>
              <w:bottom w:val="single" w:color="15803D" w:sz="4"/>
              <w:right w:val="single" w:color="15803D" w:sz="4"/>
            </w:tcBorders>
            <w:shd w:fill="DCFCE7" w:val="clear"/>
            <w:tcMar>
              <w:top w:type="dxa" w:w="80"/>
              <w:left w:type="dxa" w:w="160"/>
              <w:bottom w:type="dxa" w:w="80"/>
              <w:right w:type="dxa" w:w="160"/>
            </w:tcMar>
          </w:tcPr>
          <w:p>
            <w:pPr>
              <w:spacing w:after="60" w:before="0"/>
            </w:pPr>
            <w:r>
              <w:rPr>
                <w:rFonts w:ascii="Arial" w:cs="Arial" w:eastAsia="Arial" w:hAnsi="Arial"/>
                <w:b/>
                <w:bCs/>
                <w:color w:val="15803D"/>
                <w:sz w:val="21"/>
                <w:szCs w:val="21"/>
              </w:rPr>
              <w:t xml:space="preserve">No Change Required</w:t>
            </w:r>
          </w:p>
          <w:p>
            <w:pPr>
              <w:pStyle w:val="ListParagraph"/>
              <w:numPr>
                <w:ilvl w:val="0"/>
                <w:numId w:val="3"/>
              </w:numPr>
              <w:spacing w:after="30" w:before="30"/>
            </w:pPr>
            <w:r>
              <w:rPr>
                <w:rFonts w:ascii="Arial" w:cs="Arial" w:eastAsia="Arial" w:hAnsi="Arial"/>
                <w:sz w:val="19"/>
                <w:szCs w:val="19"/>
              </w:rPr>
              <w:t xml:space="preserve">VAT number (SARS auto-updates)</w:t>
            </w:r>
          </w:p>
          <w:p>
            <w:pPr>
              <w:pStyle w:val="ListParagraph"/>
              <w:numPr>
                <w:ilvl w:val="0"/>
                <w:numId w:val="3"/>
              </w:numPr>
              <w:spacing w:after="30" w:before="30"/>
            </w:pPr>
            <w:r>
              <w:rPr>
                <w:rFonts w:ascii="Arial" w:cs="Arial" w:eastAsia="Arial" w:hAnsi="Arial"/>
                <w:sz w:val="19"/>
                <w:szCs w:val="19"/>
              </w:rPr>
              <w:t xml:space="preserve">Bank account number</w:t>
            </w:r>
          </w:p>
          <w:p>
            <w:pPr>
              <w:pStyle w:val="ListParagraph"/>
              <w:numPr>
                <w:ilvl w:val="0"/>
                <w:numId w:val="3"/>
              </w:numPr>
              <w:spacing w:after="30" w:before="30"/>
            </w:pPr>
            <w:r>
              <w:rPr>
                <w:rFonts w:ascii="Arial" w:cs="Arial" w:eastAsia="Arial" w:hAnsi="Arial"/>
                <w:sz w:val="19"/>
                <w:szCs w:val="19"/>
              </w:rPr>
              <w:t xml:space="preserve">Staff employment contracts</w:t>
            </w:r>
          </w:p>
          <w:p>
            <w:pPr>
              <w:pStyle w:val="ListParagraph"/>
              <w:numPr>
                <w:ilvl w:val="0"/>
                <w:numId w:val="3"/>
              </w:numPr>
              <w:spacing w:after="30" w:before="30"/>
            </w:pPr>
            <w:r>
              <w:rPr>
                <w:rFonts w:ascii="Arial" w:cs="Arial" w:eastAsia="Arial" w:hAnsi="Arial"/>
                <w:sz w:val="19"/>
                <w:szCs w:val="19"/>
              </w:rPr>
              <w:t xml:space="preserve">PAYE and UIF registrations</w:t>
            </w:r>
          </w:p>
          <w:p>
            <w:pPr>
              <w:pStyle w:val="ListParagraph"/>
              <w:numPr>
                <w:ilvl w:val="0"/>
                <w:numId w:val="3"/>
              </w:numPr>
              <w:spacing w:after="30" w:before="30"/>
            </w:pPr>
            <w:r>
              <w:rPr>
                <w:rFonts w:ascii="Arial" w:cs="Arial" w:eastAsia="Arial" w:hAnsi="Arial"/>
                <w:sz w:val="19"/>
                <w:szCs w:val="19"/>
              </w:rPr>
              <w:t xml:space="preserve">Existing client orders in progress</w:t>
            </w:r>
          </w:p>
          <w:p>
            <w:pPr>
              <w:pStyle w:val="ListParagraph"/>
              <w:numPr>
                <w:ilvl w:val="0"/>
                <w:numId w:val="3"/>
              </w:numPr>
              <w:spacing w:after="30" w:before="30"/>
            </w:pPr>
            <w:r>
              <w:rPr>
                <w:rFonts w:ascii="Arial" w:cs="Arial" w:eastAsia="Arial" w:hAnsi="Arial"/>
                <w:sz w:val="19"/>
                <w:szCs w:val="19"/>
              </w:rPr>
              <w:t xml:space="preserve">Hornet Honey legal registration</w:t>
            </w:r>
          </w:p>
        </w:tc>
      </w:tr>
    </w:tbl>
    <w:p>
      <w:r>
        <w:br w:type="page"/>
      </w:r>
    </w:p>
    <w:p>
      <w:pPr>
        <w:pStyle w:val="Heading1"/>
      </w:pPr>
      <w:r>
        <w:t xml:space="preserve">6.  Naming &amp; Branding Strategy</w:t>
      </w:r>
    </w:p>
    <w:p>
      <w:pPr>
        <w:spacing w:after="80" w:before="80"/>
      </w:pPr>
      <w:r>
        <w:rPr>
          <w:rFonts w:ascii="Arial" w:cs="Arial" w:eastAsia="Arial" w:hAnsi="Arial"/>
          <w:sz w:val="21"/>
          <w:szCs w:val="21"/>
        </w:rPr>
        <w:t xml:space="preserve">Clients only ever see commercial brand names. The legal entity behind a trading name is standard practice — they are fully separated.</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200"/>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0"/>
                <w:szCs w:val="20"/>
              </w:rPr>
              <w:t xml:space="preserve">Client Sees</w:t>
            </w:r>
          </w:p>
        </w:tc>
        <w:tc>
          <w:tcPr>
            <w:tcW w:type="dxa" w:w="3826"/>
            <w:tcBorders>
              <w:top w:val="single" w:color="1A3A6B" w:sz="4"/>
              <w:left w:val="single" w:color="1A3A6B" w:sz="4"/>
              <w:bottom w:val="single" w:color="1A3A6B" w:sz="4"/>
              <w:right w:val="single" w:color="1A3A6B" w:sz="4"/>
            </w:tcBorders>
            <w:shd w:fill="1A3A6B" w:val="clear"/>
            <w:tcMar>
              <w:top w:type="dxa" w:w="80"/>
              <w:left w:type="dxa" w:w="140"/>
              <w:bottom w:type="dxa" w:w="80"/>
              <w:right w:type="dxa" w:w="140"/>
            </w:tcMar>
          </w:tcPr>
          <w:p>
            <w:r>
              <w:rPr>
                <w:rFonts w:ascii="Arial" w:cs="Arial" w:eastAsia="Arial" w:hAnsi="Arial"/>
                <w:b/>
                <w:bCs/>
                <w:color w:val="FFFFFF"/>
                <w:sz w:val="20"/>
                <w:szCs w:val="20"/>
              </w:rPr>
              <w:t xml:space="preserve">Legal Entity</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r>
              <w:rPr>
                <w:rFonts w:ascii="Arial" w:cs="Arial" w:eastAsia="Arial" w:hAnsi="Arial"/>
                <w:sz w:val="20"/>
                <w:szCs w:val="20"/>
              </w:rPr>
              <w:t xml:space="preserve">Holding</w:t>
            </w:r>
          </w:p>
        </w:tc>
        <w:tc>
          <w:tcPr>
            <w:tcW w:type="dxa" w:w="3200"/>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r>
              <w:rPr>
                <w:rFonts w:ascii="Arial" w:cs="Arial" w:eastAsia="Arial" w:hAnsi="Arial"/>
                <w:sz w:val="20"/>
                <w:szCs w:val="20"/>
              </w:rPr>
              <w:t xml:space="preserve">SNS Group</w:t>
            </w:r>
          </w:p>
        </w:tc>
        <w:tc>
          <w:tcPr>
            <w:tcW w:type="dxa" w:w="3826"/>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r>
              <w:rPr>
                <w:rFonts w:ascii="Arial" w:cs="Arial" w:eastAsia="Arial" w:hAnsi="Arial"/>
                <w:sz w:val="20"/>
                <w:szCs w:val="20"/>
              </w:rPr>
              <w:t xml:space="preserve">SNS Group (Pty) Ltd</w:t>
            </w:r>
          </w:p>
        </w:tc>
      </w:tr>
      <w:tr>
        <w:tc>
          <w:tcPr>
            <w:tcW w:type="dxa" w:w="2000"/>
            <w:tcBorders>
              <w:top w:val="single" w:color="DDDDDD" w:sz="4"/>
              <w:left w:val="single" w:color="DDDDDD" w:sz="4"/>
              <w:bottom w:val="single" w:color="DDDDDD" w:sz="4"/>
              <w:right w:val="single" w:color="DDDDDD" w:sz="4"/>
            </w:tcBorders>
            <w:shd w:fill="F9FAFB" w:val="clear"/>
            <w:tcMar>
              <w:top w:type="dxa" w:w="70"/>
              <w:left w:type="dxa" w:w="140"/>
              <w:bottom w:type="dxa" w:w="70"/>
              <w:right w:type="dxa" w:w="140"/>
            </w:tcMar>
          </w:tcPr>
          <w:p>
            <w:r>
              <w:rPr>
                <w:rFonts w:ascii="Arial" w:cs="Arial" w:eastAsia="Arial" w:hAnsi="Arial"/>
                <w:sz w:val="20"/>
                <w:szCs w:val="20"/>
              </w:rPr>
              <w:t xml:space="preserve">Main Brand</w:t>
            </w:r>
          </w:p>
        </w:tc>
        <w:tc>
          <w:tcPr>
            <w:tcW w:type="dxa" w:w="3200"/>
            <w:tcBorders>
              <w:top w:val="single" w:color="DDDDDD" w:sz="4"/>
              <w:left w:val="single" w:color="DDDDDD" w:sz="4"/>
              <w:bottom w:val="single" w:color="DDDDDD" w:sz="4"/>
              <w:right w:val="single" w:color="DDDDDD" w:sz="4"/>
            </w:tcBorders>
            <w:shd w:fill="F9FAFB" w:val="clear"/>
            <w:tcMar>
              <w:top w:type="dxa" w:w="70"/>
              <w:left w:type="dxa" w:w="140"/>
              <w:bottom w:type="dxa" w:w="70"/>
              <w:right w:type="dxa" w:w="140"/>
            </w:tcMar>
          </w:tcPr>
          <w:p>
            <w:r>
              <w:rPr>
                <w:rFonts w:ascii="Arial" w:cs="Arial" w:eastAsia="Arial" w:hAnsi="Arial"/>
                <w:sz w:val="20"/>
                <w:szCs w:val="20"/>
              </w:rPr>
              <w:t xml:space="preserve">Signacore</w:t>
            </w:r>
          </w:p>
        </w:tc>
        <w:tc>
          <w:tcPr>
            <w:tcW w:type="dxa" w:w="3826"/>
            <w:tcBorders>
              <w:top w:val="single" w:color="DDDDDD" w:sz="4"/>
              <w:left w:val="single" w:color="DDDDDD" w:sz="4"/>
              <w:bottom w:val="single" w:color="DDDDDD" w:sz="4"/>
              <w:right w:val="single" w:color="DDDDDD" w:sz="4"/>
            </w:tcBorders>
            <w:shd w:fill="F9FAFB" w:val="clear"/>
            <w:tcMar>
              <w:top w:type="dxa" w:w="70"/>
              <w:left w:type="dxa" w:w="140"/>
              <w:bottom w:type="dxa" w:w="70"/>
              <w:right w:type="dxa" w:w="140"/>
            </w:tcMar>
          </w:tcPr>
          <w:p>
            <w:r>
              <w:rPr>
                <w:rFonts w:ascii="Arial" w:cs="Arial" w:eastAsia="Arial" w:hAnsi="Arial"/>
                <w:sz w:val="20"/>
                <w:szCs w:val="20"/>
              </w:rPr>
              <w:t xml:space="preserve">Hornet Honey (Pty) Ltd t/a Signacore</w:t>
            </w:r>
          </w:p>
        </w:tc>
      </w:tr>
      <w:tr>
        <w:tc>
          <w:tcPr>
            <w:tcW w:type="dxa" w:w="2000"/>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r>
              <w:rPr>
                <w:rFonts w:ascii="Arial" w:cs="Arial" w:eastAsia="Arial" w:hAnsi="Arial"/>
                <w:sz w:val="20"/>
                <w:szCs w:val="20"/>
              </w:rPr>
              <w:t xml:space="preserve">Installation</w:t>
            </w:r>
          </w:p>
        </w:tc>
        <w:tc>
          <w:tcPr>
            <w:tcW w:type="dxa" w:w="3200"/>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r>
              <w:rPr>
                <w:rFonts w:ascii="Arial" w:cs="Arial" w:eastAsia="Arial" w:hAnsi="Arial"/>
                <w:sz w:val="20"/>
                <w:szCs w:val="20"/>
              </w:rPr>
              <w:t xml:space="preserve">Cover X</w:t>
            </w:r>
          </w:p>
        </w:tc>
        <w:tc>
          <w:tcPr>
            <w:tcW w:type="dxa" w:w="3826"/>
            <w:tcBorders>
              <w:top w:val="single" w:color="DDDDDD" w:sz="4"/>
              <w:left w:val="single" w:color="DDDDDD" w:sz="4"/>
              <w:bottom w:val="single" w:color="DDDDDD" w:sz="4"/>
              <w:right w:val="single" w:color="DDDDDD" w:sz="4"/>
            </w:tcBorders>
            <w:shd w:fill="FFFFFF" w:val="clear"/>
            <w:tcMar>
              <w:top w:type="dxa" w:w="70"/>
              <w:left w:type="dxa" w:w="140"/>
              <w:bottom w:type="dxa" w:w="70"/>
              <w:right w:type="dxa" w:w="140"/>
            </w:tcMar>
          </w:tcPr>
          <w:p>
            <w:r>
              <w:rPr>
                <w:rFonts w:ascii="Arial" w:cs="Arial" w:eastAsia="Arial" w:hAnsi="Arial"/>
                <w:sz w:val="20"/>
                <w:szCs w:val="20"/>
              </w:rPr>
              <w:t xml:space="preserve">Cover X (Pty) Ltd</w:t>
            </w:r>
          </w:p>
        </w:tc>
      </w:tr>
      <w:tr>
        <w:tc>
          <w:tcPr>
            <w:tcW w:type="dxa" w:w="2000"/>
            <w:tcBorders>
              <w:top w:val="single" w:color="DDDDDD" w:sz="4"/>
              <w:left w:val="single" w:color="DDDDDD" w:sz="4"/>
              <w:bottom w:val="single" w:color="DDDDDD" w:sz="4"/>
              <w:right w:val="single" w:color="DDDDDD" w:sz="4"/>
            </w:tcBorders>
            <w:shd w:fill="F9FAFB" w:val="clear"/>
            <w:tcMar>
              <w:top w:type="dxa" w:w="70"/>
              <w:left w:type="dxa" w:w="140"/>
              <w:bottom w:type="dxa" w:w="70"/>
              <w:right w:type="dxa" w:w="140"/>
            </w:tcMar>
          </w:tcPr>
          <w:p>
            <w:r>
              <w:rPr>
                <w:rFonts w:ascii="Arial" w:cs="Arial" w:eastAsia="Arial" w:hAnsi="Arial"/>
                <w:sz w:val="20"/>
                <w:szCs w:val="20"/>
              </w:rPr>
              <w:t xml:space="preserve">Future (JV)</w:t>
            </w:r>
          </w:p>
        </w:tc>
        <w:tc>
          <w:tcPr>
            <w:tcW w:type="dxa" w:w="3200"/>
            <w:tcBorders>
              <w:top w:val="single" w:color="DDDDDD" w:sz="4"/>
              <w:left w:val="single" w:color="DDDDDD" w:sz="4"/>
              <w:bottom w:val="single" w:color="DDDDDD" w:sz="4"/>
              <w:right w:val="single" w:color="DDDDDD" w:sz="4"/>
            </w:tcBorders>
            <w:shd w:fill="F9FAFB" w:val="clear"/>
            <w:tcMar>
              <w:top w:type="dxa" w:w="70"/>
              <w:left w:type="dxa" w:w="140"/>
              <w:bottom w:type="dxa" w:w="70"/>
              <w:right w:type="dxa" w:w="140"/>
            </w:tcMar>
          </w:tcPr>
          <w:p>
            <w:r>
              <w:rPr>
                <w:rFonts w:ascii="Arial" w:cs="Arial" w:eastAsia="Arial" w:hAnsi="Arial"/>
                <w:sz w:val="20"/>
                <w:szCs w:val="20"/>
              </w:rPr>
              <w:t xml:space="preserve">Greensky Garden Route</w:t>
            </w:r>
          </w:p>
        </w:tc>
        <w:tc>
          <w:tcPr>
            <w:tcW w:type="dxa" w:w="3826"/>
            <w:tcBorders>
              <w:top w:val="single" w:color="DDDDDD" w:sz="4"/>
              <w:left w:val="single" w:color="DDDDDD" w:sz="4"/>
              <w:bottom w:val="single" w:color="DDDDDD" w:sz="4"/>
              <w:right w:val="single" w:color="DDDDDD" w:sz="4"/>
            </w:tcBorders>
            <w:shd w:fill="F9FAFB" w:val="clear"/>
            <w:tcMar>
              <w:top w:type="dxa" w:w="70"/>
              <w:left w:type="dxa" w:w="140"/>
              <w:bottom w:type="dxa" w:w="70"/>
              <w:right w:type="dxa" w:w="140"/>
            </w:tcMar>
          </w:tcPr>
          <w:p>
            <w:r>
              <w:rPr>
                <w:rFonts w:ascii="Arial" w:cs="Arial" w:eastAsia="Arial" w:hAnsi="Arial"/>
                <w:sz w:val="20"/>
                <w:szCs w:val="20"/>
              </w:rPr>
              <w:t xml:space="preserve">To be determined</w:t>
            </w:r>
          </w:p>
        </w:tc>
      </w:tr>
    </w:tbl>
    <w:p>
      <w:pPr>
        <w:spacing w:after="0" w:before="160"/>
      </w:pPr>
    </w:p>
    <w:p>
      <w:pPr>
        <w:pStyle w:val="Heading2"/>
      </w:pPr>
      <w:r>
        <w:t xml:space="preserve">Hornet Honey — No Name Change Required</w:t>
      </w:r>
    </w:p>
    <w:p>
      <w:pPr>
        <w:spacing w:after="80" w:before="80"/>
      </w:pPr>
      <w:r>
        <w:rPr>
          <w:rFonts w:ascii="Arial" w:cs="Arial" w:eastAsia="Arial" w:hAnsi="Arial"/>
          <w:sz w:val="21"/>
          <w:szCs w:val="21"/>
        </w:rPr>
        <w:t xml:space="preserve">You do not need to change the registered name of Hornet Honey (Pty) Ltd. Simply begin marketing as Signacore. The correct format on all documents is:</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490" w:sz="4"/>
              <w:left w:val="single" w:color="0D7490" w:sz="24"/>
              <w:bottom w:val="single" w:color="0D7490" w:sz="4"/>
              <w:right w:val="single" w:color="0D7490" w:sz="4"/>
            </w:tcBorders>
            <w:shd w:fill="CCFBF1" w:val="clear"/>
            <w:tcMar>
              <w:top w:type="dxa" w:w="120"/>
              <w:left w:type="dxa" w:w="240"/>
              <w:bottom w:type="dxa" w:w="120"/>
              <w:right w:type="dxa" w:w="240"/>
            </w:tcMar>
          </w:tcPr>
          <w:p>
            <w:r>
              <w:rPr>
                <w:rFonts w:ascii="Arial" w:cs="Arial" w:eastAsia="Arial" w:hAnsi="Arial"/>
                <w:sz w:val="21"/>
                <w:szCs w:val="21"/>
              </w:rPr>
              <w:t xml:space="preserve">"Signacore — A division of SNS Group"
Hornet Honey (Pty) Ltd  |  t/a Signacore</w:t>
            </w:r>
          </w:p>
        </w:tc>
      </w:tr>
    </w:tbl>
    <w:p>
      <w:pPr>
        <w:spacing w:after="0" w:before="100"/>
      </w:pPr>
    </w:p>
    <w:p>
      <w:pPr>
        <w:spacing w:after="80" w:before="80"/>
      </w:pPr>
      <w:r>
        <w:rPr>
          <w:rFonts w:ascii="Arial" w:cs="Arial" w:eastAsia="Arial" w:hAnsi="Arial"/>
          <w:sz w:val="21"/>
          <w:szCs w:val="21"/>
        </w:rPr>
        <w:t xml:space="preserve">This is the legally correct format when a company trades under a name different from its registered name. No CIPC filing is required for the trading name.</w:t>
      </w:r>
    </w:p>
    <w:p>
      <w:pPr>
        <w:spacing w:after="0" w:before="200"/>
      </w:pPr>
    </w:p>
    <w:p>
      <w:pPr>
        <w:pStyle w:val="Heading2"/>
      </w:pPr>
      <w:r>
        <w:t xml:space="preserve">Future: Greensky Garden Route</w:t>
      </w:r>
    </w:p>
    <w:p>
      <w:pPr>
        <w:spacing w:after="80" w:before="80"/>
      </w:pPr>
      <w:r>
        <w:rPr>
          <w:rFonts w:ascii="Arial" w:cs="Arial" w:eastAsia="Arial" w:hAnsi="Arial"/>
          <w:sz w:val="21"/>
          <w:szCs w:val="21"/>
        </w:rPr>
        <w:t xml:space="preserve">If the Greensky partnership proceeds, simply incorporate or register a new entity under SNS Group. The structure below requires no changes to existing entities: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c>
          <w:tcPr>
            <w:tcW w:type="dxa" w:w="1800"/>
            <w:tcBorders>
              <w:top w:val="none" w:color="FFFFFF" w:sz="0"/>
              <w:left w:val="none" w:color="FFFFFF" w:sz="0"/>
              <w:bottom w:val="none" w:color="FFFFFF" w:sz="0"/>
              <w:right w:val="none" w:color="FFFFFF" w:sz="0"/>
            </w:tcBorders>
          </w:tcPr>
          <w:p/>
        </w:tc>
        <w:tc>
          <w:tcPr>
            <w:tcW w:type="dxa" w:w="5426"/>
            <w:tcBorders>
              <w:top w:val="single" w:color="FFFFFF" w:sz="0"/>
              <w:left w:val="single" w:color="FFFFFF" w:sz="0"/>
              <w:bottom w:val="single" w:color="FFFFFF" w:sz="0"/>
              <w:right w:val="single" w:color="FFFFFF" w:sz="0"/>
            </w:tcBorders>
            <w:shd w:fill="1A3A6B" w:val="clear"/>
            <w:tcMar>
              <w:top w:type="dxa" w:w="80"/>
              <w:left w:type="dxa" w:w="200"/>
              <w:bottom w:type="dxa" w:w="80"/>
              <w:right w:type="dxa" w:w="200"/>
            </w:tcMar>
            <w:vAlign w:val="center"/>
          </w:tcPr>
          <w:p>
            <w:pPr>
              <w:spacing w:after="30" w:before="80"/>
              <w:jc w:val="center"/>
            </w:pPr>
            <w:r>
              <w:rPr>
                <w:rFonts w:ascii="Arial" w:cs="Arial" w:eastAsia="Arial" w:hAnsi="Arial"/>
                <w:b/>
                <w:bCs/>
                <w:color w:val="FFFFFF"/>
                <w:sz w:val="23"/>
                <w:szCs w:val="23"/>
              </w:rPr>
              <w:t xml:space="preserve">SNS GROUP (PTY) LTD</w:t>
            </w:r>
          </w:p>
          <w:p>
            <w:pPr>
              <w:spacing w:after="80" w:before="0"/>
              <w:jc w:val="center"/>
            </w:pPr>
            <w:r>
              <w:rPr>
                <w:rFonts w:ascii="Arial" w:cs="Arial" w:eastAsia="Arial" w:hAnsi="Arial"/>
                <w:i/>
                <w:iCs/>
                <w:color w:val="6B7280"/>
                <w:sz w:val="18"/>
                <w:szCs w:val="18"/>
              </w:rPr>
              <w:t xml:space="preserve">Holding &amp; Management Company</w:t>
            </w:r>
          </w:p>
        </w:tc>
        <w:tc>
          <w:tcPr>
            <w:tcW w:type="dxa" w:w="1800"/>
            <w:tcBorders>
              <w:top w:val="none" w:color="FFFFFF" w:sz="0"/>
              <w:left w:val="none" w:color="FFFFFF" w:sz="0"/>
              <w:bottom w:val="none" w:color="FFFFFF" w:sz="0"/>
              <w:right w:val="none" w:color="FFFFFF" w:sz="0"/>
            </w:tcBorders>
          </w:tcPr>
          <w:p/>
        </w:tc>
      </w:tr>
    </w:tbl>
    <w:p>
      <w:pPr>
        <w:spacing w:after="0" w:before="0"/>
        <w:jc w:val="center"/>
      </w:pPr>
      <w:r>
        <w:rPr>
          <w:rFonts w:ascii="Courier New" w:cs="Courier New" w:eastAsia="Courier New" w:hAnsi="Courier New"/>
          <w:color w:val="9CA3AF"/>
          <w:sz w:val="20"/>
          <w:szCs w:val="20"/>
        </w:rPr>
        <w:t xml:space="preserve">         ┌─────────┬─────────┐</w:t>
      </w:r>
    </w:p>
    <w:p>
      <w:pPr>
        <w:spacing w:after="0" w:before="0"/>
        <w:jc w:val="center"/>
      </w:pPr>
      <w:r>
        <w:rPr>
          <w:rFonts w:ascii="Courier New" w:cs="Courier New" w:eastAsia="Courier New" w:hAnsi="Courier New"/>
          <w:color w:val="9CA3AF"/>
          <w:sz w:val="20"/>
          <w:szCs w:val="20"/>
        </w:rPr>
        <w:t xml:space="preserve">         │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60"/>
        <w:gridCol w:w="253"/>
        <w:gridCol w:w="2860"/>
        <w:gridCol w:w="253"/>
        <w:gridCol w:w="2800"/>
      </w:tblGrid>
      <w:tr>
        <w:tc>
          <w:tcPr>
            <w:tcW w:type="dxa" w:w="2860"/>
            <w:tcBorders>
              <w:top w:val="single" w:color="0D7490" w:sz="8"/>
              <w:left w:val="single" w:color="0D7490" w:sz="8"/>
              <w:bottom w:val="single" w:color="0D7490" w:sz="8"/>
              <w:right w:val="single" w:color="0D7490" w:sz="8"/>
            </w:tcBorders>
            <w:shd w:fill="CCFBF1" w:val="clear"/>
            <w:tcMar>
              <w:top w:type="dxa" w:w="80"/>
              <w:left w:type="dxa" w:w="200"/>
              <w:bottom w:type="dxa" w:w="80"/>
              <w:right w:type="dxa" w:w="200"/>
            </w:tcMar>
            <w:vAlign w:val="center"/>
          </w:tcPr>
          <w:p>
            <w:pPr>
              <w:spacing w:after="30" w:before="80"/>
              <w:jc w:val="center"/>
            </w:pPr>
            <w:r>
              <w:rPr>
                <w:rFonts w:ascii="Arial" w:cs="Arial" w:eastAsia="Arial" w:hAnsi="Arial"/>
                <w:b/>
                <w:bCs/>
                <w:color w:val="0D7490"/>
                <w:sz w:val="23"/>
                <w:szCs w:val="23"/>
              </w:rPr>
              <w:t xml:space="preserve">SIGNACORE</w:t>
            </w:r>
          </w:p>
          <w:p>
            <w:pPr>
              <w:spacing w:after="80" w:before="0"/>
              <w:jc w:val="center"/>
            </w:pPr>
            <w:r>
              <w:rPr>
                <w:rFonts w:ascii="Arial" w:cs="Arial" w:eastAsia="Arial" w:hAnsi="Arial"/>
                <w:i/>
                <w:iCs/>
                <w:color w:val="6B7280"/>
                <w:sz w:val="18"/>
                <w:szCs w:val="18"/>
              </w:rPr>
              <w:t xml:space="preserve">Supply &amp; Mfg</w:t>
            </w:r>
          </w:p>
        </w:tc>
        <w:tc>
          <w:tcPr>
            <w:tcW w:type="dxa" w:w="253"/>
            <w:tcBorders>
              <w:top w:val="none" w:color="FFFFFF" w:sz="0"/>
              <w:left w:val="none" w:color="FFFFFF" w:sz="0"/>
              <w:bottom w:val="none" w:color="FFFFFF" w:sz="0"/>
              <w:right w:val="none" w:color="FFFFFF" w:sz="0"/>
            </w:tcBorders>
          </w:tcPr>
          <w:p/>
        </w:tc>
        <w:tc>
          <w:tcPr>
            <w:tcW w:type="dxa" w:w="2860"/>
            <w:tcBorders>
              <w:top w:val="single" w:color="15803D" w:sz="8"/>
              <w:left w:val="single" w:color="15803D" w:sz="8"/>
              <w:bottom w:val="single" w:color="15803D" w:sz="8"/>
              <w:right w:val="single" w:color="15803D" w:sz="8"/>
            </w:tcBorders>
            <w:shd w:fill="DCFCE7" w:val="clear"/>
            <w:tcMar>
              <w:top w:type="dxa" w:w="80"/>
              <w:left w:type="dxa" w:w="200"/>
              <w:bottom w:type="dxa" w:w="80"/>
              <w:right w:type="dxa" w:w="200"/>
            </w:tcMar>
            <w:vAlign w:val="center"/>
          </w:tcPr>
          <w:p>
            <w:pPr>
              <w:spacing w:after="30" w:before="80"/>
              <w:jc w:val="center"/>
            </w:pPr>
            <w:r>
              <w:rPr>
                <w:rFonts w:ascii="Arial" w:cs="Arial" w:eastAsia="Arial" w:hAnsi="Arial"/>
                <w:b/>
                <w:bCs/>
                <w:color w:val="15803D"/>
                <w:sz w:val="23"/>
                <w:szCs w:val="23"/>
              </w:rPr>
              <w:t xml:space="preserve">COVER X</w:t>
            </w:r>
          </w:p>
          <w:p>
            <w:pPr>
              <w:spacing w:after="80" w:before="0"/>
              <w:jc w:val="center"/>
            </w:pPr>
            <w:r>
              <w:rPr>
                <w:rFonts w:ascii="Arial" w:cs="Arial" w:eastAsia="Arial" w:hAnsi="Arial"/>
                <w:i/>
                <w:iCs/>
                <w:color w:val="6B7280"/>
                <w:sz w:val="18"/>
                <w:szCs w:val="18"/>
              </w:rPr>
              <w:t xml:space="preserve">Installation</w:t>
            </w:r>
          </w:p>
        </w:tc>
        <w:tc>
          <w:tcPr>
            <w:tcW w:type="dxa" w:w="253"/>
            <w:tcBorders>
              <w:top w:val="none" w:color="FFFFFF" w:sz="0"/>
              <w:left w:val="none" w:color="FFFFFF" w:sz="0"/>
              <w:bottom w:val="none" w:color="FFFFFF" w:sz="0"/>
              <w:right w:val="none" w:color="FFFFFF" w:sz="0"/>
            </w:tcBorders>
          </w:tcPr>
          <w:p/>
        </w:tc>
        <w:tc>
          <w:tcPr>
            <w:tcW w:type="dxa" w:w="2800"/>
            <w:tcBorders>
              <w:top w:val="dotted" w:color="7C3AED" w:sz="6"/>
              <w:left w:val="dotted" w:color="7C3AED" w:sz="6"/>
              <w:bottom w:val="dotted" w:color="7C3AED" w:sz="6"/>
              <w:right w:val="dotted" w:color="7C3AED" w:sz="6"/>
            </w:tcBorders>
            <w:shd w:fill="EDE9FE" w:val="clear"/>
            <w:tcMar>
              <w:top w:type="dxa" w:w="80"/>
              <w:left w:type="dxa" w:w="200"/>
              <w:bottom w:type="dxa" w:w="80"/>
              <w:right w:type="dxa" w:w="200"/>
            </w:tcMar>
            <w:vAlign w:val="center"/>
          </w:tcPr>
          <w:p>
            <w:pPr>
              <w:spacing w:after="30" w:before="80"/>
              <w:jc w:val="center"/>
            </w:pPr>
            <w:r>
              <w:rPr>
                <w:rFonts w:ascii="Arial" w:cs="Arial" w:eastAsia="Arial" w:hAnsi="Arial"/>
                <w:b/>
                <w:bCs/>
                <w:color w:val="7C3AED"/>
                <w:sz w:val="23"/>
                <w:szCs w:val="23"/>
              </w:rPr>
              <w:t xml:space="preserve">GREENSKY GR</w:t>
            </w:r>
          </w:p>
          <w:p>
            <w:pPr>
              <w:spacing w:after="80" w:before="0"/>
              <w:jc w:val="center"/>
            </w:pPr>
            <w:r>
              <w:rPr>
                <w:rFonts w:ascii="Arial" w:cs="Arial" w:eastAsia="Arial" w:hAnsi="Arial"/>
                <w:i/>
                <w:iCs/>
                <w:color w:val="6B7280"/>
                <w:sz w:val="18"/>
                <w:szCs w:val="18"/>
              </w:rPr>
              <w:t xml:space="preserve">Joint Venture</w:t>
            </w:r>
          </w:p>
        </w:tc>
      </w:tr>
    </w:tbl>
    <w:p>
      <w:r>
        <w:br w:type="page"/>
      </w:r>
    </w:p>
    <w:p>
      <w:pPr>
        <w:pStyle w:val="Heading1"/>
      </w:pPr>
      <w:r>
        <w:t xml:space="preserve">7.  Immediate Action Plan</w:t>
      </w:r>
    </w:p>
    <w:p>
      <w:pPr>
        <w:spacing w:after="80" w:before="80"/>
      </w:pPr>
      <w:r>
        <w:rPr>
          <w:rFonts w:ascii="Arial" w:cs="Arial" w:eastAsia="Arial" w:hAnsi="Arial"/>
          <w:sz w:val="21"/>
          <w:szCs w:val="21"/>
        </w:rPr>
        <w:t xml:space="preserve">The following actions can be progressed simultaneously. Steps 1–3 should be completed before the formal franchise exit date.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none" w:color="FFFFFF" w:sz="0"/>
              <w:left w:val="none" w:color="FFFFFF" w:sz="0"/>
              <w:bottom w:val="none" w:color="FFFFFF" w:sz="0"/>
              <w:right w:val="none" w:color="FFFFFF" w:sz="0"/>
            </w:tcBorders>
            <w:shd w:fill="0D7490"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1</w:t>
            </w:r>
          </w:p>
        </w:tc>
        <w:tc>
          <w:tcPr>
            <w:tcW w:type="dxa" w:w="8386"/>
            <w:tcBorders>
              <w:top w:val="none" w:color="FFFFFF" w:sz="0"/>
              <w:left w:val="none" w:color="FFFFFF" w:sz="0"/>
              <w:bottom w:val="none" w:color="FFFFFF" w:sz="0"/>
              <w:right w:val="none" w:color="FFFFFF" w:sz="0"/>
            </w:tcBorders>
            <w:shd w:fill="CCFBF1" w:val="clear"/>
            <w:tcMar>
              <w:top w:type="dxa" w:w="80"/>
              <w:left w:type="dxa" w:w="240"/>
              <w:bottom w:type="dxa" w:w="80"/>
              <w:right w:type="dxa" w:w="160"/>
            </w:tcMar>
          </w:tcPr>
          <w:p>
            <w:pPr>
              <w:spacing w:after="30" w:before="0"/>
            </w:pPr>
            <w:r>
              <w:rPr>
                <w:rFonts w:ascii="Arial" w:cs="Arial" w:eastAsia="Arial" w:hAnsi="Arial"/>
                <w:b/>
                <w:bCs/>
                <w:color w:val="0D7490"/>
                <w:sz w:val="21"/>
                <w:szCs w:val="21"/>
              </w:rPr>
              <w:t xml:space="preserve">Reserve company names at CIPC</w:t>
            </w:r>
          </w:p>
          <w:p>
            <w:pPr>
              <w:spacing w:after="0" w:before="0"/>
            </w:pPr>
            <w:r>
              <w:rPr>
                <w:rFonts w:ascii="Arial" w:cs="Arial" w:eastAsia="Arial" w:hAnsi="Arial"/>
                <w:color w:val="6B7280"/>
                <w:sz w:val="19"/>
                <w:szCs w:val="19"/>
              </w:rPr>
              <w:t xml:space="preserve">Visit cipc.co.za and reserve SNS Group plus 1–2 alternatives. Cost: ±R50 per name.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none" w:color="FFFFFF" w:sz="0"/>
              <w:left w:val="none" w:color="FFFFFF" w:sz="0"/>
              <w:bottom w:val="none" w:color="FFFFFF" w:sz="0"/>
              <w:right w:val="none" w:color="FFFFFF" w:sz="0"/>
            </w:tcBorders>
            <w:shd w:fill="0D7490"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2</w:t>
            </w:r>
          </w:p>
        </w:tc>
        <w:tc>
          <w:tcPr>
            <w:tcW w:type="dxa" w:w="8386"/>
            <w:tcBorders>
              <w:top w:val="none" w:color="FFFFFF" w:sz="0"/>
              <w:left w:val="none" w:color="FFFFFF" w:sz="0"/>
              <w:bottom w:val="none" w:color="FFFFFF" w:sz="0"/>
              <w:right w:val="none" w:color="FFFFFF" w:sz="0"/>
            </w:tcBorders>
            <w:shd w:fill="CCFBF1" w:val="clear"/>
            <w:tcMar>
              <w:top w:type="dxa" w:w="80"/>
              <w:left w:type="dxa" w:w="240"/>
              <w:bottom w:type="dxa" w:w="80"/>
              <w:right w:type="dxa" w:w="160"/>
            </w:tcMar>
          </w:tcPr>
          <w:p>
            <w:pPr>
              <w:spacing w:after="30" w:before="0"/>
            </w:pPr>
            <w:r>
              <w:rPr>
                <w:rFonts w:ascii="Arial" w:cs="Arial" w:eastAsia="Arial" w:hAnsi="Arial"/>
                <w:b/>
                <w:bCs/>
                <w:color w:val="0D7490"/>
                <w:sz w:val="21"/>
                <w:szCs w:val="21"/>
              </w:rPr>
              <w:t xml:space="preserve">File CoR 9.1 name change</w:t>
            </w:r>
          </w:p>
          <w:p>
            <w:pPr>
              <w:spacing w:after="0" w:before="0"/>
            </w:pPr>
            <w:r>
              <w:rPr>
                <w:rFonts w:ascii="Arial" w:cs="Arial" w:eastAsia="Arial" w:hAnsi="Arial"/>
                <w:color w:val="6B7280"/>
                <w:sz w:val="19"/>
                <w:szCs w:val="19"/>
              </w:rPr>
              <w:t xml:space="preserve">Submit once reservation is confirmed. Processing time: 1–3 business days.</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none" w:color="FFFFFF" w:sz="0"/>
              <w:left w:val="none" w:color="FFFFFF" w:sz="0"/>
              <w:bottom w:val="none" w:color="FFFFFF" w:sz="0"/>
              <w:right w:val="none" w:color="FFFFFF" w:sz="0"/>
            </w:tcBorders>
            <w:shd w:fill="0D7490"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3</w:t>
            </w:r>
          </w:p>
        </w:tc>
        <w:tc>
          <w:tcPr>
            <w:tcW w:type="dxa" w:w="8386"/>
            <w:tcBorders>
              <w:top w:val="none" w:color="FFFFFF" w:sz="0"/>
              <w:left w:val="none" w:color="FFFFFF" w:sz="0"/>
              <w:bottom w:val="none" w:color="FFFFFF" w:sz="0"/>
              <w:right w:val="none" w:color="FFFFFF" w:sz="0"/>
            </w:tcBorders>
            <w:shd w:fill="CCFBF1" w:val="clear"/>
            <w:tcMar>
              <w:top w:type="dxa" w:w="80"/>
              <w:left w:type="dxa" w:w="240"/>
              <w:bottom w:type="dxa" w:w="80"/>
              <w:right w:type="dxa" w:w="160"/>
            </w:tcMar>
          </w:tcPr>
          <w:p>
            <w:pPr>
              <w:spacing w:after="30" w:before="0"/>
            </w:pPr>
            <w:r>
              <w:rPr>
                <w:rFonts w:ascii="Arial" w:cs="Arial" w:eastAsia="Arial" w:hAnsi="Arial"/>
                <w:b/>
                <w:bCs/>
                <w:color w:val="0D7490"/>
                <w:sz w:val="21"/>
                <w:szCs w:val="21"/>
              </w:rPr>
              <w:t xml:space="preserve">Begin trading as Signacore</w:t>
            </w:r>
          </w:p>
          <w:p>
            <w:pPr>
              <w:spacing w:after="0" w:before="0"/>
            </w:pPr>
            <w:r>
              <w:rPr>
                <w:rFonts w:ascii="Arial" w:cs="Arial" w:eastAsia="Arial" w:hAnsi="Arial"/>
                <w:color w:val="6B7280"/>
                <w:sz w:val="19"/>
                <w:szCs w:val="19"/>
              </w:rPr>
              <w:t xml:space="preserve">No filing required. Update all Hornet Honey documents to reflect the Signacore trading name immediately.</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none" w:color="FFFFFF" w:sz="0"/>
              <w:left w:val="none" w:color="FFFFFF" w:sz="0"/>
              <w:bottom w:val="none" w:color="FFFFFF" w:sz="0"/>
              <w:right w:val="none" w:color="FFFFFF" w:sz="0"/>
            </w:tcBorders>
            <w:shd w:fill="1A3A6B"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4</w:t>
            </w:r>
          </w:p>
        </w:tc>
        <w:tc>
          <w:tcPr>
            <w:tcW w:type="dxa" w:w="8386"/>
            <w:tcBorders>
              <w:top w:val="none" w:color="FFFFFF" w:sz="0"/>
              <w:left w:val="none" w:color="FFFFFF" w:sz="0"/>
              <w:bottom w:val="none" w:color="FFFFFF" w:sz="0"/>
              <w:right w:val="none" w:color="FFFFFF" w:sz="0"/>
            </w:tcBorders>
            <w:shd w:fill="DBEAFE" w:val="clear"/>
            <w:tcMar>
              <w:top w:type="dxa" w:w="80"/>
              <w:left w:type="dxa" w:w="240"/>
              <w:bottom w:type="dxa" w:w="80"/>
              <w:right w:type="dxa" w:w="160"/>
            </w:tcMar>
          </w:tcPr>
          <w:p>
            <w:pPr>
              <w:spacing w:after="30" w:before="0"/>
            </w:pPr>
            <w:r>
              <w:rPr>
                <w:rFonts w:ascii="Arial" w:cs="Arial" w:eastAsia="Arial" w:hAnsi="Arial"/>
                <w:b/>
                <w:bCs/>
                <w:color w:val="1A3A6B"/>
                <w:sz w:val="21"/>
                <w:szCs w:val="21"/>
              </w:rPr>
              <w:t xml:space="preserve">Notify your bank</w:t>
            </w:r>
          </w:p>
          <w:p>
            <w:pPr>
              <w:spacing w:after="0" w:before="0"/>
            </w:pPr>
            <w:r>
              <w:rPr>
                <w:rFonts w:ascii="Arial" w:cs="Arial" w:eastAsia="Arial" w:hAnsi="Arial"/>
                <w:color w:val="6B7280"/>
                <w:sz w:val="19"/>
                <w:szCs w:val="19"/>
              </w:rPr>
              <w:t xml:space="preserve">Inform the account manager of the Signarama → SNS Group name change. Account number is unchanged.</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none" w:color="FFFFFF" w:sz="0"/>
              <w:left w:val="none" w:color="FFFFFF" w:sz="0"/>
              <w:bottom w:val="none" w:color="FFFFFF" w:sz="0"/>
              <w:right w:val="none" w:color="FFFFFF" w:sz="0"/>
            </w:tcBorders>
            <w:shd w:fill="1A3A6B"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5</w:t>
            </w:r>
          </w:p>
        </w:tc>
        <w:tc>
          <w:tcPr>
            <w:tcW w:type="dxa" w:w="8386"/>
            <w:tcBorders>
              <w:top w:val="none" w:color="FFFFFF" w:sz="0"/>
              <w:left w:val="none" w:color="FFFFFF" w:sz="0"/>
              <w:bottom w:val="none" w:color="FFFFFF" w:sz="0"/>
              <w:right w:val="none" w:color="FFFFFF" w:sz="0"/>
            </w:tcBorders>
            <w:shd w:fill="DBEAFE" w:val="clear"/>
            <w:tcMar>
              <w:top w:type="dxa" w:w="80"/>
              <w:left w:type="dxa" w:w="240"/>
              <w:bottom w:type="dxa" w:w="80"/>
              <w:right w:type="dxa" w:w="160"/>
            </w:tcMar>
          </w:tcPr>
          <w:p>
            <w:pPr>
              <w:spacing w:after="30" w:before="0"/>
            </w:pPr>
            <w:r>
              <w:rPr>
                <w:rFonts w:ascii="Arial" w:cs="Arial" w:eastAsia="Arial" w:hAnsi="Arial"/>
                <w:b/>
                <w:bCs/>
                <w:color w:val="1A3A6B"/>
                <w:sz w:val="21"/>
                <w:szCs w:val="21"/>
              </w:rPr>
              <w:t xml:space="preserve">Refresh brand materials</w:t>
            </w:r>
          </w:p>
          <w:p>
            <w:pPr>
              <w:spacing w:after="0" w:before="0"/>
            </w:pPr>
            <w:r>
              <w:rPr>
                <w:rFonts w:ascii="Arial" w:cs="Arial" w:eastAsia="Arial" w:hAnsi="Arial"/>
                <w:color w:val="6B7280"/>
                <w:sz w:val="19"/>
                <w:szCs w:val="19"/>
              </w:rPr>
              <w:t xml:space="preserve">New letterheads, quote templates, email signatures, and website under the Signacore / SNS Group identity.</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8386"/>
      </w:tblGrid>
      <w:tr>
        <w:tc>
          <w:tcPr>
            <w:tcW w:type="dxa" w:w="640"/>
            <w:tcBorders>
              <w:top w:val="none" w:color="FFFFFF" w:sz="0"/>
              <w:left w:val="none" w:color="FFFFFF" w:sz="0"/>
              <w:bottom w:val="none" w:color="FFFFFF" w:sz="0"/>
              <w:right w:val="none" w:color="FFFFFF" w:sz="0"/>
            </w:tcBorders>
            <w:shd w:fill="B45309"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6</w:t>
            </w:r>
          </w:p>
        </w:tc>
        <w:tc>
          <w:tcPr>
            <w:tcW w:type="dxa" w:w="8386"/>
            <w:tcBorders>
              <w:top w:val="none" w:color="FFFFFF" w:sz="0"/>
              <w:left w:val="none" w:color="FFFFFF" w:sz="0"/>
              <w:bottom w:val="none" w:color="FFFFFF" w:sz="0"/>
              <w:right w:val="none" w:color="FFFFFF" w:sz="0"/>
            </w:tcBorders>
            <w:shd w:fill="FEF3C7" w:val="clear"/>
            <w:tcMar>
              <w:top w:type="dxa" w:w="80"/>
              <w:left w:type="dxa" w:w="240"/>
              <w:bottom w:type="dxa" w:w="80"/>
              <w:right w:type="dxa" w:w="160"/>
            </w:tcMar>
          </w:tcPr>
          <w:p>
            <w:pPr>
              <w:spacing w:after="30" w:before="0"/>
            </w:pPr>
            <w:r>
              <w:rPr>
                <w:rFonts w:ascii="Arial" w:cs="Arial" w:eastAsia="Arial" w:hAnsi="Arial"/>
                <w:b/>
                <w:bCs/>
                <w:color w:val="B45309"/>
                <w:sz w:val="21"/>
                <w:szCs w:val="21"/>
              </w:rPr>
              <w:t xml:space="preserve">Legal: review franchise exit</w:t>
            </w:r>
          </w:p>
          <w:p>
            <w:pPr>
              <w:spacing w:after="0" w:before="0"/>
            </w:pPr>
            <w:r>
              <w:rPr>
                <w:rFonts w:ascii="Arial" w:cs="Arial" w:eastAsia="Arial" w:hAnsi="Arial"/>
                <w:color w:val="6B7280"/>
                <w:sz w:val="19"/>
                <w:szCs w:val="19"/>
              </w:rPr>
              <w:t xml:space="preserve">Confirm notice period, post-exit name restrictions, and any competitor clauses with a qualified attorney.</w:t>
            </w:r>
          </w:p>
        </w:tc>
      </w:tr>
    </w:tbl>
    <w:p>
      <w:pPr>
        <w:spacing w:after="0" w:before="60"/>
      </w:pP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4"/>
              <w:left w:val="single" w:color="B45309" w:sz="24"/>
              <w:bottom w:val="single" w:color="B45309" w:sz="4"/>
              <w:right w:val="single" w:color="B45309" w:sz="4"/>
            </w:tcBorders>
            <w:shd w:fill="FEFCE8" w:val="clear"/>
            <w:tcMar>
              <w:top w:type="dxa" w:w="120"/>
              <w:left w:type="dxa" w:w="240"/>
              <w:bottom w:type="dxa" w:w="120"/>
              <w:right w:type="dxa" w:w="240"/>
            </w:tcMar>
          </w:tcPr>
          <w:p>
            <w:r>
              <w:rPr>
                <w:rFonts w:ascii="Arial" w:cs="Arial" w:eastAsia="Arial" w:hAnsi="Arial"/>
                <w:sz w:val="21"/>
                <w:szCs w:val="21"/>
              </w:rPr>
              <w:t xml:space="preserve">Important: This document is a business planning guide only. For legal confirmation of the name change process, tax structure, and franchise exit obligations, consult a qualified attorney and tax advisor familiar with South African company law (Companies Act 71 of 2008) and SARS requirements.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9CA3AF"/>
        <w:sz w:val="18"/>
        <w:szCs w:val="18"/>
      </w:rPr>
      <w:t xml:space="preserve">SNS Group (Pty) Ltd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9CA3AF"/>
        <w:sz w:val="18"/>
        <w:szCs w:val="18"/>
      </w:rPr>
      <w:t xml:space="preserve">CONFIDENTIAL  —  SNS Group Business Restructuring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7490" w:sz="8" w:space="4"/>
      </w:pBdr>
      <w:spacing w:after="16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74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2026-04-12T06:58:54.393Z</dcterms:created>
  <dcterms:modified xsi:type="dcterms:W3CDTF">2026-04-12T06:58:54.394Z</dcterms:modified>
</cp:coreProperties>
</file>

<file path=docProps/custom.xml><?xml version="1.0" encoding="utf-8"?>
<Properties xmlns="http://schemas.openxmlformats.org/officeDocument/2006/custom-properties" xmlns:vt="http://schemas.openxmlformats.org/officeDocument/2006/docPropsVTypes"/>
</file>