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595959"/>
          <w:spacing w:val="60"/>
          <w:sz w:val="20"/>
          <w:szCs w:val="20"/>
        </w:rPr>
        <w:t xml:space="preserve">SIGNAL FOR ALL — FAZA A II-A</w:t>
      </w:r>
    </w:p>
    <w:p>
      <w:pPr>
        <w:spacing w:after="360"/>
        <w:jc w:val="center"/>
      </w:pPr>
      <w:r>
        <w:rPr>
          <w:rFonts w:ascii="Arial" w:cs="Arial" w:eastAsia="Arial" w:hAnsi="Arial"/>
          <w:b/>
          <w:bCs/>
          <w:color w:val="1F4E79"/>
          <w:sz w:val="44"/>
          <w:szCs w:val="44"/>
        </w:rPr>
        <w:t xml:space="preserve">Foaie de parcurs 2027–2028</w:t>
      </w:r>
    </w:p>
    <w:p>
      <w:pPr>
        <w:spacing w:after="600"/>
        <w:jc w:val="center"/>
      </w:pPr>
      <w:r>
        <w:rPr>
          <w:rFonts w:ascii="Arial" w:cs="Arial" w:eastAsia="Arial" w:hAnsi="Arial"/>
          <w:color w:val="2E75B6"/>
          <w:sz w:val="30"/>
          <w:szCs w:val="30"/>
        </w:rPr>
        <w:t xml:space="preserve">Pilot instituțional și validare în sectorul public</w:t>
      </w:r>
    </w:p>
    <w:p>
      <w:pPr>
        <w:spacing w:after="200"/>
        <w:jc w:val="center"/>
      </w:pPr>
      <w:r>
        <w:rPr>
          <w:rFonts w:ascii="Arial" w:cs="Arial" w:eastAsia="Arial" w:hAnsi="Arial"/>
          <w:i/>
          <w:iCs/>
          <w:color w:val="595959"/>
          <w:sz w:val="24"/>
          <w:szCs w:val="24"/>
        </w:rPr>
        <w:t xml:space="preserve">Comunicații comunitare reziliente pentru coordonare operațională auxiliară</w:t>
      </w:r>
    </w:p>
    <w:p>
      <w:pPr>
        <w:spacing w:after="800"/>
        <w:jc w:val="center"/>
      </w:pPr>
      <w:r>
        <w:rPr>
          <w:rFonts w:ascii="Arial" w:cs="Arial" w:eastAsia="Arial" w:hAnsi="Arial"/>
          <w:color w:val="595959"/>
          <w:sz w:val="22"/>
          <w:szCs w:val="22"/>
        </w:rPr>
        <w:t xml:space="preserve">Continuare a Foii de parcurs 2026 — implementare instituțională a Signal For All</w:t>
      </w:r>
    </w:p>
    <w:p>
      <w:pPr>
        <w:spacing w:after="100"/>
        <w:jc w:val="center"/>
      </w:pPr>
      <w:r>
        <w:rPr>
          <w:rFonts w:ascii="Arial" w:cs="Arial" w:eastAsia="Arial" w:hAnsi="Arial"/>
          <w:color w:val="595959"/>
          <w:sz w:val="20"/>
          <w:szCs w:val="20"/>
        </w:rPr>
        <w:t xml:space="preserve">Document strategic — versiune integrată cu anexe</w:t>
      </w:r>
    </w:p>
    <w:p>
      <w:pPr>
        <w:jc w:val="center"/>
      </w:pPr>
      <w:r>
        <w:rPr>
          <w:rFonts w:ascii="Arial" w:cs="Arial" w:eastAsia="Arial" w:hAnsi="Arial"/>
          <w:color w:val="595959"/>
          <w:sz w:val="20"/>
          <w:szCs w:val="20"/>
        </w:rPr>
        <w:t xml:space="preserve">Aprilie 2026</w:t>
      </w:r>
    </w:p>
    <w:p>
      <w:r>
        <w:br w:type="page"/>
      </w:r>
    </w:p>
    <w:p>
      <w:pPr>
        <w:pStyle w:val="Heading1"/>
        <w:spacing w:after="200" w:before="360"/>
      </w:pPr>
      <w:r>
        <w:rPr>
          <w:rFonts w:ascii="Arial" w:cs="Arial" w:eastAsia="Arial" w:hAnsi="Arial"/>
          <w:b/>
          <w:bCs/>
          <w:color w:val="1F4E79"/>
          <w:sz w:val="32"/>
          <w:szCs w:val="32"/>
        </w:rPr>
        <w:t xml:space="preserve">Cuprins</w:t>
      </w:r>
    </w:p>
    <w:p>
      <w:pPr>
        <w:tabs>
          <w:tab w:val="right" w:pos="9360" w:leader="dot"/>
        </w:tabs>
        <w:spacing w:after="100"/>
      </w:pPr>
      <w:r>
        <w:rPr>
          <w:rFonts w:ascii="Arial" w:cs="Arial" w:eastAsia="Arial" w:hAnsi="Arial"/>
          <w:b/>
          <w:bCs/>
          <w:color w:val="1F4E79"/>
          <w:sz w:val="22"/>
          <w:szCs w:val="22"/>
        </w:rPr>
        <w:t xml:space="preserve">1.</w:t>
      </w:r>
      <w:r>
        <w:rPr>
          <w:rFonts w:ascii="Arial" w:cs="Arial" w:eastAsia="Arial" w:hAnsi="Arial"/>
          <w:sz w:val="22"/>
          <w:szCs w:val="22"/>
        </w:rPr>
        <w:t xml:space="preserve">  Rezumat executiv</w:t>
      </w:r>
      <w:r>
        <w:rPr>
          <w:rFonts w:ascii="Arial" w:cs="Arial" w:eastAsia="Arial" w:hAnsi="Arial"/>
          <w:color w:val="595959"/>
          <w:sz w:val="22"/>
          <w:szCs w:val="22"/>
        </w:rPr>
        <w:t xml:space="preserve">	4</w:t>
      </w:r>
    </w:p>
    <w:p>
      <w:pPr>
        <w:tabs>
          <w:tab w:val="right" w:pos="9360" w:leader="dot"/>
        </w:tabs>
        <w:spacing w:after="100"/>
      </w:pPr>
      <w:r>
        <w:rPr>
          <w:rFonts w:ascii="Arial" w:cs="Arial" w:eastAsia="Arial" w:hAnsi="Arial"/>
          <w:b/>
          <w:bCs/>
          <w:color w:val="1F4E79"/>
          <w:sz w:val="22"/>
          <w:szCs w:val="22"/>
        </w:rPr>
        <w:t xml:space="preserve">2.</w:t>
      </w:r>
      <w:r>
        <w:rPr>
          <w:rFonts w:ascii="Arial" w:cs="Arial" w:eastAsia="Arial" w:hAnsi="Arial"/>
          <w:sz w:val="22"/>
          <w:szCs w:val="22"/>
        </w:rPr>
        <w:t xml:space="preserve">  Status de intrare în Faza a II-a</w:t>
      </w:r>
      <w:r>
        <w:rPr>
          <w:rFonts w:ascii="Arial" w:cs="Arial" w:eastAsia="Arial" w:hAnsi="Arial"/>
          <w:color w:val="595959"/>
          <w:sz w:val="22"/>
          <w:szCs w:val="22"/>
        </w:rPr>
        <w:t xml:space="preserve">	5</w:t>
      </w:r>
    </w:p>
    <w:p>
      <w:pPr>
        <w:tabs>
          <w:tab w:val="right" w:pos="9360" w:leader="dot"/>
        </w:tabs>
        <w:spacing w:after="100"/>
      </w:pPr>
      <w:r>
        <w:rPr>
          <w:rFonts w:ascii="Arial" w:cs="Arial" w:eastAsia="Arial" w:hAnsi="Arial"/>
          <w:b/>
          <w:bCs/>
          <w:color w:val="1F4E79"/>
          <w:sz w:val="22"/>
          <w:szCs w:val="22"/>
        </w:rPr>
        <w:t xml:space="preserve">3.</w:t>
      </w:r>
      <w:r>
        <w:rPr>
          <w:rFonts w:ascii="Arial" w:cs="Arial" w:eastAsia="Arial" w:hAnsi="Arial"/>
          <w:sz w:val="22"/>
          <w:szCs w:val="22"/>
        </w:rPr>
        <w:t xml:space="preserve">  Poziționare strategică Faza a II-a</w:t>
      </w:r>
      <w:r>
        <w:rPr>
          <w:rFonts w:ascii="Arial" w:cs="Arial" w:eastAsia="Arial" w:hAnsi="Arial"/>
          <w:color w:val="595959"/>
          <w:sz w:val="22"/>
          <w:szCs w:val="22"/>
        </w:rPr>
        <w:t xml:space="preserve">	6</w:t>
      </w:r>
    </w:p>
    <w:p>
      <w:pPr>
        <w:tabs>
          <w:tab w:val="right" w:pos="9360" w:leader="dot"/>
        </w:tabs>
        <w:spacing w:after="100"/>
      </w:pPr>
      <w:r>
        <w:rPr>
          <w:rFonts w:ascii="Arial" w:cs="Arial" w:eastAsia="Arial" w:hAnsi="Arial"/>
          <w:b/>
          <w:bCs/>
          <w:color w:val="1F4E79"/>
          <w:sz w:val="22"/>
          <w:szCs w:val="22"/>
        </w:rPr>
        <w:t xml:space="preserve">4.</w:t>
      </w:r>
      <w:r>
        <w:rPr>
          <w:rFonts w:ascii="Arial" w:cs="Arial" w:eastAsia="Arial" w:hAnsi="Arial"/>
          <w:sz w:val="22"/>
          <w:szCs w:val="22"/>
        </w:rPr>
        <w:t xml:space="preserve">  Tier-izarea partenerilor instituționali</w:t>
      </w:r>
      <w:r>
        <w:rPr>
          <w:rFonts w:ascii="Arial" w:cs="Arial" w:eastAsia="Arial" w:hAnsi="Arial"/>
          <w:color w:val="595959"/>
          <w:sz w:val="22"/>
          <w:szCs w:val="22"/>
        </w:rPr>
        <w:t xml:space="preserve">	7</w:t>
      </w:r>
    </w:p>
    <w:p>
      <w:pPr>
        <w:tabs>
          <w:tab w:val="right" w:pos="9360" w:leader="dot"/>
        </w:tabs>
        <w:spacing w:after="100"/>
      </w:pPr>
      <w:r>
        <w:rPr>
          <w:rFonts w:ascii="Arial" w:cs="Arial" w:eastAsia="Arial" w:hAnsi="Arial"/>
          <w:b/>
          <w:bCs/>
          <w:color w:val="1F4E79"/>
          <w:sz w:val="22"/>
          <w:szCs w:val="22"/>
        </w:rPr>
        <w:t xml:space="preserve">5.</w:t>
      </w:r>
      <w:r>
        <w:rPr>
          <w:rFonts w:ascii="Arial" w:cs="Arial" w:eastAsia="Arial" w:hAnsi="Arial"/>
          <w:sz w:val="22"/>
          <w:szCs w:val="22"/>
        </w:rPr>
        <w:t xml:space="preserve">  Etapele Fazei a II-a — calendar 2027–2028</w:t>
      </w:r>
      <w:r>
        <w:rPr>
          <w:rFonts w:ascii="Arial" w:cs="Arial" w:eastAsia="Arial" w:hAnsi="Arial"/>
          <w:color w:val="595959"/>
          <w:sz w:val="22"/>
          <w:szCs w:val="22"/>
        </w:rPr>
        <w:t xml:space="preserve">	9</w:t>
      </w:r>
    </w:p>
    <w:p>
      <w:pPr>
        <w:tabs>
          <w:tab w:val="right" w:pos="9360" w:leader="dot"/>
        </w:tabs>
        <w:spacing w:after="100"/>
      </w:pPr>
      <w:r>
        <w:rPr>
          <w:rFonts w:ascii="Arial" w:cs="Arial" w:eastAsia="Arial" w:hAnsi="Arial"/>
          <w:b/>
          <w:bCs/>
          <w:color w:val="1F4E79"/>
          <w:sz w:val="22"/>
          <w:szCs w:val="22"/>
        </w:rPr>
        <w:t xml:space="preserve">6.</w:t>
      </w:r>
      <w:r>
        <w:rPr>
          <w:rFonts w:ascii="Arial" w:cs="Arial" w:eastAsia="Arial" w:hAnsi="Arial"/>
          <w:sz w:val="22"/>
          <w:szCs w:val="22"/>
        </w:rPr>
        <w:t xml:space="preserve">  Calendar sumar Faza a II-a</w:t>
      </w:r>
      <w:r>
        <w:rPr>
          <w:rFonts w:ascii="Arial" w:cs="Arial" w:eastAsia="Arial" w:hAnsi="Arial"/>
          <w:color w:val="595959"/>
          <w:sz w:val="22"/>
          <w:szCs w:val="22"/>
        </w:rPr>
        <w:t xml:space="preserve">	13</w:t>
      </w:r>
    </w:p>
    <w:p>
      <w:pPr>
        <w:tabs>
          <w:tab w:val="right" w:pos="9360" w:leader="dot"/>
        </w:tabs>
        <w:spacing w:after="100"/>
      </w:pPr>
      <w:r>
        <w:rPr>
          <w:rFonts w:ascii="Arial" w:cs="Arial" w:eastAsia="Arial" w:hAnsi="Arial"/>
          <w:b/>
          <w:bCs/>
          <w:color w:val="1F4E79"/>
          <w:sz w:val="22"/>
          <w:szCs w:val="22"/>
        </w:rPr>
        <w:t xml:space="preserve">7.</w:t>
      </w:r>
      <w:r>
        <w:rPr>
          <w:rFonts w:ascii="Arial" w:cs="Arial" w:eastAsia="Arial" w:hAnsi="Arial"/>
          <w:sz w:val="22"/>
          <w:szCs w:val="22"/>
        </w:rPr>
        <w:t xml:space="preserve">  Buget detaliat Faza a II-a</w:t>
      </w:r>
      <w:r>
        <w:rPr>
          <w:rFonts w:ascii="Arial" w:cs="Arial" w:eastAsia="Arial" w:hAnsi="Arial"/>
          <w:color w:val="595959"/>
          <w:sz w:val="22"/>
          <w:szCs w:val="22"/>
        </w:rPr>
        <w:t xml:space="preserve">	14</w:t>
      </w:r>
    </w:p>
    <w:p>
      <w:pPr>
        <w:tabs>
          <w:tab w:val="right" w:pos="9360" w:leader="dot"/>
        </w:tabs>
        <w:spacing w:after="100"/>
      </w:pPr>
      <w:r>
        <w:rPr>
          <w:rFonts w:ascii="Arial" w:cs="Arial" w:eastAsia="Arial" w:hAnsi="Arial"/>
          <w:b/>
          <w:bCs/>
          <w:color w:val="1F4E79"/>
          <w:sz w:val="22"/>
          <w:szCs w:val="22"/>
        </w:rPr>
        <w:t xml:space="preserve">8.</w:t>
      </w:r>
      <w:r>
        <w:rPr>
          <w:rFonts w:ascii="Arial" w:cs="Arial" w:eastAsia="Arial" w:hAnsi="Arial"/>
          <w:sz w:val="22"/>
          <w:szCs w:val="22"/>
        </w:rPr>
        <w:t xml:space="preserve">  Surse de finanțare potențiale</w:t>
      </w:r>
      <w:r>
        <w:rPr>
          <w:rFonts w:ascii="Arial" w:cs="Arial" w:eastAsia="Arial" w:hAnsi="Arial"/>
          <w:color w:val="595959"/>
          <w:sz w:val="22"/>
          <w:szCs w:val="22"/>
        </w:rPr>
        <w:t xml:space="preserve">	18</w:t>
      </w:r>
    </w:p>
    <w:p>
      <w:pPr>
        <w:tabs>
          <w:tab w:val="right" w:pos="9360" w:leader="dot"/>
        </w:tabs>
        <w:spacing w:after="100"/>
      </w:pPr>
      <w:r>
        <w:rPr>
          <w:rFonts w:ascii="Arial" w:cs="Arial" w:eastAsia="Arial" w:hAnsi="Arial"/>
          <w:b/>
          <w:bCs/>
          <w:color w:val="1F4E79"/>
          <w:sz w:val="22"/>
          <w:szCs w:val="22"/>
        </w:rPr>
        <w:t xml:space="preserve">9.</w:t>
      </w:r>
      <w:r>
        <w:rPr>
          <w:rFonts w:ascii="Arial" w:cs="Arial" w:eastAsia="Arial" w:hAnsi="Arial"/>
          <w:sz w:val="22"/>
          <w:szCs w:val="22"/>
        </w:rPr>
        <w:t xml:space="preserve">  Riscuri și strategii de mitigare</w:t>
      </w:r>
      <w:r>
        <w:rPr>
          <w:rFonts w:ascii="Arial" w:cs="Arial" w:eastAsia="Arial" w:hAnsi="Arial"/>
          <w:color w:val="595959"/>
          <w:sz w:val="22"/>
          <w:szCs w:val="22"/>
        </w:rPr>
        <w:t xml:space="preserve">	19</w:t>
      </w:r>
    </w:p>
    <w:p>
      <w:pPr>
        <w:tabs>
          <w:tab w:val="right" w:pos="9360" w:leader="dot"/>
        </w:tabs>
        <w:spacing w:after="100"/>
      </w:pPr>
      <w:r>
        <w:rPr>
          <w:rFonts w:ascii="Arial" w:cs="Arial" w:eastAsia="Arial" w:hAnsi="Arial"/>
          <w:b/>
          <w:bCs/>
          <w:color w:val="1F4E79"/>
          <w:sz w:val="22"/>
          <w:szCs w:val="22"/>
        </w:rPr>
        <w:t xml:space="preserve">9.5.</w:t>
      </w:r>
      <w:r>
        <w:rPr>
          <w:rFonts w:ascii="Arial" w:cs="Arial" w:eastAsia="Arial" w:hAnsi="Arial"/>
          <w:sz w:val="22"/>
          <w:szCs w:val="22"/>
        </w:rPr>
        <w:t xml:space="preserve">  Poziționare competitivă în ecosistem</w:t>
      </w:r>
      <w:r>
        <w:rPr>
          <w:rFonts w:ascii="Arial" w:cs="Arial" w:eastAsia="Arial" w:hAnsi="Arial"/>
          <w:color w:val="595959"/>
          <w:sz w:val="22"/>
          <w:szCs w:val="22"/>
        </w:rPr>
        <w:t xml:space="preserve">	20</w:t>
      </w:r>
    </w:p>
    <w:p>
      <w:pPr>
        <w:tabs>
          <w:tab w:val="right" w:pos="9360" w:leader="dot"/>
        </w:tabs>
        <w:spacing w:after="100"/>
      </w:pPr>
      <w:r>
        <w:rPr>
          <w:rFonts w:ascii="Arial" w:cs="Arial" w:eastAsia="Arial" w:hAnsi="Arial"/>
          <w:b/>
          <w:bCs/>
          <w:color w:val="1F4E79"/>
          <w:sz w:val="22"/>
          <w:szCs w:val="22"/>
        </w:rPr>
        <w:t xml:space="preserve">10.</w:t>
      </w:r>
      <w:r>
        <w:rPr>
          <w:rFonts w:ascii="Arial" w:cs="Arial" w:eastAsia="Arial" w:hAnsi="Arial"/>
          <w:sz w:val="22"/>
          <w:szCs w:val="22"/>
        </w:rPr>
        <w:t xml:space="preserve">  Indicatori de succes Faza a II-a</w:t>
      </w:r>
      <w:r>
        <w:rPr>
          <w:rFonts w:ascii="Arial" w:cs="Arial" w:eastAsia="Arial" w:hAnsi="Arial"/>
          <w:color w:val="595959"/>
          <w:sz w:val="22"/>
          <w:szCs w:val="22"/>
        </w:rPr>
        <w:t xml:space="preserve">	22</w:t>
      </w:r>
    </w:p>
    <w:p>
      <w:pPr>
        <w:tabs>
          <w:tab w:val="right" w:pos="9360" w:leader="dot"/>
        </w:tabs>
        <w:spacing w:after="100"/>
      </w:pPr>
      <w:r>
        <w:rPr>
          <w:rFonts w:ascii="Arial" w:cs="Arial" w:eastAsia="Arial" w:hAnsi="Arial"/>
          <w:b/>
          <w:bCs/>
          <w:color w:val="1F4E79"/>
          <w:sz w:val="22"/>
          <w:szCs w:val="22"/>
        </w:rPr>
        <w:t xml:space="preserve">11.</w:t>
      </w:r>
      <w:r>
        <w:rPr>
          <w:rFonts w:ascii="Arial" w:cs="Arial" w:eastAsia="Arial" w:hAnsi="Arial"/>
          <w:sz w:val="22"/>
          <w:szCs w:val="22"/>
        </w:rPr>
        <w:t xml:space="preserve">  Concluzii și pași imediați (Q4 2026)</w:t>
      </w:r>
      <w:r>
        <w:rPr>
          <w:rFonts w:ascii="Arial" w:cs="Arial" w:eastAsia="Arial" w:hAnsi="Arial"/>
          <w:color w:val="595959"/>
          <w:sz w:val="22"/>
          <w:szCs w:val="22"/>
        </w:rPr>
        <w:t xml:space="preserve">	23</w:t>
      </w:r>
    </w:p>
    <w:p>
      <w:pPr>
        <w:tabs>
          <w:tab w:val="right" w:pos="9360" w:leader="dot"/>
        </w:tabs>
        <w:spacing w:after="100"/>
      </w:pPr>
      <w:r>
        <w:rPr>
          <w:rFonts w:ascii="Arial" w:cs="Arial" w:eastAsia="Arial" w:hAnsi="Arial"/>
          <w:b/>
          <w:bCs/>
          <w:color w:val="1F4E79"/>
          <w:sz w:val="22"/>
          <w:szCs w:val="22"/>
        </w:rPr>
        <w:t xml:space="preserve">A1.</w:t>
      </w:r>
      <w:r>
        <w:rPr>
          <w:rFonts w:ascii="Arial" w:cs="Arial" w:eastAsia="Arial" w:hAnsi="Arial"/>
          <w:sz w:val="22"/>
          <w:szCs w:val="22"/>
        </w:rPr>
        <w:t xml:space="preserve">  Anexă — Note metodologice</w:t>
      </w:r>
      <w:r>
        <w:rPr>
          <w:rFonts w:ascii="Arial" w:cs="Arial" w:eastAsia="Arial" w:hAnsi="Arial"/>
          <w:color w:val="595959"/>
          <w:sz w:val="22"/>
          <w:szCs w:val="22"/>
        </w:rPr>
        <w:t xml:space="preserve">	24</w:t>
      </w:r>
    </w:p>
    <w:p>
      <w:pPr>
        <w:tabs>
          <w:tab w:val="right" w:pos="9360" w:leader="dot"/>
        </w:tabs>
        <w:spacing w:after="100"/>
      </w:pPr>
      <w:r>
        <w:rPr>
          <w:rFonts w:ascii="Arial" w:cs="Arial" w:eastAsia="Arial" w:hAnsi="Arial"/>
          <w:b/>
          <w:bCs/>
          <w:color w:val="1F4E79"/>
          <w:sz w:val="22"/>
          <w:szCs w:val="22"/>
        </w:rPr>
        <w:t xml:space="preserve">A2.</w:t>
      </w:r>
      <w:r>
        <w:rPr>
          <w:rFonts w:ascii="Arial" w:cs="Arial" w:eastAsia="Arial" w:hAnsi="Arial"/>
          <w:sz w:val="22"/>
          <w:szCs w:val="22"/>
        </w:rPr>
        <w:t xml:space="preserve">  Anexă — Modele de scrisoare către parteneri Tier 1</w:t>
      </w:r>
      <w:r>
        <w:rPr>
          <w:rFonts w:ascii="Arial" w:cs="Arial" w:eastAsia="Arial" w:hAnsi="Arial"/>
          <w:color w:val="595959"/>
          <w:sz w:val="22"/>
          <w:szCs w:val="22"/>
        </w:rPr>
        <w:t xml:space="preserve">	25</w:t>
      </w:r>
    </w:p>
    <w:p>
      <w:pPr>
        <w:tabs>
          <w:tab w:val="right" w:pos="9360" w:leader="dot"/>
        </w:tabs>
        <w:spacing w:after="100"/>
      </w:pPr>
      <w:r>
        <w:rPr>
          <w:rFonts w:ascii="Arial" w:cs="Arial" w:eastAsia="Arial" w:hAnsi="Arial"/>
          <w:b/>
          <w:bCs/>
          <w:color w:val="1F4E79"/>
          <w:sz w:val="22"/>
          <w:szCs w:val="22"/>
        </w:rPr>
        <w:t xml:space="preserve">A3.</w:t>
      </w:r>
      <w:r>
        <w:rPr>
          <w:rFonts w:ascii="Arial" w:cs="Arial" w:eastAsia="Arial" w:hAnsi="Arial"/>
          <w:sz w:val="22"/>
          <w:szCs w:val="22"/>
        </w:rPr>
        <w:t xml:space="preserve">  Anexă — Executive Summary (English, 2 pages)</w:t>
      </w:r>
      <w:r>
        <w:rPr>
          <w:rFonts w:ascii="Arial" w:cs="Arial" w:eastAsia="Arial" w:hAnsi="Arial"/>
          <w:color w:val="595959"/>
          <w:sz w:val="22"/>
          <w:szCs w:val="22"/>
        </w:rPr>
        <w:t xml:space="preserve">	29</w:t>
      </w:r>
    </w:p>
    <w:p>
      <w:r>
        <w:br w:type="page"/>
      </w:r>
    </w:p>
    <w:p>
      <w:pPr>
        <w:pStyle w:val="Heading1"/>
        <w:spacing w:after="200" w:before="360"/>
      </w:pPr>
      <w:r>
        <w:rPr>
          <w:rFonts w:ascii="Arial" w:cs="Arial" w:eastAsia="Arial" w:hAnsi="Arial"/>
          <w:b/>
          <w:bCs/>
          <w:color w:val="1F4E79"/>
          <w:sz w:val="32"/>
          <w:szCs w:val="32"/>
        </w:rPr>
        <w:t xml:space="preserve">1. Rezumat executiv</w:t>
      </w:r>
    </w:p>
    <w:p>
      <w:pPr>
        <w:spacing w:after="120" w:line="300"/>
        <w:jc w:val="both"/>
      </w:pPr>
      <w:r>
        <w:rPr>
          <w:rFonts w:ascii="Arial" w:cs="Arial" w:eastAsia="Arial" w:hAnsi="Arial"/>
          <w:sz w:val="22"/>
          <w:szCs w:val="22"/>
        </w:rPr>
        <w:t xml:space="preserve">Faza I a Signal For All (2026) construiește infrastructura tehnică și narativă: aplicație Android accessibility-native, integrare BLE cu radiouri Meshtastic, demo end-to-end real, și depunere către NGI / fonduri europene. Faza I se închide cu un produs funcțional și o poziționare clară: infrastructură comunitară descentralizată, NU sistem de urgență.</w:t>
      </w:r>
    </w:p>
    <w:p>
      <w:pPr>
        <w:spacing w:after="120" w:line="300"/>
        <w:jc w:val="both"/>
      </w:pPr>
      <w:r>
        <w:rPr>
          <w:rFonts w:ascii="Arial" w:cs="Arial" w:eastAsia="Arial" w:hAnsi="Arial"/>
          <w:sz w:val="22"/>
          <w:szCs w:val="22"/>
        </w:rPr>
        <w:t xml:space="preserve">Faza a II-a (2027–2028) traduce această fundație într-un pilot instituțional concret. Scopul nu este vânzarea către administrația publică, ci validarea în condiții reale a utilității Signal For All în contexte operaționale auxiliare, cu organizații care au autonomie decizională și nevoie reală de comunicații în zone fără infrastructură mobilă: Salvamont local, ONG-uri de intervenție, administrații de arii protejate, primării rurale, organizatori de evenimente outdoor.</w:t>
      </w:r>
    </w:p>
    <w:p>
      <w:pPr>
        <w:pBdr>
          <w:left w:val="single" w:color="2E75B6" w:sz="24" w:space="12"/>
        </w:pBdr>
        <w:spacing w:after="160" w:before="160" w:line="300"/>
        <w:ind w:left="240"/>
        <w:jc w:val="both"/>
      </w:pPr>
      <w:r>
        <w:rPr>
          <w:rFonts w:ascii="Arial" w:cs="Arial" w:eastAsia="Arial" w:hAnsi="Arial"/>
          <w:i/>
          <w:iCs/>
          <w:color w:val="595959"/>
          <w:sz w:val="22"/>
          <w:szCs w:val="22"/>
        </w:rPr>
        <w:t xml:space="preserve">Faza a II-a NU este pivotare către B2G. Este consolidarea unei narațiuni de impact care întărește atât misiunea de accesibilitate, cât și relevanța în reziliență civică — două manifestări ale aceluiași principiu de design.</w:t>
      </w:r>
    </w:p>
    <w:p>
      <w:pPr>
        <w:pStyle w:val="Heading2"/>
        <w:spacing w:after="160" w:before="280"/>
      </w:pPr>
      <w:r>
        <w:rPr>
          <w:rFonts w:ascii="Arial" w:cs="Arial" w:eastAsia="Arial" w:hAnsi="Arial"/>
          <w:b/>
          <w:bCs/>
          <w:color w:val="2E75B6"/>
          <w:sz w:val="26"/>
          <w:szCs w:val="26"/>
        </w:rPr>
        <w:t xml:space="preserve">Livrabile principale Faza a II-a</w:t>
      </w:r>
    </w:p>
    <w:p>
      <w:pPr>
        <w:pStyle w:val="ListParagraph"/>
        <w:numPr>
          <w:ilvl w:val="0"/>
          <w:numId w:val="2"/>
        </w:numPr>
        <w:spacing w:after="80" w:line="280"/>
        <w:jc w:val="both"/>
      </w:pPr>
      <w:r>
        <w:rPr>
          <w:rFonts w:ascii="Arial" w:cs="Arial" w:eastAsia="Arial" w:hAnsi="Arial"/>
          <w:b/>
          <w:bCs/>
          <w:sz w:val="22"/>
          <w:szCs w:val="22"/>
        </w:rPr>
        <w:t xml:space="preserve">Pilot operațional real: </w:t>
      </w:r>
      <w:r>
        <w:rPr>
          <w:rFonts w:ascii="Arial" w:cs="Arial" w:eastAsia="Arial" w:hAnsi="Arial"/>
          <w:sz w:val="22"/>
          <w:szCs w:val="22"/>
        </w:rPr>
        <w:t xml:space="preserve">minim 2 organizații-partener din Tier 1, durată 6–12 luni, evaluare publicată.</w:t>
      </w:r>
    </w:p>
    <w:p>
      <w:pPr>
        <w:pStyle w:val="ListParagraph"/>
        <w:numPr>
          <w:ilvl w:val="0"/>
          <w:numId w:val="2"/>
        </w:numPr>
        <w:spacing w:after="80" w:line="280"/>
        <w:jc w:val="both"/>
      </w:pPr>
      <w:r>
        <w:rPr>
          <w:rFonts w:ascii="Arial" w:cs="Arial" w:eastAsia="Arial" w:hAnsi="Arial"/>
          <w:b/>
          <w:bCs/>
          <w:sz w:val="22"/>
          <w:szCs w:val="22"/>
        </w:rPr>
        <w:t xml:space="preserve">Cadru de adopție instituțională: </w:t>
      </w:r>
      <w:r>
        <w:rPr>
          <w:rFonts w:ascii="Arial" w:cs="Arial" w:eastAsia="Arial" w:hAnsi="Arial"/>
          <w:sz w:val="22"/>
          <w:szCs w:val="22"/>
        </w:rPr>
        <w:t xml:space="preserve">ghid public juridic, tehnic și de achiziții pentru organizații civice și publice.</w:t>
      </w:r>
    </w:p>
    <w:p>
      <w:pPr>
        <w:pStyle w:val="ListParagraph"/>
        <w:numPr>
          <w:ilvl w:val="0"/>
          <w:numId w:val="2"/>
        </w:numPr>
        <w:spacing w:after="80" w:line="280"/>
        <w:jc w:val="both"/>
      </w:pPr>
      <w:r>
        <w:rPr>
          <w:rFonts w:ascii="Arial" w:cs="Arial" w:eastAsia="Arial" w:hAnsi="Arial"/>
          <w:b/>
          <w:bCs/>
          <w:sz w:val="22"/>
          <w:szCs w:val="22"/>
        </w:rPr>
        <w:t xml:space="preserve">Documentație de conformitate: </w:t>
      </w:r>
      <w:r>
        <w:rPr>
          <w:rFonts w:ascii="Arial" w:cs="Arial" w:eastAsia="Arial" w:hAnsi="Arial"/>
          <w:sz w:val="22"/>
          <w:szCs w:val="22"/>
        </w:rPr>
        <w:t xml:space="preserve">analiză spectru ANCOM, GDPR, securitate informație, achiziții publice.</w:t>
      </w:r>
    </w:p>
    <w:p>
      <w:pPr>
        <w:pStyle w:val="ListParagraph"/>
        <w:numPr>
          <w:ilvl w:val="0"/>
          <w:numId w:val="2"/>
        </w:numPr>
        <w:spacing w:after="80" w:line="280"/>
        <w:jc w:val="both"/>
      </w:pPr>
      <w:r>
        <w:rPr>
          <w:rFonts w:ascii="Arial" w:cs="Arial" w:eastAsia="Arial" w:hAnsi="Arial"/>
          <w:b/>
          <w:bCs/>
          <w:sz w:val="22"/>
          <w:szCs w:val="22"/>
        </w:rPr>
        <w:t xml:space="preserve">Materiale de instruire: </w:t>
      </w:r>
      <w:r>
        <w:rPr>
          <w:rFonts w:ascii="Arial" w:cs="Arial" w:eastAsia="Arial" w:hAnsi="Arial"/>
          <w:sz w:val="22"/>
          <w:szCs w:val="22"/>
        </w:rPr>
        <w:t xml:space="preserve">kit de onboarding pentru voluntari și operatori de teren.</w:t>
      </w:r>
    </w:p>
    <w:p>
      <w:pPr>
        <w:pStyle w:val="ListParagraph"/>
        <w:numPr>
          <w:ilvl w:val="0"/>
          <w:numId w:val="2"/>
        </w:numPr>
        <w:spacing w:after="80" w:line="280"/>
        <w:jc w:val="both"/>
      </w:pPr>
      <w:r>
        <w:rPr>
          <w:rFonts w:ascii="Arial" w:cs="Arial" w:eastAsia="Arial" w:hAnsi="Arial"/>
          <w:b/>
          <w:bCs/>
          <w:sz w:val="22"/>
          <w:szCs w:val="22"/>
        </w:rPr>
        <w:t xml:space="preserve">Co-publicație de cercetare aplicată: </w:t>
      </w:r>
      <w:r>
        <w:rPr>
          <w:rFonts w:ascii="Arial" w:cs="Arial" w:eastAsia="Arial" w:hAnsi="Arial"/>
          <w:sz w:val="22"/>
          <w:szCs w:val="22"/>
        </w:rPr>
        <w:t xml:space="preserve">studiu de caz despre densitate de deployment, eficiență spectrală și ergonomie hands-free.</w:t>
      </w:r>
    </w:p>
    <w:p>
      <w:r>
        <w:br w:type="page"/>
      </w:r>
    </w:p>
    <w:p>
      <w:pPr>
        <w:pStyle w:val="Heading1"/>
        <w:spacing w:after="200" w:before="360"/>
      </w:pPr>
      <w:r>
        <w:rPr>
          <w:rFonts w:ascii="Arial" w:cs="Arial" w:eastAsia="Arial" w:hAnsi="Arial"/>
          <w:b/>
          <w:bCs/>
          <w:color w:val="1F4E79"/>
          <w:sz w:val="32"/>
          <w:szCs w:val="32"/>
        </w:rPr>
        <w:t xml:space="preserve">2. Status de intrare în Faza a II-a</w:t>
      </w:r>
    </w:p>
    <w:p>
      <w:pPr>
        <w:spacing w:after="120" w:line="300"/>
        <w:jc w:val="both"/>
      </w:pPr>
      <w:r>
        <w:rPr>
          <w:rFonts w:ascii="Arial" w:cs="Arial" w:eastAsia="Arial" w:hAnsi="Arial"/>
          <w:sz w:val="22"/>
          <w:szCs w:val="22"/>
        </w:rPr>
        <w:t xml:space="preserve">La momentul deschiderii Fazei a II-a se presupune că Faza I a fost finalizată cu succes:</w:t>
      </w:r>
    </w:p>
    <w:p>
      <w:pPr>
        <w:pStyle w:val="ListParagraph"/>
        <w:numPr>
          <w:ilvl w:val="0"/>
          <w:numId w:val="2"/>
        </w:numPr>
        <w:spacing w:after="80" w:line="280"/>
        <w:jc w:val="both"/>
      </w:pPr>
      <w:r>
        <w:rPr>
          <w:rFonts w:ascii="Arial" w:cs="Arial" w:eastAsia="Arial" w:hAnsi="Arial"/>
          <w:sz w:val="22"/>
          <w:szCs w:val="22"/>
        </w:rPr>
        <w:t xml:space="preserve">Aplicația Android Signal For All este funcțională, testată end-to-end cu hardware Meshtastic real.</w:t>
      </w:r>
    </w:p>
    <w:p>
      <w:pPr>
        <w:pStyle w:val="ListParagraph"/>
        <w:numPr>
          <w:ilvl w:val="0"/>
          <w:numId w:val="2"/>
        </w:numPr>
        <w:spacing w:after="80" w:line="280"/>
        <w:jc w:val="both"/>
      </w:pPr>
      <w:r>
        <w:rPr>
          <w:rFonts w:ascii="Arial" w:cs="Arial" w:eastAsia="Arial" w:hAnsi="Arial"/>
          <w:sz w:val="22"/>
          <w:szCs w:val="22"/>
        </w:rPr>
        <w:t xml:space="preserve">Componentele STT/TTS sunt operaționale, preferabil cu opțiune on-device pentru conformitate GDPR.</w:t>
      </w:r>
    </w:p>
    <w:p>
      <w:pPr>
        <w:pStyle w:val="ListParagraph"/>
        <w:numPr>
          <w:ilvl w:val="0"/>
          <w:numId w:val="2"/>
        </w:numPr>
        <w:spacing w:after="80" w:line="280"/>
        <w:jc w:val="both"/>
      </w:pPr>
      <w:r>
        <w:rPr>
          <w:rFonts w:ascii="Arial" w:cs="Arial" w:eastAsia="Arial" w:hAnsi="Arial"/>
          <w:sz w:val="22"/>
          <w:szCs w:val="22"/>
        </w:rPr>
        <w:t xml:space="preserve">Documentația tehnică, de arhitectură și de regulamente este publicată pe GitHub.</w:t>
      </w:r>
    </w:p>
    <w:p>
      <w:pPr>
        <w:pStyle w:val="ListParagraph"/>
        <w:numPr>
          <w:ilvl w:val="0"/>
          <w:numId w:val="2"/>
        </w:numPr>
        <w:spacing w:after="80" w:line="280"/>
        <w:jc w:val="both"/>
      </w:pPr>
      <w:r>
        <w:rPr>
          <w:rFonts w:ascii="Arial" w:cs="Arial" w:eastAsia="Arial" w:hAnsi="Arial"/>
          <w:sz w:val="22"/>
          <w:szCs w:val="22"/>
        </w:rPr>
        <w:t xml:space="preserve">Există finanțare obținută (NGI, NLnet, sau echivalent) sau în desfășurare.</w:t>
      </w:r>
    </w:p>
    <w:p>
      <w:pPr>
        <w:pStyle w:val="ListParagraph"/>
        <w:numPr>
          <w:ilvl w:val="0"/>
          <w:numId w:val="2"/>
        </w:numPr>
        <w:spacing w:after="80" w:line="280"/>
        <w:jc w:val="both"/>
      </w:pPr>
      <w:r>
        <w:rPr>
          <w:rFonts w:ascii="Arial" w:cs="Arial" w:eastAsia="Arial" w:hAnsi="Arial"/>
          <w:sz w:val="22"/>
          <w:szCs w:val="22"/>
        </w:rPr>
        <w:t xml:space="preserve">Asociația are capacitate juridică și operațională să gestioneze parteneriate cu entități publice și private.</w:t>
      </w:r>
    </w:p>
    <w:p>
      <w:pPr>
        <w:pBdr>
          <w:left w:val="single" w:color="BF8F00" w:sz="24" w:space="12"/>
        </w:pBdr>
        <w:spacing w:after="160" w:before="160" w:line="300"/>
        <w:ind w:left="240"/>
        <w:jc w:val="both"/>
      </w:pPr>
      <w:r>
        <w:rPr>
          <w:rFonts w:ascii="Arial" w:cs="Arial" w:eastAsia="Arial" w:hAnsi="Arial"/>
          <w:i/>
          <w:iCs/>
          <w:color w:val="595959"/>
          <w:sz w:val="22"/>
          <w:szCs w:val="22"/>
        </w:rPr>
        <w:t xml:space="preserve">Dacă oricare dintre aceste precondiții lipsește la finalul Fazei I, Faza a II-a se decalează cu o etapă de consolidare. Pilotul instituțional fără fundație tehnică solidă este o sursă de risc reputațional.</w:t>
      </w:r>
    </w:p>
    <w:p>
      <w:pPr>
        <w:pStyle w:val="Heading1"/>
        <w:spacing w:after="200" w:before="360"/>
      </w:pPr>
      <w:r>
        <w:rPr>
          <w:rFonts w:ascii="Arial" w:cs="Arial" w:eastAsia="Arial" w:hAnsi="Arial"/>
          <w:b/>
          <w:bCs/>
          <w:color w:val="1F4E79"/>
          <w:sz w:val="32"/>
          <w:szCs w:val="32"/>
        </w:rPr>
        <w:t xml:space="preserve">3. Poziționare strategică Faza a II-a</w:t>
      </w:r>
    </w:p>
    <w:p>
      <w:pPr>
        <w:pStyle w:val="Heading2"/>
        <w:spacing w:after="160" w:before="280"/>
      </w:pPr>
      <w:r>
        <w:rPr>
          <w:rFonts w:ascii="Arial" w:cs="Arial" w:eastAsia="Arial" w:hAnsi="Arial"/>
          <w:b/>
          <w:bCs/>
          <w:color w:val="2E75B6"/>
          <w:sz w:val="26"/>
          <w:szCs w:val="26"/>
        </w:rPr>
        <w:t xml:space="preserve">Ce este Faza a II-a</w:t>
      </w:r>
    </w:p>
    <w:p>
      <w:pPr>
        <w:pStyle w:val="ListParagraph"/>
        <w:numPr>
          <w:ilvl w:val="0"/>
          <w:numId w:val="2"/>
        </w:numPr>
        <w:spacing w:after="80" w:line="280"/>
        <w:jc w:val="both"/>
      </w:pPr>
      <w:r>
        <w:rPr>
          <w:rFonts w:ascii="Arial" w:cs="Arial" w:eastAsia="Arial" w:hAnsi="Arial"/>
          <w:b/>
          <w:bCs/>
          <w:sz w:val="22"/>
          <w:szCs w:val="22"/>
        </w:rPr>
        <w:t xml:space="preserve">Validare în teren: </w:t>
      </w:r>
      <w:r>
        <w:rPr>
          <w:rFonts w:ascii="Arial" w:cs="Arial" w:eastAsia="Arial" w:hAnsi="Arial"/>
          <w:sz w:val="22"/>
          <w:szCs w:val="22"/>
        </w:rPr>
        <w:t xml:space="preserve">trecerea de la demo controlat la utilizare reală cu organizații-partener.</w:t>
      </w:r>
    </w:p>
    <w:p>
      <w:pPr>
        <w:pStyle w:val="ListParagraph"/>
        <w:numPr>
          <w:ilvl w:val="0"/>
          <w:numId w:val="2"/>
        </w:numPr>
        <w:spacing w:after="80" w:line="280"/>
        <w:jc w:val="both"/>
      </w:pPr>
      <w:r>
        <w:rPr>
          <w:rFonts w:ascii="Arial" w:cs="Arial" w:eastAsia="Arial" w:hAnsi="Arial"/>
          <w:b/>
          <w:bCs/>
          <w:sz w:val="22"/>
          <w:szCs w:val="22"/>
        </w:rPr>
        <w:t xml:space="preserve">Construcție de cadru replicabil: </w:t>
      </w:r>
      <w:r>
        <w:rPr>
          <w:rFonts w:ascii="Arial" w:cs="Arial" w:eastAsia="Arial" w:hAnsi="Arial"/>
          <w:sz w:val="22"/>
          <w:szCs w:val="22"/>
        </w:rPr>
        <w:t xml:space="preserve">produsul nu este doar software, ci și un set de practici și documente reutilizabile.</w:t>
      </w:r>
    </w:p>
    <w:p>
      <w:pPr>
        <w:pStyle w:val="ListParagraph"/>
        <w:numPr>
          <w:ilvl w:val="0"/>
          <w:numId w:val="2"/>
        </w:numPr>
        <w:spacing w:after="80" w:line="280"/>
        <w:jc w:val="both"/>
      </w:pPr>
      <w:r>
        <w:rPr>
          <w:rFonts w:ascii="Arial" w:cs="Arial" w:eastAsia="Arial" w:hAnsi="Arial"/>
          <w:b/>
          <w:bCs/>
          <w:sz w:val="22"/>
          <w:szCs w:val="22"/>
        </w:rPr>
        <w:t xml:space="preserve">Multiplicator de impact: </w:t>
      </w:r>
      <w:r>
        <w:rPr>
          <w:rFonts w:ascii="Arial" w:cs="Arial" w:eastAsia="Arial" w:hAnsi="Arial"/>
          <w:sz w:val="22"/>
          <w:szCs w:val="22"/>
        </w:rPr>
        <w:t xml:space="preserve">fiecare pilot devine studiu de caz și deschide ușa pentru următorul adopter.</w:t>
      </w:r>
    </w:p>
    <w:p>
      <w:pPr>
        <w:pStyle w:val="Heading2"/>
        <w:spacing w:after="160" w:before="280"/>
      </w:pPr>
      <w:r>
        <w:rPr>
          <w:rFonts w:ascii="Arial" w:cs="Arial" w:eastAsia="Arial" w:hAnsi="Arial"/>
          <w:b/>
          <w:bCs/>
          <w:color w:val="2E75B6"/>
          <w:sz w:val="26"/>
          <w:szCs w:val="26"/>
        </w:rPr>
        <w:t xml:space="preserve">Ce NU este Faza a II-a</w:t>
      </w:r>
    </w:p>
    <w:p>
      <w:pPr>
        <w:pStyle w:val="ListParagraph"/>
        <w:numPr>
          <w:ilvl w:val="0"/>
          <w:numId w:val="2"/>
        </w:numPr>
        <w:spacing w:after="80" w:line="280"/>
        <w:jc w:val="both"/>
      </w:pPr>
      <w:r>
        <w:rPr>
          <w:rFonts w:ascii="Arial" w:cs="Arial" w:eastAsia="Arial" w:hAnsi="Arial"/>
          <w:sz w:val="22"/>
          <w:szCs w:val="22"/>
        </w:rPr>
        <w:t xml:space="preserve">NU este o vânzare către instituții publice prin proceduri de achiziție clasice.</w:t>
      </w:r>
    </w:p>
    <w:p>
      <w:pPr>
        <w:pStyle w:val="ListParagraph"/>
        <w:numPr>
          <w:ilvl w:val="0"/>
          <w:numId w:val="2"/>
        </w:numPr>
        <w:spacing w:after="80" w:line="280"/>
        <w:jc w:val="both"/>
      </w:pPr>
      <w:r>
        <w:rPr>
          <w:rFonts w:ascii="Arial" w:cs="Arial" w:eastAsia="Arial" w:hAnsi="Arial"/>
          <w:sz w:val="22"/>
          <w:szCs w:val="22"/>
        </w:rPr>
        <w:t xml:space="preserve">NU este o pivotare comercială — Signal For All rămâne open-source și community-driven.</w:t>
      </w:r>
    </w:p>
    <w:p>
      <w:pPr>
        <w:pStyle w:val="ListParagraph"/>
        <w:numPr>
          <w:ilvl w:val="0"/>
          <w:numId w:val="2"/>
        </w:numPr>
        <w:spacing w:after="80" w:line="280"/>
        <w:jc w:val="both"/>
      </w:pPr>
      <w:r>
        <w:rPr>
          <w:rFonts w:ascii="Arial" w:cs="Arial" w:eastAsia="Arial" w:hAnsi="Arial"/>
          <w:sz w:val="22"/>
          <w:szCs w:val="22"/>
        </w:rPr>
        <w:t xml:space="preserve">NU este integrare cu sisteme oficiale de urgență (TETRA, STS, 112).</w:t>
      </w:r>
    </w:p>
    <w:p>
      <w:pPr>
        <w:pStyle w:val="ListParagraph"/>
        <w:numPr>
          <w:ilvl w:val="0"/>
          <w:numId w:val="2"/>
        </w:numPr>
        <w:spacing w:after="80" w:line="280"/>
        <w:jc w:val="both"/>
      </w:pPr>
      <w:r>
        <w:rPr>
          <w:rFonts w:ascii="Arial" w:cs="Arial" w:eastAsia="Arial" w:hAnsi="Arial"/>
          <w:sz w:val="22"/>
          <w:szCs w:val="22"/>
        </w:rPr>
        <w:t xml:space="preserve">NU este înlocuitor pentru radio-uri profesionale licențiate.</w:t>
      </w:r>
    </w:p>
    <w:p>
      <w:pPr>
        <w:pStyle w:val="Heading2"/>
        <w:spacing w:after="160" w:before="280"/>
      </w:pPr>
      <w:r>
        <w:rPr>
          <w:rFonts w:ascii="Arial" w:cs="Arial" w:eastAsia="Arial" w:hAnsi="Arial"/>
          <w:b/>
          <w:bCs/>
          <w:color w:val="2E75B6"/>
          <w:sz w:val="26"/>
          <w:szCs w:val="26"/>
        </w:rPr>
        <w:t xml:space="preserve">Modelul de implicare instituțională</w:t>
      </w:r>
    </w:p>
    <w:p>
      <w:pPr>
        <w:spacing w:after="120" w:line="300"/>
        <w:jc w:val="both"/>
      </w:pPr>
      <w:r>
        <w:rPr>
          <w:rFonts w:ascii="Arial" w:cs="Arial" w:eastAsia="Arial" w:hAnsi="Arial"/>
          <w:sz w:val="22"/>
          <w:szCs w:val="22"/>
        </w:rPr>
        <w:t xml:space="preserve">Distincția critică pe care Faza a II-a o operaționalizează: instituțiile MAI (ISU, Jandarmerie, Poliție Locală) NU adoptă direct Signal For All. Ce se întâmplă în practică este că organizațiile cu care aceste instituții colaborează operațional — voluntari Salvamont, asociații SAR, voluntari ai protecției civile — folosesc sistemul, iar instituția observă, tolerează, eventual integrează informal informația în propriile fluxuri.</w:t>
      </w:r>
    </w:p>
    <w:p>
      <w:pPr>
        <w:pBdr>
          <w:left w:val="single" w:color="BF8F00" w:sz="24" w:space="12"/>
        </w:pBdr>
        <w:spacing w:after="160" w:before="160" w:line="300"/>
        <w:ind w:left="240"/>
        <w:jc w:val="both"/>
      </w:pPr>
      <w:r>
        <w:rPr>
          <w:rFonts w:ascii="Arial" w:cs="Arial" w:eastAsia="Arial" w:hAnsi="Arial"/>
          <w:i/>
          <w:iCs/>
          <w:color w:val="595959"/>
          <w:sz w:val="22"/>
          <w:szCs w:val="22"/>
        </w:rPr>
        <w:t xml:space="preserve">Această nuanță juridică este esențială. Un comandant ISU județean nu poate, statutar, să adopte ad-hoc un sistem de comunicații paralel. Dar poate accepta că voluntarii cu care lucrează folosesc Signal For All ca instrument propriu de coordonare internă.</w:t>
      </w:r>
    </w:p>
    <w:p>
      <w:r>
        <w:br w:type="page"/>
      </w:r>
    </w:p>
    <w:p>
      <w:pPr>
        <w:pStyle w:val="Heading1"/>
        <w:spacing w:after="200" w:before="360"/>
      </w:pPr>
      <w:r>
        <w:rPr>
          <w:rFonts w:ascii="Arial" w:cs="Arial" w:eastAsia="Arial" w:hAnsi="Arial"/>
          <w:b/>
          <w:bCs/>
          <w:color w:val="1F4E79"/>
          <w:sz w:val="32"/>
          <w:szCs w:val="32"/>
        </w:rPr>
        <w:t xml:space="preserve">4. Tier-izarea partenerilor instituționali</w:t>
      </w:r>
    </w:p>
    <w:p>
      <w:pPr>
        <w:spacing w:after="120" w:line="300"/>
        <w:jc w:val="both"/>
      </w:pPr>
      <w:r>
        <w:rPr>
          <w:rFonts w:ascii="Arial" w:cs="Arial" w:eastAsia="Arial" w:hAnsi="Arial"/>
          <w:sz w:val="22"/>
          <w:szCs w:val="22"/>
        </w:rPr>
        <w:t xml:space="preserve">Faza a II-a operează exclusiv în Tier 1, cu observare și raportare informală în Tier 2. Tier 3 nu este țintă pentru această fază.</w:t>
      </w:r>
    </w:p>
    <w:p>
      <w:pPr>
        <w:pStyle w:val="Heading2"/>
        <w:spacing w:after="160" w:before="280"/>
      </w:pPr>
      <w:r>
        <w:rPr>
          <w:rFonts w:ascii="Arial" w:cs="Arial" w:eastAsia="Arial" w:hAnsi="Arial"/>
          <w:b/>
          <w:bCs/>
          <w:color w:val="2E75B6"/>
          <w:sz w:val="26"/>
          <w:szCs w:val="26"/>
        </w:rPr>
        <w:t xml:space="preserve">Tabel sumar tier-uri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680"/>
        <w:gridCol w:w="1680"/>
      </w:tblGrid>
      <w:tr>
        <w:trPr>
          <w:tblHeader/>
        </w:trPr>
        <w:tc>
          <w:tcPr>
            <w:tcW w:type="dxa" w:w="18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Tier</w:t>
            </w:r>
          </w:p>
        </w:tc>
        <w:tc>
          <w:tcPr>
            <w:tcW w:type="dxa" w:w="42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Tip de organizație</w:t>
            </w:r>
          </w:p>
        </w:tc>
        <w:tc>
          <w:tcPr>
            <w:tcW w:type="dxa" w:w="1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Rol Faza II</w:t>
            </w:r>
          </w:p>
        </w:tc>
        <w:tc>
          <w:tcPr>
            <w:tcW w:type="dxa" w:w="1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Risc</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548235"/>
                <w:sz w:val="20"/>
                <w:szCs w:val="20"/>
              </w:rPr>
              <w:t xml:space="preserve">Tier 1</w:t>
            </w:r>
          </w:p>
        </w:tc>
        <w:tc>
          <w:tcPr>
            <w:tcW w:type="dxa" w:w="4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Salvamont local, ONG-uri SAR, primării rurale, ONG-uri accesibilitate, administrații arii protejate, organizatori evenimente outdoor</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Pilot activ</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548235"/>
                <w:sz w:val="20"/>
                <w:szCs w:val="20"/>
              </w:rPr>
              <w:t xml:space="preserve">Scăzut</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BF8F00"/>
                <w:sz w:val="20"/>
                <w:szCs w:val="20"/>
              </w:rPr>
              <w:t xml:space="preserve">Tier 2</w:t>
            </w:r>
          </w:p>
        </w:tc>
        <w:tc>
          <w:tcPr>
            <w:tcW w:type="dxa" w:w="4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ISU județean, Jandarmerie montană, Protecție Civilă locală, Poliție Locală — prin voluntarii și partenerii lor</w:t>
            </w:r>
          </w:p>
        </w:tc>
        <w:tc>
          <w:tcPr>
            <w:tcW w:type="dxa" w:w="1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Observator / tolerare</w:t>
            </w:r>
          </w:p>
        </w:tc>
        <w:tc>
          <w:tcPr>
            <w:tcW w:type="dxa" w:w="1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BF8F00"/>
                <w:sz w:val="20"/>
                <w:szCs w:val="20"/>
              </w:rPr>
              <w:t xml:space="preserve">Mediu</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C00000"/>
                <w:sz w:val="20"/>
                <w:szCs w:val="20"/>
              </w:rPr>
              <w:t xml:space="preserve">Tier 3</w:t>
            </w:r>
          </w:p>
        </w:tc>
        <w:tc>
          <w:tcPr>
            <w:tcW w:type="dxa" w:w="4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STS, MAI central, structuri naționale critice, sisteme oficiale de urgență</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Non-țintă</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C00000"/>
                <w:sz w:val="20"/>
                <w:szCs w:val="20"/>
              </w:rPr>
              <w:t xml:space="preserve">Inaplicabil</w:t>
            </w:r>
          </w:p>
        </w:tc>
      </w:tr>
    </w:tbl>
    <w:p>
      <w:pPr>
        <w:pStyle w:val="Heading2"/>
        <w:spacing w:after="160" w:before="280"/>
      </w:pPr>
      <w:r>
        <w:rPr>
          <w:rFonts w:ascii="Arial" w:cs="Arial" w:eastAsia="Arial" w:hAnsi="Arial"/>
          <w:b/>
          <w:bCs/>
          <w:color w:val="2E75B6"/>
          <w:sz w:val="26"/>
          <w:szCs w:val="26"/>
        </w:rPr>
        <w:t xml:space="preserve">Tier 1 — parteneri activi de pilot</w:t>
      </w:r>
    </w:p>
    <w:p>
      <w:pPr>
        <w:spacing w:after="120" w:line="300"/>
        <w:jc w:val="both"/>
      </w:pPr>
      <w:r>
        <w:rPr>
          <w:rFonts w:ascii="Arial" w:cs="Arial" w:eastAsia="Arial" w:hAnsi="Arial"/>
          <w:sz w:val="22"/>
          <w:szCs w:val="22"/>
        </w:rPr>
        <w:t xml:space="preserve">Aceștia sunt partenerii cu care asociația ta semnează acorduri de pilot și cu care construiești studiile de caz.</w:t>
      </w:r>
    </w:p>
    <w:p>
      <w:pPr>
        <w:pStyle w:val="Heading3"/>
        <w:spacing w:after="120" w:before="200"/>
      </w:pPr>
      <w:r>
        <w:rPr>
          <w:rFonts w:ascii="Arial" w:cs="Arial" w:eastAsia="Arial" w:hAnsi="Arial"/>
          <w:b/>
          <w:bCs/>
          <w:color w:val="1F4E79"/>
          <w:sz w:val="23"/>
          <w:szCs w:val="23"/>
        </w:rPr>
        <w:t xml:space="preserve">Profil ideal partener Tier 1</w:t>
      </w:r>
    </w:p>
    <w:p>
      <w:pPr>
        <w:pStyle w:val="ListParagraph"/>
        <w:numPr>
          <w:ilvl w:val="0"/>
          <w:numId w:val="2"/>
        </w:numPr>
        <w:spacing w:after="80" w:line="280"/>
        <w:jc w:val="both"/>
      </w:pPr>
      <w:r>
        <w:rPr>
          <w:rFonts w:ascii="Arial" w:cs="Arial" w:eastAsia="Arial" w:hAnsi="Arial"/>
          <w:sz w:val="22"/>
          <w:szCs w:val="22"/>
        </w:rPr>
        <w:t xml:space="preserve">Activitate operațională regulată în zone cu acoperire mobilă inconsistentă.</w:t>
      </w:r>
    </w:p>
    <w:p>
      <w:pPr>
        <w:pStyle w:val="ListParagraph"/>
        <w:numPr>
          <w:ilvl w:val="0"/>
          <w:numId w:val="2"/>
        </w:numPr>
        <w:spacing w:after="80" w:line="280"/>
        <w:jc w:val="both"/>
      </w:pPr>
      <w:r>
        <w:rPr>
          <w:rFonts w:ascii="Arial" w:cs="Arial" w:eastAsia="Arial" w:hAnsi="Arial"/>
          <w:sz w:val="22"/>
          <w:szCs w:val="22"/>
        </w:rPr>
        <w:t xml:space="preserve">Echipă de minim 5–10 operatori activi, dispuși să folosească tehnologia.</w:t>
      </w:r>
    </w:p>
    <w:p>
      <w:pPr>
        <w:pStyle w:val="ListParagraph"/>
        <w:numPr>
          <w:ilvl w:val="0"/>
          <w:numId w:val="2"/>
        </w:numPr>
        <w:spacing w:after="80" w:line="280"/>
        <w:jc w:val="both"/>
      </w:pPr>
      <w:r>
        <w:rPr>
          <w:rFonts w:ascii="Arial" w:cs="Arial" w:eastAsia="Arial" w:hAnsi="Arial"/>
          <w:sz w:val="22"/>
          <w:szCs w:val="22"/>
        </w:rPr>
        <w:t xml:space="preserve">Persoană de contact cu autoritate decizională în interiorul organizației.</w:t>
      </w:r>
    </w:p>
    <w:p>
      <w:pPr>
        <w:pStyle w:val="ListParagraph"/>
        <w:numPr>
          <w:ilvl w:val="0"/>
          <w:numId w:val="2"/>
        </w:numPr>
        <w:spacing w:after="80" w:line="280"/>
        <w:jc w:val="both"/>
      </w:pPr>
      <w:r>
        <w:rPr>
          <w:rFonts w:ascii="Arial" w:cs="Arial" w:eastAsia="Arial" w:hAnsi="Arial"/>
          <w:sz w:val="22"/>
          <w:szCs w:val="22"/>
        </w:rPr>
        <w:t xml:space="preserve">Cultură organizațională deschisă către testare și feedback.</w:t>
      </w:r>
    </w:p>
    <w:p>
      <w:pPr>
        <w:pStyle w:val="ListParagraph"/>
        <w:numPr>
          <w:ilvl w:val="0"/>
          <w:numId w:val="2"/>
        </w:numPr>
        <w:spacing w:after="80" w:line="280"/>
        <w:jc w:val="both"/>
      </w:pPr>
      <w:r>
        <w:rPr>
          <w:rFonts w:ascii="Arial" w:cs="Arial" w:eastAsia="Arial" w:hAnsi="Arial"/>
          <w:sz w:val="22"/>
          <w:szCs w:val="22"/>
        </w:rPr>
        <w:t xml:space="preserve">Disponibilitate să participe la documentarea publică a experienței.</w:t>
      </w:r>
    </w:p>
    <w:p>
      <w:pPr>
        <w:pStyle w:val="Heading3"/>
        <w:spacing w:after="120" w:before="200"/>
      </w:pPr>
      <w:r>
        <w:rPr>
          <w:rFonts w:ascii="Arial" w:cs="Arial" w:eastAsia="Arial" w:hAnsi="Arial"/>
          <w:b/>
          <w:bCs/>
          <w:color w:val="1F4E79"/>
          <w:sz w:val="23"/>
          <w:szCs w:val="23"/>
        </w:rPr>
        <w:t xml:space="preserve">Categorii prioritare pentru pilot 2027</w:t>
      </w:r>
    </w:p>
    <w:p>
      <w:pPr>
        <w:pStyle w:val="ListParagraph"/>
        <w:numPr>
          <w:ilvl w:val="0"/>
          <w:numId w:val="2"/>
        </w:numPr>
        <w:spacing w:after="80" w:line="280"/>
        <w:jc w:val="both"/>
      </w:pPr>
      <w:r>
        <w:rPr>
          <w:rFonts w:ascii="Arial" w:cs="Arial" w:eastAsia="Arial" w:hAnsi="Arial"/>
          <w:b/>
          <w:bCs/>
          <w:sz w:val="22"/>
          <w:szCs w:val="22"/>
        </w:rPr>
        <w:t xml:space="preserve">Salvamont județean (1 partener): </w:t>
      </w:r>
      <w:r>
        <w:rPr>
          <w:rFonts w:ascii="Arial" w:cs="Arial" w:eastAsia="Arial" w:hAnsi="Arial"/>
          <w:sz w:val="22"/>
          <w:szCs w:val="22"/>
        </w:rPr>
        <w:t xml:space="preserve">scenariu prototipic — patrule și exerciții în zone montane fără semnal.</w:t>
      </w:r>
    </w:p>
    <w:p>
      <w:pPr>
        <w:pStyle w:val="ListParagraph"/>
        <w:numPr>
          <w:ilvl w:val="0"/>
          <w:numId w:val="2"/>
        </w:numPr>
        <w:spacing w:after="80" w:line="280"/>
        <w:jc w:val="both"/>
      </w:pPr>
      <w:r>
        <w:rPr>
          <w:rFonts w:ascii="Arial" w:cs="Arial" w:eastAsia="Arial" w:hAnsi="Arial"/>
          <w:b/>
          <w:bCs/>
          <w:sz w:val="22"/>
          <w:szCs w:val="22"/>
        </w:rPr>
        <w:t xml:space="preserve">ONG accesibilitate (1 partener): </w:t>
      </w:r>
      <w:r>
        <w:rPr>
          <w:rFonts w:ascii="Arial" w:cs="Arial" w:eastAsia="Arial" w:hAnsi="Arial"/>
          <w:sz w:val="22"/>
          <w:szCs w:val="22"/>
        </w:rPr>
        <w:t xml:space="preserve">validare a pilonului de digital inclusion, utilizatori cu deficiențe vizuale.</w:t>
      </w:r>
    </w:p>
    <w:p>
      <w:pPr>
        <w:pStyle w:val="ListParagraph"/>
        <w:numPr>
          <w:ilvl w:val="0"/>
          <w:numId w:val="2"/>
        </w:numPr>
        <w:spacing w:after="80" w:line="280"/>
        <w:jc w:val="both"/>
      </w:pPr>
      <w:r>
        <w:rPr>
          <w:rFonts w:ascii="Arial" w:cs="Arial" w:eastAsia="Arial" w:hAnsi="Arial"/>
          <w:b/>
          <w:bCs/>
          <w:sz w:val="22"/>
          <w:szCs w:val="22"/>
        </w:rPr>
        <w:t xml:space="preserve">Administrație arie protejată sau primărie rurală (1 partener opțional): </w:t>
      </w:r>
      <w:r>
        <w:rPr>
          <w:rFonts w:ascii="Arial" w:cs="Arial" w:eastAsia="Arial" w:hAnsi="Arial"/>
          <w:sz w:val="22"/>
          <w:szCs w:val="22"/>
        </w:rPr>
        <w:t xml:space="preserve">scenariu de comunicare în comune izolate sau patrule de teren.</w:t>
      </w:r>
    </w:p>
    <w:p>
      <w:pPr>
        <w:pStyle w:val="Heading2"/>
        <w:spacing w:after="160" w:before="280"/>
      </w:pPr>
      <w:r>
        <w:rPr>
          <w:rFonts w:ascii="Arial" w:cs="Arial" w:eastAsia="Arial" w:hAnsi="Arial"/>
          <w:b/>
          <w:bCs/>
          <w:color w:val="2E75B6"/>
          <w:sz w:val="26"/>
          <w:szCs w:val="26"/>
        </w:rPr>
        <w:t xml:space="preserve">Tier 2 — observare și raportare informală</w:t>
      </w:r>
    </w:p>
    <w:p>
      <w:pPr>
        <w:spacing w:after="120" w:line="300"/>
        <w:jc w:val="both"/>
      </w:pPr>
      <w:r>
        <w:rPr>
          <w:rFonts w:ascii="Arial" w:cs="Arial" w:eastAsia="Arial" w:hAnsi="Arial"/>
          <w:sz w:val="22"/>
          <w:szCs w:val="22"/>
        </w:rPr>
        <w:t xml:space="preserve">Cu Tier 2 nu se semnează acorduri de pilot. Se construiesc relații prin partenerii Tier 1: dacă Salvamontul local colaborează cu ISU județean în exerciții comune, ISU vede sistemul în acțiune. Faza a II-a documentează aceste observații (cu acordul tuturor părților) și le include în raportul de pilot.</w:t>
      </w:r>
    </w:p>
    <w:p>
      <w:pPr>
        <w:pStyle w:val="Heading2"/>
        <w:spacing w:after="160" w:before="280"/>
      </w:pPr>
      <w:r>
        <w:rPr>
          <w:rFonts w:ascii="Arial" w:cs="Arial" w:eastAsia="Arial" w:hAnsi="Arial"/>
          <w:b/>
          <w:bCs/>
          <w:color w:val="2E75B6"/>
          <w:sz w:val="26"/>
          <w:szCs w:val="26"/>
        </w:rPr>
        <w:t xml:space="preserve">Tier 3 — non-țintă explicită</w:t>
      </w:r>
    </w:p>
    <w:p>
      <w:pPr>
        <w:pBdr>
          <w:left w:val="single" w:color="C00000" w:sz="24" w:space="12"/>
        </w:pBdr>
        <w:spacing w:after="160" w:before="160" w:line="300"/>
        <w:ind w:left="240"/>
        <w:jc w:val="both"/>
      </w:pPr>
      <w:r>
        <w:rPr>
          <w:rFonts w:ascii="Arial" w:cs="Arial" w:eastAsia="Arial" w:hAnsi="Arial"/>
          <w:i/>
          <w:iCs/>
          <w:color w:val="595959"/>
          <w:sz w:val="22"/>
          <w:szCs w:val="22"/>
        </w:rPr>
        <w:t xml:space="preserve">Faza a II-a nu inițiază contacte formale cu STS, MAI central, sau structuri de comunicații naționale. Orice astfel de contact apărut spontan este redirecționat către documentația publică și către Faza a III-a (post-2028).</w:t>
      </w:r>
    </w:p>
    <w:p>
      <w:r>
        <w:br w:type="page"/>
      </w:r>
    </w:p>
    <w:p>
      <w:pPr>
        <w:pStyle w:val="Heading1"/>
        <w:spacing w:after="200" w:before="360"/>
      </w:pPr>
      <w:r>
        <w:rPr>
          <w:rFonts w:ascii="Arial" w:cs="Arial" w:eastAsia="Arial" w:hAnsi="Arial"/>
          <w:b/>
          <w:bCs/>
          <w:color w:val="1F4E79"/>
          <w:sz w:val="32"/>
          <w:szCs w:val="32"/>
        </w:rPr>
        <w:t xml:space="preserve">5. Etapele Fazei a II-a — calendar 2027–2028</w:t>
      </w:r>
    </w:p>
    <w:p>
      <w:pPr>
        <w:spacing w:after="120" w:line="300"/>
        <w:jc w:val="both"/>
      </w:pPr>
      <w:r>
        <w:rPr>
          <w:rFonts w:ascii="Arial" w:cs="Arial" w:eastAsia="Arial" w:hAnsi="Arial"/>
          <w:sz w:val="22"/>
          <w:szCs w:val="22"/>
        </w:rPr>
        <w:t xml:space="preserve">Faza a II-a este structurată în 6 etape secvențiale, cu posibilitate de paralelizare parțială între etapele 3, 4 și 5.</w:t>
      </w:r>
    </w:p>
    <w:p>
      <w:pPr>
        <w:pStyle w:val="Heading2"/>
        <w:spacing w:after="160" w:before="280"/>
      </w:pPr>
      <w:r>
        <w:rPr>
          <w:rFonts w:ascii="Arial" w:cs="Arial" w:eastAsia="Arial" w:hAnsi="Arial"/>
          <w:b/>
          <w:bCs/>
          <w:color w:val="2E75B6"/>
          <w:sz w:val="26"/>
          <w:szCs w:val="26"/>
        </w:rPr>
        <w:t xml:space="preserve">Etapa 1 — Pregătire și consolidare (ianuarie–martie 2027)</w:t>
      </w:r>
    </w:p>
    <w:p>
      <w:pPr>
        <w:pStyle w:val="Heading3"/>
        <w:spacing w:after="120" w:before="200"/>
      </w:pPr>
      <w:r>
        <w:rPr>
          <w:rFonts w:ascii="Arial" w:cs="Arial" w:eastAsia="Arial" w:hAnsi="Arial"/>
          <w:b/>
          <w:bCs/>
          <w:color w:val="1F4E79"/>
          <w:sz w:val="23"/>
          <w:szCs w:val="23"/>
        </w:rPr>
        <w:t xml:space="preserve">Obiective</w:t>
      </w:r>
    </w:p>
    <w:p>
      <w:pPr>
        <w:pStyle w:val="ListParagraph"/>
        <w:numPr>
          <w:ilvl w:val="0"/>
          <w:numId w:val="2"/>
        </w:numPr>
        <w:spacing w:after="80" w:line="280"/>
        <w:jc w:val="both"/>
      </w:pPr>
      <w:r>
        <w:rPr>
          <w:rFonts w:ascii="Arial" w:cs="Arial" w:eastAsia="Arial" w:hAnsi="Arial"/>
          <w:sz w:val="22"/>
          <w:szCs w:val="22"/>
        </w:rPr>
        <w:t xml:space="preserve">Consolidarea poziționării instituționale rezultate din Faza I.</w:t>
      </w:r>
    </w:p>
    <w:p>
      <w:pPr>
        <w:pStyle w:val="ListParagraph"/>
        <w:numPr>
          <w:ilvl w:val="0"/>
          <w:numId w:val="2"/>
        </w:numPr>
        <w:spacing w:after="80" w:line="280"/>
        <w:jc w:val="both"/>
      </w:pPr>
      <w:r>
        <w:rPr>
          <w:rFonts w:ascii="Arial" w:cs="Arial" w:eastAsia="Arial" w:hAnsi="Arial"/>
          <w:sz w:val="22"/>
          <w:szCs w:val="22"/>
        </w:rPr>
        <w:t xml:space="preserve">Pregătirea pachetului juridic și tehnic pentru abordarea partenerilor.</w:t>
      </w:r>
    </w:p>
    <w:p>
      <w:pPr>
        <w:pStyle w:val="ListParagraph"/>
        <w:numPr>
          <w:ilvl w:val="0"/>
          <w:numId w:val="2"/>
        </w:numPr>
        <w:spacing w:after="80" w:line="280"/>
        <w:jc w:val="both"/>
      </w:pPr>
      <w:r>
        <w:rPr>
          <w:rFonts w:ascii="Arial" w:cs="Arial" w:eastAsia="Arial" w:hAnsi="Arial"/>
          <w:sz w:val="22"/>
          <w:szCs w:val="22"/>
        </w:rPr>
        <w:t xml:space="preserve">Identificarea și pre-calificarea unei liste scurte de parteneri Tier 1.</w:t>
      </w:r>
    </w:p>
    <w:p>
      <w:pPr>
        <w:pStyle w:val="Heading3"/>
        <w:spacing w:after="120" w:before="200"/>
      </w:pPr>
      <w:r>
        <w:rPr>
          <w:rFonts w:ascii="Arial" w:cs="Arial" w:eastAsia="Arial" w:hAnsi="Arial"/>
          <w:b/>
          <w:bCs/>
          <w:color w:val="1F4E79"/>
          <w:sz w:val="23"/>
          <w:szCs w:val="23"/>
        </w:rPr>
        <w:t xml:space="preserve">Activități concrete</w:t>
      </w:r>
    </w:p>
    <w:p>
      <w:pPr>
        <w:pStyle w:val="ListParagraph"/>
        <w:numPr>
          <w:ilvl w:val="0"/>
          <w:numId w:val="2"/>
        </w:numPr>
        <w:spacing w:after="80" w:line="280"/>
        <w:jc w:val="both"/>
      </w:pPr>
      <w:r>
        <w:rPr>
          <w:rFonts w:ascii="Arial" w:cs="Arial" w:eastAsia="Arial" w:hAnsi="Arial"/>
          <w:b/>
          <w:bCs/>
          <w:sz w:val="22"/>
          <w:szCs w:val="22"/>
        </w:rPr>
        <w:t xml:space="preserve">Memoriu de fundamentare versiune 2: </w:t>
      </w:r>
      <w:r>
        <w:rPr>
          <w:rFonts w:ascii="Arial" w:cs="Arial" w:eastAsia="Arial" w:hAnsi="Arial"/>
          <w:sz w:val="22"/>
          <w:szCs w:val="22"/>
        </w:rPr>
        <w:t xml:space="preserve">actualizat pe baza experienței Fazei I, cu date reale de performanță.</w:t>
      </w:r>
    </w:p>
    <w:p>
      <w:pPr>
        <w:pStyle w:val="ListParagraph"/>
        <w:numPr>
          <w:ilvl w:val="0"/>
          <w:numId w:val="2"/>
        </w:numPr>
        <w:spacing w:after="80" w:line="280"/>
        <w:jc w:val="both"/>
      </w:pPr>
      <w:r>
        <w:rPr>
          <w:rFonts w:ascii="Arial" w:cs="Arial" w:eastAsia="Arial" w:hAnsi="Arial"/>
          <w:b/>
          <w:bCs/>
          <w:sz w:val="22"/>
          <w:szCs w:val="22"/>
        </w:rPr>
        <w:t xml:space="preserve">Pachet juridic: </w:t>
      </w:r>
      <w:r>
        <w:rPr>
          <w:rFonts w:ascii="Arial" w:cs="Arial" w:eastAsia="Arial" w:hAnsi="Arial"/>
          <w:sz w:val="22"/>
          <w:szCs w:val="22"/>
        </w:rPr>
        <w:t xml:space="preserve">model de acord de pilot, model de notă de informare GDPR, Acceptable Use Policy.</w:t>
      </w:r>
    </w:p>
    <w:p>
      <w:pPr>
        <w:pStyle w:val="ListParagraph"/>
        <w:numPr>
          <w:ilvl w:val="0"/>
          <w:numId w:val="2"/>
        </w:numPr>
        <w:spacing w:after="80" w:line="280"/>
        <w:jc w:val="both"/>
      </w:pPr>
      <w:r>
        <w:rPr>
          <w:rFonts w:ascii="Arial" w:cs="Arial" w:eastAsia="Arial" w:hAnsi="Arial"/>
          <w:b/>
          <w:bCs/>
          <w:sz w:val="22"/>
          <w:szCs w:val="22"/>
        </w:rPr>
        <w:t xml:space="preserve">Analiză ANCOM: </w:t>
      </w:r>
      <w:r>
        <w:rPr>
          <w:rFonts w:ascii="Arial" w:cs="Arial" w:eastAsia="Arial" w:hAnsi="Arial"/>
          <w:sz w:val="22"/>
          <w:szCs w:val="22"/>
        </w:rPr>
        <w:t xml:space="preserve">consultarea formală a ANCOM privind densitatea de deployment și duty cycle agregat în condițiile pilotului.</w:t>
      </w:r>
    </w:p>
    <w:p>
      <w:pPr>
        <w:pStyle w:val="ListParagraph"/>
        <w:numPr>
          <w:ilvl w:val="0"/>
          <w:numId w:val="2"/>
        </w:numPr>
        <w:spacing w:after="80" w:line="280"/>
        <w:jc w:val="both"/>
      </w:pPr>
      <w:r>
        <w:rPr>
          <w:rFonts w:ascii="Arial" w:cs="Arial" w:eastAsia="Arial" w:hAnsi="Arial"/>
          <w:b/>
          <w:bCs/>
          <w:sz w:val="22"/>
          <w:szCs w:val="22"/>
        </w:rPr>
        <w:t xml:space="preserve">Listă scurtă parteneri: </w:t>
      </w:r>
      <w:r>
        <w:rPr>
          <w:rFonts w:ascii="Arial" w:cs="Arial" w:eastAsia="Arial" w:hAnsi="Arial"/>
          <w:sz w:val="22"/>
          <w:szCs w:val="22"/>
        </w:rPr>
        <w:t xml:space="preserve">minim 6 organizații prospect Tier 1, din care 2–3 vor deveni parteneri activi.</w:t>
      </w:r>
    </w:p>
    <w:p>
      <w:pPr>
        <w:pStyle w:val="ListParagraph"/>
        <w:numPr>
          <w:ilvl w:val="0"/>
          <w:numId w:val="2"/>
        </w:numPr>
        <w:spacing w:after="80" w:line="280"/>
        <w:jc w:val="both"/>
      </w:pPr>
      <w:r>
        <w:rPr>
          <w:rFonts w:ascii="Arial" w:cs="Arial" w:eastAsia="Arial" w:hAnsi="Arial"/>
          <w:b/>
          <w:bCs/>
          <w:sz w:val="22"/>
          <w:szCs w:val="22"/>
        </w:rPr>
        <w:t xml:space="preserve">Pagină dedicată „Pilot Program” pe website-ul proiectului: </w:t>
      </w:r>
      <w:r>
        <w:rPr>
          <w:rFonts w:ascii="Arial" w:cs="Arial" w:eastAsia="Arial" w:hAnsi="Arial"/>
          <w:sz w:val="22"/>
          <w:szCs w:val="22"/>
        </w:rPr>
        <w:t xml:space="preserve">transparență publică.</w:t>
      </w:r>
    </w:p>
    <w:p>
      <w:pPr>
        <w:pStyle w:val="Heading3"/>
        <w:spacing w:after="120" w:before="200"/>
      </w:pPr>
      <w:r>
        <w:rPr>
          <w:rFonts w:ascii="Arial" w:cs="Arial" w:eastAsia="Arial" w:hAnsi="Arial"/>
          <w:b/>
          <w:bCs/>
          <w:color w:val="1F4E79"/>
          <w:sz w:val="23"/>
          <w:szCs w:val="23"/>
        </w:rPr>
        <w:t xml:space="preserve">Livrabile etapa 1</w:t>
      </w:r>
    </w:p>
    <w:p>
      <w:pPr>
        <w:pStyle w:val="ListParagraph"/>
        <w:numPr>
          <w:ilvl w:val="0"/>
          <w:numId w:val="2"/>
        </w:numPr>
        <w:spacing w:after="80" w:line="280"/>
        <w:jc w:val="both"/>
      </w:pPr>
      <w:r>
        <w:rPr>
          <w:rFonts w:ascii="Arial" w:cs="Arial" w:eastAsia="Arial" w:hAnsi="Arial"/>
          <w:sz w:val="22"/>
          <w:szCs w:val="22"/>
        </w:rPr>
        <w:t xml:space="preserve">Memoriu de fundamentare v2 (RO + EN).</w:t>
      </w:r>
    </w:p>
    <w:p>
      <w:pPr>
        <w:pStyle w:val="ListParagraph"/>
        <w:numPr>
          <w:ilvl w:val="0"/>
          <w:numId w:val="2"/>
        </w:numPr>
        <w:spacing w:after="80" w:line="280"/>
        <w:jc w:val="both"/>
      </w:pPr>
      <w:r>
        <w:rPr>
          <w:rFonts w:ascii="Arial" w:cs="Arial" w:eastAsia="Arial" w:hAnsi="Arial"/>
          <w:sz w:val="22"/>
          <w:szCs w:val="22"/>
        </w:rPr>
        <w:t xml:space="preserve">Pachet contractual standard pentru parteneri.</w:t>
      </w:r>
    </w:p>
    <w:p>
      <w:pPr>
        <w:pStyle w:val="ListParagraph"/>
        <w:numPr>
          <w:ilvl w:val="0"/>
          <w:numId w:val="2"/>
        </w:numPr>
        <w:spacing w:after="80" w:line="280"/>
        <w:jc w:val="both"/>
      </w:pPr>
      <w:r>
        <w:rPr>
          <w:rFonts w:ascii="Arial" w:cs="Arial" w:eastAsia="Arial" w:hAnsi="Arial"/>
          <w:sz w:val="22"/>
          <w:szCs w:val="22"/>
        </w:rPr>
        <w:t xml:space="preserve">Aviz / poziție ANCOM (sau confirmare scrisă a interpretării proprii).</w:t>
      </w:r>
    </w:p>
    <w:p>
      <w:pPr>
        <w:pStyle w:val="ListParagraph"/>
        <w:numPr>
          <w:ilvl w:val="0"/>
          <w:numId w:val="2"/>
        </w:numPr>
        <w:spacing w:after="80" w:line="280"/>
        <w:jc w:val="both"/>
      </w:pPr>
      <w:r>
        <w:rPr>
          <w:rFonts w:ascii="Arial" w:cs="Arial" w:eastAsia="Arial" w:hAnsi="Arial"/>
          <w:sz w:val="22"/>
          <w:szCs w:val="22"/>
        </w:rPr>
        <w:t xml:space="preserve">Listă scurtă parteneri pre-calificați.</w:t>
      </w:r>
    </w:p>
    <w:p>
      <w:pPr>
        <w:pStyle w:val="Heading2"/>
        <w:spacing w:after="160" w:before="280"/>
      </w:pPr>
      <w:r>
        <w:rPr>
          <w:rFonts w:ascii="Arial" w:cs="Arial" w:eastAsia="Arial" w:hAnsi="Arial"/>
          <w:b/>
          <w:bCs/>
          <w:color w:val="2E75B6"/>
          <w:sz w:val="26"/>
          <w:szCs w:val="26"/>
        </w:rPr>
        <w:t xml:space="preserve">Etapa 2 — Onboarding parteneri pilot (aprilie–iunie 2027)</w:t>
      </w:r>
    </w:p>
    <w:p>
      <w:pPr>
        <w:pStyle w:val="Heading3"/>
        <w:spacing w:after="120" w:before="200"/>
      </w:pPr>
      <w:r>
        <w:rPr>
          <w:rFonts w:ascii="Arial" w:cs="Arial" w:eastAsia="Arial" w:hAnsi="Arial"/>
          <w:b/>
          <w:bCs/>
          <w:color w:val="1F4E79"/>
          <w:sz w:val="23"/>
          <w:szCs w:val="23"/>
        </w:rPr>
        <w:t xml:space="preserve">Obiective</w:t>
      </w:r>
    </w:p>
    <w:p>
      <w:pPr>
        <w:pStyle w:val="ListParagraph"/>
        <w:numPr>
          <w:ilvl w:val="0"/>
          <w:numId w:val="2"/>
        </w:numPr>
        <w:spacing w:after="80" w:line="280"/>
        <w:jc w:val="both"/>
      </w:pPr>
      <w:r>
        <w:rPr>
          <w:rFonts w:ascii="Arial" w:cs="Arial" w:eastAsia="Arial" w:hAnsi="Arial"/>
          <w:sz w:val="22"/>
          <w:szCs w:val="22"/>
        </w:rPr>
        <w:t xml:space="preserve">Semnarea acordurilor cu minim 2 parteneri Tier 1.</w:t>
      </w:r>
    </w:p>
    <w:p>
      <w:pPr>
        <w:pStyle w:val="ListParagraph"/>
        <w:numPr>
          <w:ilvl w:val="0"/>
          <w:numId w:val="2"/>
        </w:numPr>
        <w:spacing w:after="80" w:line="280"/>
        <w:jc w:val="both"/>
      </w:pPr>
      <w:r>
        <w:rPr>
          <w:rFonts w:ascii="Arial" w:cs="Arial" w:eastAsia="Arial" w:hAnsi="Arial"/>
          <w:sz w:val="22"/>
          <w:szCs w:val="22"/>
        </w:rPr>
        <w:t xml:space="preserve">Livrarea hardware-ului și instruirea operatorilor.</w:t>
      </w:r>
    </w:p>
    <w:p>
      <w:pPr>
        <w:pStyle w:val="ListParagraph"/>
        <w:numPr>
          <w:ilvl w:val="0"/>
          <w:numId w:val="2"/>
        </w:numPr>
        <w:spacing w:after="80" w:line="280"/>
        <w:jc w:val="both"/>
      </w:pPr>
      <w:r>
        <w:rPr>
          <w:rFonts w:ascii="Arial" w:cs="Arial" w:eastAsia="Arial" w:hAnsi="Arial"/>
          <w:sz w:val="22"/>
          <w:szCs w:val="22"/>
        </w:rPr>
        <w:t xml:space="preserve">Stabilirea protocolului de evaluare și a indicatorilor de performanță.</w:t>
      </w:r>
    </w:p>
    <w:p>
      <w:pPr>
        <w:pStyle w:val="Heading3"/>
        <w:spacing w:after="120" w:before="200"/>
      </w:pPr>
      <w:r>
        <w:rPr>
          <w:rFonts w:ascii="Arial" w:cs="Arial" w:eastAsia="Arial" w:hAnsi="Arial"/>
          <w:b/>
          <w:bCs/>
          <w:color w:val="1F4E79"/>
          <w:sz w:val="23"/>
          <w:szCs w:val="23"/>
        </w:rPr>
        <w:t xml:space="preserve">Activități concrete</w:t>
      </w:r>
    </w:p>
    <w:p>
      <w:pPr>
        <w:pStyle w:val="ListParagraph"/>
        <w:numPr>
          <w:ilvl w:val="0"/>
          <w:numId w:val="2"/>
        </w:numPr>
        <w:spacing w:after="80" w:line="280"/>
        <w:jc w:val="both"/>
      </w:pPr>
      <w:r>
        <w:rPr>
          <w:rFonts w:ascii="Arial" w:cs="Arial" w:eastAsia="Arial" w:hAnsi="Arial"/>
          <w:b/>
          <w:bCs/>
          <w:sz w:val="22"/>
          <w:szCs w:val="22"/>
        </w:rPr>
        <w:t xml:space="preserve">Întâlniri exploratorii: </w:t>
      </w:r>
      <w:r>
        <w:rPr>
          <w:rFonts w:ascii="Arial" w:cs="Arial" w:eastAsia="Arial" w:hAnsi="Arial"/>
          <w:sz w:val="22"/>
          <w:szCs w:val="22"/>
        </w:rPr>
        <w:t xml:space="preserve">minim 2 runde cu fiecare partener prospect.</w:t>
      </w:r>
    </w:p>
    <w:p>
      <w:pPr>
        <w:pStyle w:val="ListParagraph"/>
        <w:numPr>
          <w:ilvl w:val="0"/>
          <w:numId w:val="2"/>
        </w:numPr>
        <w:spacing w:after="80" w:line="280"/>
        <w:jc w:val="both"/>
      </w:pPr>
      <w:r>
        <w:rPr>
          <w:rFonts w:ascii="Arial" w:cs="Arial" w:eastAsia="Arial" w:hAnsi="Arial"/>
          <w:b/>
          <w:bCs/>
          <w:sz w:val="22"/>
          <w:szCs w:val="22"/>
        </w:rPr>
        <w:t xml:space="preserve">Demonstrație în teren: </w:t>
      </w:r>
      <w:r>
        <w:rPr>
          <w:rFonts w:ascii="Arial" w:cs="Arial" w:eastAsia="Arial" w:hAnsi="Arial"/>
          <w:sz w:val="22"/>
          <w:szCs w:val="22"/>
        </w:rPr>
        <w:t xml:space="preserve">demo de 1–2 ore în condiții reale, cu echipa partenerului.</w:t>
      </w:r>
    </w:p>
    <w:p>
      <w:pPr>
        <w:pStyle w:val="ListParagraph"/>
        <w:numPr>
          <w:ilvl w:val="0"/>
          <w:numId w:val="2"/>
        </w:numPr>
        <w:spacing w:after="80" w:line="280"/>
        <w:jc w:val="both"/>
      </w:pPr>
      <w:r>
        <w:rPr>
          <w:rFonts w:ascii="Arial" w:cs="Arial" w:eastAsia="Arial" w:hAnsi="Arial"/>
          <w:b/>
          <w:bCs/>
          <w:sz w:val="22"/>
          <w:szCs w:val="22"/>
        </w:rPr>
        <w:t xml:space="preserve">Acord de pilot semnat: </w:t>
      </w:r>
      <w:r>
        <w:rPr>
          <w:rFonts w:ascii="Arial" w:cs="Arial" w:eastAsia="Arial" w:hAnsi="Arial"/>
          <w:sz w:val="22"/>
          <w:szCs w:val="22"/>
        </w:rPr>
        <w:t xml:space="preserve">obligații clare pe ambele părți, durata, indicatori, drepturi de proprietate intelectuală, confidențialitate.</w:t>
      </w:r>
    </w:p>
    <w:p>
      <w:pPr>
        <w:pStyle w:val="ListParagraph"/>
        <w:numPr>
          <w:ilvl w:val="0"/>
          <w:numId w:val="2"/>
        </w:numPr>
        <w:spacing w:after="80" w:line="280"/>
        <w:jc w:val="both"/>
      </w:pPr>
      <w:r>
        <w:rPr>
          <w:rFonts w:ascii="Arial" w:cs="Arial" w:eastAsia="Arial" w:hAnsi="Arial"/>
          <w:b/>
          <w:bCs/>
          <w:sz w:val="22"/>
          <w:szCs w:val="22"/>
        </w:rPr>
        <w:t xml:space="preserve">Configurare hardware: </w:t>
      </w:r>
      <w:r>
        <w:rPr>
          <w:rFonts w:ascii="Arial" w:cs="Arial" w:eastAsia="Arial" w:hAnsi="Arial"/>
          <w:sz w:val="22"/>
          <w:szCs w:val="22"/>
        </w:rPr>
        <w:t xml:space="preserve">5–15 noduri Meshtastic per partener, configurate, testate, etichetate.</w:t>
      </w:r>
    </w:p>
    <w:p>
      <w:pPr>
        <w:pStyle w:val="ListParagraph"/>
        <w:numPr>
          <w:ilvl w:val="0"/>
          <w:numId w:val="2"/>
        </w:numPr>
        <w:spacing w:after="80" w:line="280"/>
        <w:jc w:val="both"/>
      </w:pPr>
      <w:r>
        <w:rPr>
          <w:rFonts w:ascii="Arial" w:cs="Arial" w:eastAsia="Arial" w:hAnsi="Arial"/>
          <w:b/>
          <w:bCs/>
          <w:sz w:val="22"/>
          <w:szCs w:val="22"/>
        </w:rPr>
        <w:t xml:space="preserve">Sesiune de instruire: </w:t>
      </w:r>
      <w:r>
        <w:rPr>
          <w:rFonts w:ascii="Arial" w:cs="Arial" w:eastAsia="Arial" w:hAnsi="Arial"/>
          <w:sz w:val="22"/>
          <w:szCs w:val="22"/>
        </w:rPr>
        <w:t xml:space="preserve">minim 4 ore per partener, pe utilizare aplicație, hands-free, depanare basic.</w:t>
      </w:r>
    </w:p>
    <w:p>
      <w:pPr>
        <w:pStyle w:val="ListParagraph"/>
        <w:numPr>
          <w:ilvl w:val="0"/>
          <w:numId w:val="2"/>
        </w:numPr>
        <w:spacing w:after="80" w:line="280"/>
        <w:jc w:val="both"/>
      </w:pPr>
      <w:r>
        <w:rPr>
          <w:rFonts w:ascii="Arial" w:cs="Arial" w:eastAsia="Arial" w:hAnsi="Arial"/>
          <w:b/>
          <w:bCs/>
          <w:sz w:val="22"/>
          <w:szCs w:val="22"/>
        </w:rPr>
        <w:t xml:space="preserve">Material de onboarding: </w:t>
      </w:r>
      <w:r>
        <w:rPr>
          <w:rFonts w:ascii="Arial" w:cs="Arial" w:eastAsia="Arial" w:hAnsi="Arial"/>
          <w:sz w:val="22"/>
          <w:szCs w:val="22"/>
        </w:rPr>
        <w:t xml:space="preserve">ghid scris + video scurte, în română, accesibil și pentru utilizatori cu deficiențe vizuale.</w:t>
      </w:r>
    </w:p>
    <w:p>
      <w:pPr>
        <w:pStyle w:val="Heading3"/>
        <w:spacing w:after="120" w:before="200"/>
      </w:pPr>
      <w:r>
        <w:rPr>
          <w:rFonts w:ascii="Arial" w:cs="Arial" w:eastAsia="Arial" w:hAnsi="Arial"/>
          <w:b/>
          <w:bCs/>
          <w:color w:val="1F4E79"/>
          <w:sz w:val="23"/>
          <w:szCs w:val="23"/>
        </w:rPr>
        <w:t xml:space="preserve">Livrabile etapa 2</w:t>
      </w:r>
    </w:p>
    <w:p>
      <w:pPr>
        <w:pStyle w:val="ListParagraph"/>
        <w:numPr>
          <w:ilvl w:val="0"/>
          <w:numId w:val="2"/>
        </w:numPr>
        <w:spacing w:after="80" w:line="280"/>
        <w:jc w:val="both"/>
      </w:pPr>
      <w:r>
        <w:rPr>
          <w:rFonts w:ascii="Arial" w:cs="Arial" w:eastAsia="Arial" w:hAnsi="Arial"/>
          <w:sz w:val="22"/>
          <w:szCs w:val="22"/>
        </w:rPr>
        <w:t xml:space="preserve">Acorduri de pilot semnate cu minim 2 parteneri.</w:t>
      </w:r>
    </w:p>
    <w:p>
      <w:pPr>
        <w:pStyle w:val="ListParagraph"/>
        <w:numPr>
          <w:ilvl w:val="0"/>
          <w:numId w:val="2"/>
        </w:numPr>
        <w:spacing w:after="80" w:line="280"/>
        <w:jc w:val="both"/>
      </w:pPr>
      <w:r>
        <w:rPr>
          <w:rFonts w:ascii="Arial" w:cs="Arial" w:eastAsia="Arial" w:hAnsi="Arial"/>
          <w:sz w:val="22"/>
          <w:szCs w:val="22"/>
        </w:rPr>
        <w:t xml:space="preserve">Hardware deployat și operațional.</w:t>
      </w:r>
    </w:p>
    <w:p>
      <w:pPr>
        <w:pStyle w:val="ListParagraph"/>
        <w:numPr>
          <w:ilvl w:val="0"/>
          <w:numId w:val="2"/>
        </w:numPr>
        <w:spacing w:after="80" w:line="280"/>
        <w:jc w:val="both"/>
      </w:pPr>
      <w:r>
        <w:rPr>
          <w:rFonts w:ascii="Arial" w:cs="Arial" w:eastAsia="Arial" w:hAnsi="Arial"/>
          <w:sz w:val="22"/>
          <w:szCs w:val="22"/>
        </w:rPr>
        <w:t xml:space="preserve">Echipe instruite, cu cel puțin un „champion” per partener.</w:t>
      </w:r>
    </w:p>
    <w:p>
      <w:pPr>
        <w:pStyle w:val="ListParagraph"/>
        <w:numPr>
          <w:ilvl w:val="0"/>
          <w:numId w:val="2"/>
        </w:numPr>
        <w:spacing w:after="80" w:line="280"/>
        <w:jc w:val="both"/>
      </w:pPr>
      <w:r>
        <w:rPr>
          <w:rFonts w:ascii="Arial" w:cs="Arial" w:eastAsia="Arial" w:hAnsi="Arial"/>
          <w:sz w:val="22"/>
          <w:szCs w:val="22"/>
        </w:rPr>
        <w:t xml:space="preserve">Plan de evaluare cu indicatori cantitativi și calitativi.</w:t>
      </w:r>
    </w:p>
    <w:p>
      <w:pPr>
        <w:pStyle w:val="Heading2"/>
        <w:spacing w:after="160" w:before="280"/>
      </w:pPr>
      <w:r>
        <w:rPr>
          <w:rFonts w:ascii="Arial" w:cs="Arial" w:eastAsia="Arial" w:hAnsi="Arial"/>
          <w:b/>
          <w:bCs/>
          <w:color w:val="2E75B6"/>
          <w:sz w:val="26"/>
          <w:szCs w:val="26"/>
        </w:rPr>
        <w:t xml:space="preserve">Etapa 3 — Operare pilot (iulie 2027–martie 2028)</w:t>
      </w:r>
    </w:p>
    <w:p>
      <w:pPr>
        <w:pStyle w:val="Heading3"/>
        <w:spacing w:after="120" w:before="200"/>
      </w:pPr>
      <w:r>
        <w:rPr>
          <w:rFonts w:ascii="Arial" w:cs="Arial" w:eastAsia="Arial" w:hAnsi="Arial"/>
          <w:b/>
          <w:bCs/>
          <w:color w:val="1F4E79"/>
          <w:sz w:val="23"/>
          <w:szCs w:val="23"/>
        </w:rPr>
        <w:t xml:space="preserve">Obiective</w:t>
      </w:r>
    </w:p>
    <w:p>
      <w:pPr>
        <w:pStyle w:val="ListParagraph"/>
        <w:numPr>
          <w:ilvl w:val="0"/>
          <w:numId w:val="2"/>
        </w:numPr>
        <w:spacing w:after="80" w:line="280"/>
        <w:jc w:val="both"/>
      </w:pPr>
      <w:r>
        <w:rPr>
          <w:rFonts w:ascii="Arial" w:cs="Arial" w:eastAsia="Arial" w:hAnsi="Arial"/>
          <w:sz w:val="22"/>
          <w:szCs w:val="22"/>
        </w:rPr>
        <w:t xml:space="preserve">Utilizare reală a sistemului în activitatea curentă a partenerilor.</w:t>
      </w:r>
    </w:p>
    <w:p>
      <w:pPr>
        <w:pStyle w:val="ListParagraph"/>
        <w:numPr>
          <w:ilvl w:val="0"/>
          <w:numId w:val="2"/>
        </w:numPr>
        <w:spacing w:after="80" w:line="280"/>
        <w:jc w:val="both"/>
      </w:pPr>
      <w:r>
        <w:rPr>
          <w:rFonts w:ascii="Arial" w:cs="Arial" w:eastAsia="Arial" w:hAnsi="Arial"/>
          <w:sz w:val="22"/>
          <w:szCs w:val="22"/>
        </w:rPr>
        <w:t xml:space="preserve">Colectare continuă de date operaționale și feedback.</w:t>
      </w:r>
    </w:p>
    <w:p>
      <w:pPr>
        <w:pStyle w:val="ListParagraph"/>
        <w:numPr>
          <w:ilvl w:val="0"/>
          <w:numId w:val="2"/>
        </w:numPr>
        <w:spacing w:after="80" w:line="280"/>
        <w:jc w:val="both"/>
      </w:pPr>
      <w:r>
        <w:rPr>
          <w:rFonts w:ascii="Arial" w:cs="Arial" w:eastAsia="Arial" w:hAnsi="Arial"/>
          <w:sz w:val="22"/>
          <w:szCs w:val="22"/>
        </w:rPr>
        <w:t xml:space="preserve">Iterații de produs pe baza feedback-ului din teren.</w:t>
      </w:r>
    </w:p>
    <w:p>
      <w:pPr>
        <w:pStyle w:val="Heading3"/>
        <w:spacing w:after="120" w:before="200"/>
      </w:pPr>
      <w:r>
        <w:rPr>
          <w:rFonts w:ascii="Arial" w:cs="Arial" w:eastAsia="Arial" w:hAnsi="Arial"/>
          <w:b/>
          <w:bCs/>
          <w:color w:val="1F4E79"/>
          <w:sz w:val="23"/>
          <w:szCs w:val="23"/>
        </w:rPr>
        <w:t xml:space="preserve">Activități concrete</w:t>
      </w:r>
    </w:p>
    <w:p>
      <w:pPr>
        <w:pStyle w:val="ListParagraph"/>
        <w:numPr>
          <w:ilvl w:val="0"/>
          <w:numId w:val="2"/>
        </w:numPr>
        <w:spacing w:after="80" w:line="280"/>
        <w:jc w:val="both"/>
      </w:pPr>
      <w:r>
        <w:rPr>
          <w:rFonts w:ascii="Arial" w:cs="Arial" w:eastAsia="Arial" w:hAnsi="Arial"/>
          <w:b/>
          <w:bCs/>
          <w:sz w:val="22"/>
          <w:szCs w:val="22"/>
        </w:rPr>
        <w:t xml:space="preserve">Suport tehnic activ: </w:t>
      </w:r>
      <w:r>
        <w:rPr>
          <w:rFonts w:ascii="Arial" w:cs="Arial" w:eastAsia="Arial" w:hAnsi="Arial"/>
          <w:sz w:val="22"/>
          <w:szCs w:val="22"/>
        </w:rPr>
        <w:t xml:space="preserve">linie de suport pentru parteneri, timp de răspuns sub 48h.</w:t>
      </w:r>
    </w:p>
    <w:p>
      <w:pPr>
        <w:pStyle w:val="ListParagraph"/>
        <w:numPr>
          <w:ilvl w:val="0"/>
          <w:numId w:val="2"/>
        </w:numPr>
        <w:spacing w:after="80" w:line="280"/>
        <w:jc w:val="both"/>
      </w:pPr>
      <w:r>
        <w:rPr>
          <w:rFonts w:ascii="Arial" w:cs="Arial" w:eastAsia="Arial" w:hAnsi="Arial"/>
          <w:b/>
          <w:bCs/>
          <w:sz w:val="22"/>
          <w:szCs w:val="22"/>
        </w:rPr>
        <w:t xml:space="preserve">Vizite de teren: </w:t>
      </w:r>
      <w:r>
        <w:rPr>
          <w:rFonts w:ascii="Arial" w:cs="Arial" w:eastAsia="Arial" w:hAnsi="Arial"/>
          <w:sz w:val="22"/>
          <w:szCs w:val="22"/>
        </w:rPr>
        <w:t xml:space="preserve">minim 1 vizită lunară per partener, observație directă.</w:t>
      </w:r>
    </w:p>
    <w:p>
      <w:pPr>
        <w:pStyle w:val="ListParagraph"/>
        <w:numPr>
          <w:ilvl w:val="0"/>
          <w:numId w:val="2"/>
        </w:numPr>
        <w:spacing w:after="80" w:line="280"/>
        <w:jc w:val="both"/>
      </w:pPr>
      <w:r>
        <w:rPr>
          <w:rFonts w:ascii="Arial" w:cs="Arial" w:eastAsia="Arial" w:hAnsi="Arial"/>
          <w:b/>
          <w:bCs/>
          <w:sz w:val="22"/>
          <w:szCs w:val="22"/>
        </w:rPr>
        <w:t xml:space="preserve">Telemetrie consensuală: </w:t>
      </w:r>
      <w:r>
        <w:rPr>
          <w:rFonts w:ascii="Arial" w:cs="Arial" w:eastAsia="Arial" w:hAnsi="Arial"/>
          <w:sz w:val="22"/>
          <w:szCs w:val="22"/>
        </w:rPr>
        <w:t xml:space="preserve">cu acordul explicit al partenerilor, colectare anonimizată de metrici de utilizare.</w:t>
      </w:r>
    </w:p>
    <w:p>
      <w:pPr>
        <w:pStyle w:val="ListParagraph"/>
        <w:numPr>
          <w:ilvl w:val="0"/>
          <w:numId w:val="2"/>
        </w:numPr>
        <w:spacing w:after="80" w:line="280"/>
        <w:jc w:val="both"/>
      </w:pPr>
      <w:r>
        <w:rPr>
          <w:rFonts w:ascii="Arial" w:cs="Arial" w:eastAsia="Arial" w:hAnsi="Arial"/>
          <w:b/>
          <w:bCs/>
          <w:sz w:val="22"/>
          <w:szCs w:val="22"/>
        </w:rPr>
        <w:t xml:space="preserve">Sesiuni feedback structurate: </w:t>
      </w:r>
      <w:r>
        <w:rPr>
          <w:rFonts w:ascii="Arial" w:cs="Arial" w:eastAsia="Arial" w:hAnsi="Arial"/>
          <w:sz w:val="22"/>
          <w:szCs w:val="22"/>
        </w:rPr>
        <w:t xml:space="preserve">interviuri trimestriale cu utilizatori reali, inclusiv cu utilizatori cu deficiențe vizuale.</w:t>
      </w:r>
    </w:p>
    <w:p>
      <w:pPr>
        <w:pStyle w:val="ListParagraph"/>
        <w:numPr>
          <w:ilvl w:val="0"/>
          <w:numId w:val="2"/>
        </w:numPr>
        <w:spacing w:after="80" w:line="280"/>
        <w:jc w:val="both"/>
      </w:pPr>
      <w:r>
        <w:rPr>
          <w:rFonts w:ascii="Arial" w:cs="Arial" w:eastAsia="Arial" w:hAnsi="Arial"/>
          <w:b/>
          <w:bCs/>
          <w:sz w:val="22"/>
          <w:szCs w:val="22"/>
        </w:rPr>
        <w:t xml:space="preserve">Iterații de produs: </w:t>
      </w:r>
      <w:r>
        <w:rPr>
          <w:rFonts w:ascii="Arial" w:cs="Arial" w:eastAsia="Arial" w:hAnsi="Arial"/>
          <w:sz w:val="22"/>
          <w:szCs w:val="22"/>
        </w:rPr>
        <w:t xml:space="preserve">minim 2 release-uri majore în această etapă, ghidate de feedback real.</w:t>
      </w:r>
    </w:p>
    <w:p>
      <w:pPr>
        <w:pStyle w:val="ListParagraph"/>
        <w:numPr>
          <w:ilvl w:val="0"/>
          <w:numId w:val="2"/>
        </w:numPr>
        <w:spacing w:after="80" w:line="280"/>
        <w:jc w:val="both"/>
      </w:pPr>
      <w:r>
        <w:rPr>
          <w:rFonts w:ascii="Arial" w:cs="Arial" w:eastAsia="Arial" w:hAnsi="Arial"/>
          <w:b/>
          <w:bCs/>
          <w:sz w:val="22"/>
          <w:szCs w:val="22"/>
        </w:rPr>
        <w:t xml:space="preserve">Jurnal public de pilot: </w:t>
      </w:r>
      <w:r>
        <w:rPr>
          <w:rFonts w:ascii="Arial" w:cs="Arial" w:eastAsia="Arial" w:hAnsi="Arial"/>
          <w:sz w:val="22"/>
          <w:szCs w:val="22"/>
        </w:rPr>
        <w:t xml:space="preserve">lunar, lecții învățate, fără date sensibile despre parteneri.</w:t>
      </w:r>
    </w:p>
    <w:p>
      <w:pPr>
        <w:pStyle w:val="Heading3"/>
        <w:spacing w:after="120" w:before="200"/>
      </w:pPr>
      <w:r>
        <w:rPr>
          <w:rFonts w:ascii="Arial" w:cs="Arial" w:eastAsia="Arial" w:hAnsi="Arial"/>
          <w:b/>
          <w:bCs/>
          <w:color w:val="1F4E79"/>
          <w:sz w:val="23"/>
          <w:szCs w:val="23"/>
        </w:rPr>
        <w:t xml:space="preserve">Livrabile etapa 3</w:t>
      </w:r>
    </w:p>
    <w:p>
      <w:pPr>
        <w:pStyle w:val="ListParagraph"/>
        <w:numPr>
          <w:ilvl w:val="0"/>
          <w:numId w:val="2"/>
        </w:numPr>
        <w:spacing w:after="80" w:line="280"/>
        <w:jc w:val="both"/>
      </w:pPr>
      <w:r>
        <w:rPr>
          <w:rFonts w:ascii="Arial" w:cs="Arial" w:eastAsia="Arial" w:hAnsi="Arial"/>
          <w:sz w:val="22"/>
          <w:szCs w:val="22"/>
        </w:rPr>
        <w:t xml:space="preserve">Minim 9 luni de operare reală documentată.</w:t>
      </w:r>
    </w:p>
    <w:p>
      <w:pPr>
        <w:pStyle w:val="ListParagraph"/>
        <w:numPr>
          <w:ilvl w:val="0"/>
          <w:numId w:val="2"/>
        </w:numPr>
        <w:spacing w:after="80" w:line="280"/>
        <w:jc w:val="both"/>
      </w:pPr>
      <w:r>
        <w:rPr>
          <w:rFonts w:ascii="Arial" w:cs="Arial" w:eastAsia="Arial" w:hAnsi="Arial"/>
          <w:sz w:val="22"/>
          <w:szCs w:val="22"/>
        </w:rPr>
        <w:t xml:space="preserve">Set de date operaționale anonimizate.</w:t>
      </w:r>
    </w:p>
    <w:p>
      <w:pPr>
        <w:pStyle w:val="ListParagraph"/>
        <w:numPr>
          <w:ilvl w:val="0"/>
          <w:numId w:val="2"/>
        </w:numPr>
        <w:spacing w:after="80" w:line="280"/>
        <w:jc w:val="both"/>
      </w:pPr>
      <w:r>
        <w:rPr>
          <w:rFonts w:ascii="Arial" w:cs="Arial" w:eastAsia="Arial" w:hAnsi="Arial"/>
          <w:sz w:val="22"/>
          <w:szCs w:val="22"/>
        </w:rPr>
        <w:t xml:space="preserve">Minim 2 release-uri majore ale aplicației.</w:t>
      </w:r>
    </w:p>
    <w:p>
      <w:pPr>
        <w:pStyle w:val="ListParagraph"/>
        <w:numPr>
          <w:ilvl w:val="0"/>
          <w:numId w:val="2"/>
        </w:numPr>
        <w:spacing w:after="80" w:line="280"/>
        <w:jc w:val="both"/>
      </w:pPr>
      <w:r>
        <w:rPr>
          <w:rFonts w:ascii="Arial" w:cs="Arial" w:eastAsia="Arial" w:hAnsi="Arial"/>
          <w:sz w:val="22"/>
          <w:szCs w:val="22"/>
        </w:rPr>
        <w:t xml:space="preserve">Jurnal public lunar de pilot.</w:t>
      </w:r>
    </w:p>
    <w:p>
      <w:pPr>
        <w:pStyle w:val="Heading2"/>
        <w:spacing w:after="160" w:before="280"/>
      </w:pPr>
      <w:r>
        <w:rPr>
          <w:rFonts w:ascii="Arial" w:cs="Arial" w:eastAsia="Arial" w:hAnsi="Arial"/>
          <w:b/>
          <w:bCs/>
          <w:color w:val="2E75B6"/>
          <w:sz w:val="26"/>
          <w:szCs w:val="26"/>
        </w:rPr>
        <w:t xml:space="preserve">Etapa 4 — Cadru de adopție (paralel cu Etapa 3, septembrie 2027–martie 2028)</w:t>
      </w:r>
    </w:p>
    <w:p>
      <w:pPr>
        <w:pStyle w:val="Heading3"/>
        <w:spacing w:after="120" w:before="200"/>
      </w:pPr>
      <w:r>
        <w:rPr>
          <w:rFonts w:ascii="Arial" w:cs="Arial" w:eastAsia="Arial" w:hAnsi="Arial"/>
          <w:b/>
          <w:bCs/>
          <w:color w:val="1F4E79"/>
          <w:sz w:val="23"/>
          <w:szCs w:val="23"/>
        </w:rPr>
        <w:t xml:space="preserve">Obiective</w:t>
      </w:r>
    </w:p>
    <w:p>
      <w:pPr>
        <w:pStyle w:val="ListParagraph"/>
        <w:numPr>
          <w:ilvl w:val="0"/>
          <w:numId w:val="2"/>
        </w:numPr>
        <w:spacing w:after="80" w:line="280"/>
        <w:jc w:val="both"/>
      </w:pPr>
      <w:r>
        <w:rPr>
          <w:rFonts w:ascii="Arial" w:cs="Arial" w:eastAsia="Arial" w:hAnsi="Arial"/>
          <w:sz w:val="22"/>
          <w:szCs w:val="22"/>
        </w:rPr>
        <w:t xml:space="preserve">Producerea „Institutional Adoption Framework for Community Mesh Communications”.</w:t>
      </w:r>
    </w:p>
    <w:p>
      <w:pPr>
        <w:pStyle w:val="ListParagraph"/>
        <w:numPr>
          <w:ilvl w:val="0"/>
          <w:numId w:val="2"/>
        </w:numPr>
        <w:spacing w:after="80" w:line="280"/>
        <w:jc w:val="both"/>
      </w:pPr>
      <w:r>
        <w:rPr>
          <w:rFonts w:ascii="Arial" w:cs="Arial" w:eastAsia="Arial" w:hAnsi="Arial"/>
          <w:sz w:val="22"/>
          <w:szCs w:val="22"/>
        </w:rPr>
        <w:t xml:space="preserve">Transformarea experienței de pilot în resursă publică reutilizabilă.</w:t>
      </w:r>
    </w:p>
    <w:p>
      <w:pPr>
        <w:pStyle w:val="Heading3"/>
        <w:spacing w:after="120" w:before="200"/>
      </w:pPr>
      <w:r>
        <w:rPr>
          <w:rFonts w:ascii="Arial" w:cs="Arial" w:eastAsia="Arial" w:hAnsi="Arial"/>
          <w:b/>
          <w:bCs/>
          <w:color w:val="1F4E79"/>
          <w:sz w:val="23"/>
          <w:szCs w:val="23"/>
        </w:rPr>
        <w:t xml:space="preserve">Activități concrete</w:t>
      </w:r>
    </w:p>
    <w:p>
      <w:pPr>
        <w:pStyle w:val="ListParagraph"/>
        <w:numPr>
          <w:ilvl w:val="0"/>
          <w:numId w:val="2"/>
        </w:numPr>
        <w:spacing w:after="80" w:line="280"/>
        <w:jc w:val="both"/>
      </w:pPr>
      <w:r>
        <w:rPr>
          <w:rFonts w:ascii="Arial" w:cs="Arial" w:eastAsia="Arial" w:hAnsi="Arial"/>
          <w:b/>
          <w:bCs/>
          <w:sz w:val="22"/>
          <w:szCs w:val="22"/>
        </w:rPr>
        <w:t xml:space="preserve">Analiză juridică detaliată: </w:t>
      </w:r>
      <w:r>
        <w:rPr>
          <w:rFonts w:ascii="Arial" w:cs="Arial" w:eastAsia="Arial" w:hAnsi="Arial"/>
          <w:sz w:val="22"/>
          <w:szCs w:val="22"/>
        </w:rPr>
        <w:t xml:space="preserve">scrisă cu sprijinul unui avocat specializat în drept administrativ și TIC.</w:t>
      </w:r>
    </w:p>
    <w:p>
      <w:pPr>
        <w:pStyle w:val="ListParagraph"/>
        <w:numPr>
          <w:ilvl w:val="0"/>
          <w:numId w:val="2"/>
        </w:numPr>
        <w:spacing w:after="80" w:line="280"/>
        <w:jc w:val="both"/>
      </w:pPr>
      <w:r>
        <w:rPr>
          <w:rFonts w:ascii="Arial" w:cs="Arial" w:eastAsia="Arial" w:hAnsi="Arial"/>
          <w:b/>
          <w:bCs/>
          <w:sz w:val="22"/>
          <w:szCs w:val="22"/>
        </w:rPr>
        <w:t xml:space="preserve">Ghid de achiziții publice: </w:t>
      </w:r>
      <w:r>
        <w:rPr>
          <w:rFonts w:ascii="Arial" w:cs="Arial" w:eastAsia="Arial" w:hAnsi="Arial"/>
          <w:sz w:val="22"/>
          <w:szCs w:val="22"/>
        </w:rPr>
        <w:t xml:space="preserve">cum poate o primărie sau ONG să achiziționeze hardware compatibil prin Legea 98/2016.</w:t>
      </w:r>
    </w:p>
    <w:p>
      <w:pPr>
        <w:pStyle w:val="ListParagraph"/>
        <w:numPr>
          <w:ilvl w:val="0"/>
          <w:numId w:val="2"/>
        </w:numPr>
        <w:spacing w:after="80" w:line="280"/>
        <w:jc w:val="both"/>
      </w:pPr>
      <w:r>
        <w:rPr>
          <w:rFonts w:ascii="Arial" w:cs="Arial" w:eastAsia="Arial" w:hAnsi="Arial"/>
          <w:b/>
          <w:bCs/>
          <w:sz w:val="22"/>
          <w:szCs w:val="22"/>
        </w:rPr>
        <w:t xml:space="preserve">Blueprint tehnic de deployment: </w:t>
      </w:r>
      <w:r>
        <w:rPr>
          <w:rFonts w:ascii="Arial" w:cs="Arial" w:eastAsia="Arial" w:hAnsi="Arial"/>
          <w:sz w:val="22"/>
          <w:szCs w:val="22"/>
        </w:rPr>
        <w:t xml:space="preserve">scenarii tipice cu plasare noduri, planificare spectru, redundanță.</w:t>
      </w:r>
    </w:p>
    <w:p>
      <w:pPr>
        <w:pStyle w:val="ListParagraph"/>
        <w:numPr>
          <w:ilvl w:val="0"/>
          <w:numId w:val="2"/>
        </w:numPr>
        <w:spacing w:after="80" w:line="280"/>
        <w:jc w:val="both"/>
      </w:pPr>
      <w:r>
        <w:rPr>
          <w:rFonts w:ascii="Arial" w:cs="Arial" w:eastAsia="Arial" w:hAnsi="Arial"/>
          <w:b/>
          <w:bCs/>
          <w:sz w:val="22"/>
          <w:szCs w:val="22"/>
        </w:rPr>
        <w:t xml:space="preserve">Ghid de utilizare acceptabilă: </w:t>
      </w:r>
      <w:r>
        <w:rPr>
          <w:rFonts w:ascii="Arial" w:cs="Arial" w:eastAsia="Arial" w:hAnsi="Arial"/>
          <w:sz w:val="22"/>
          <w:szCs w:val="22"/>
        </w:rPr>
        <w:t xml:space="preserve">ce este și ce NU este permis să faci cu Signal For All.</w:t>
      </w:r>
    </w:p>
    <w:p>
      <w:pPr>
        <w:pStyle w:val="ListParagraph"/>
        <w:numPr>
          <w:ilvl w:val="0"/>
          <w:numId w:val="2"/>
        </w:numPr>
        <w:spacing w:after="80" w:line="280"/>
        <w:jc w:val="both"/>
      </w:pPr>
      <w:r>
        <w:rPr>
          <w:rFonts w:ascii="Arial" w:cs="Arial" w:eastAsia="Arial" w:hAnsi="Arial"/>
          <w:b/>
          <w:bCs/>
          <w:sz w:val="22"/>
          <w:szCs w:val="22"/>
        </w:rPr>
        <w:t xml:space="preserve">Ghid de planificare densitate: </w:t>
      </w:r>
      <w:r>
        <w:rPr>
          <w:rFonts w:ascii="Arial" w:cs="Arial" w:eastAsia="Arial" w:hAnsi="Arial"/>
          <w:sz w:val="22"/>
          <w:szCs w:val="22"/>
        </w:rPr>
        <w:t xml:space="preserve">calculatoare simple pentru estimarea utilizării spectrului în condiții agregate.</w:t>
      </w:r>
    </w:p>
    <w:p>
      <w:pPr>
        <w:pStyle w:val="ListParagraph"/>
        <w:numPr>
          <w:ilvl w:val="0"/>
          <w:numId w:val="2"/>
        </w:numPr>
        <w:spacing w:after="80" w:line="280"/>
        <w:jc w:val="both"/>
      </w:pPr>
      <w:r>
        <w:rPr>
          <w:rFonts w:ascii="Arial" w:cs="Arial" w:eastAsia="Arial" w:hAnsi="Arial"/>
          <w:b/>
          <w:bCs/>
          <w:sz w:val="22"/>
          <w:szCs w:val="22"/>
        </w:rPr>
        <w:t xml:space="preserve">Practici operaționale: </w:t>
      </w:r>
      <w:r>
        <w:rPr>
          <w:rFonts w:ascii="Arial" w:cs="Arial" w:eastAsia="Arial" w:hAnsi="Arial"/>
          <w:sz w:val="22"/>
          <w:szCs w:val="22"/>
        </w:rPr>
        <w:t xml:space="preserve">extrase din experiența partenerilor pilot, cu acordul lor.</w:t>
      </w:r>
    </w:p>
    <w:p>
      <w:pPr>
        <w:pStyle w:val="Heading3"/>
        <w:spacing w:after="120" w:before="200"/>
      </w:pPr>
      <w:r>
        <w:rPr>
          <w:rFonts w:ascii="Arial" w:cs="Arial" w:eastAsia="Arial" w:hAnsi="Arial"/>
          <w:b/>
          <w:bCs/>
          <w:color w:val="1F4E79"/>
          <w:sz w:val="23"/>
          <w:szCs w:val="23"/>
        </w:rPr>
        <w:t xml:space="preserve">Livrabile etapa 4</w:t>
      </w:r>
    </w:p>
    <w:p>
      <w:pPr>
        <w:pStyle w:val="ListParagraph"/>
        <w:numPr>
          <w:ilvl w:val="0"/>
          <w:numId w:val="2"/>
        </w:numPr>
        <w:spacing w:after="80" w:line="280"/>
        <w:jc w:val="both"/>
      </w:pPr>
      <w:r>
        <w:rPr>
          <w:rFonts w:ascii="Arial" w:cs="Arial" w:eastAsia="Arial" w:hAnsi="Arial"/>
          <w:sz w:val="22"/>
          <w:szCs w:val="22"/>
        </w:rPr>
        <w:t xml:space="preserve">Document „Institutional Adoption Framework” publicat sub licență Creative Commons.</w:t>
      </w:r>
    </w:p>
    <w:p>
      <w:pPr>
        <w:pStyle w:val="ListParagraph"/>
        <w:numPr>
          <w:ilvl w:val="0"/>
          <w:numId w:val="2"/>
        </w:numPr>
        <w:spacing w:after="80" w:line="280"/>
        <w:jc w:val="both"/>
      </w:pPr>
      <w:r>
        <w:rPr>
          <w:rFonts w:ascii="Arial" w:cs="Arial" w:eastAsia="Arial" w:hAnsi="Arial"/>
          <w:sz w:val="22"/>
          <w:szCs w:val="22"/>
        </w:rPr>
        <w:t xml:space="preserve">Versiuni RO și EN.</w:t>
      </w:r>
    </w:p>
    <w:p>
      <w:pPr>
        <w:pStyle w:val="ListParagraph"/>
        <w:numPr>
          <w:ilvl w:val="0"/>
          <w:numId w:val="2"/>
        </w:numPr>
        <w:spacing w:after="80" w:line="280"/>
        <w:jc w:val="both"/>
      </w:pPr>
      <w:r>
        <w:rPr>
          <w:rFonts w:ascii="Arial" w:cs="Arial" w:eastAsia="Arial" w:hAnsi="Arial"/>
          <w:sz w:val="22"/>
          <w:szCs w:val="22"/>
        </w:rPr>
        <w:t xml:space="preserve">Materiale derivate: prezentări, infografice, video-uri scurte.</w:t>
      </w:r>
    </w:p>
    <w:p>
      <w:pPr>
        <w:pStyle w:val="Heading2"/>
        <w:spacing w:after="160" w:before="280"/>
      </w:pPr>
      <w:r>
        <w:rPr>
          <w:rFonts w:ascii="Arial" w:cs="Arial" w:eastAsia="Arial" w:hAnsi="Arial"/>
          <w:b/>
          <w:bCs/>
          <w:color w:val="2E75B6"/>
          <w:sz w:val="26"/>
          <w:szCs w:val="26"/>
        </w:rPr>
        <w:t xml:space="preserve">Etapa 5 — Co-publicație și diseminare (paralel, ianuarie–iunie 2028)</w:t>
      </w:r>
    </w:p>
    <w:p>
      <w:pPr>
        <w:pStyle w:val="Heading3"/>
        <w:spacing w:after="120" w:before="200"/>
      </w:pPr>
      <w:r>
        <w:rPr>
          <w:rFonts w:ascii="Arial" w:cs="Arial" w:eastAsia="Arial" w:hAnsi="Arial"/>
          <w:b/>
          <w:bCs/>
          <w:color w:val="1F4E79"/>
          <w:sz w:val="23"/>
          <w:szCs w:val="23"/>
        </w:rPr>
        <w:t xml:space="preserve">Obiective</w:t>
      </w:r>
    </w:p>
    <w:p>
      <w:pPr>
        <w:pStyle w:val="ListParagraph"/>
        <w:numPr>
          <w:ilvl w:val="0"/>
          <w:numId w:val="2"/>
        </w:numPr>
        <w:spacing w:after="80" w:line="280"/>
        <w:jc w:val="both"/>
      </w:pPr>
      <w:r>
        <w:rPr>
          <w:rFonts w:ascii="Arial" w:cs="Arial" w:eastAsia="Arial" w:hAnsi="Arial"/>
          <w:sz w:val="22"/>
          <w:szCs w:val="22"/>
        </w:rPr>
        <w:t xml:space="preserve">Producerea unui studiu aplicat publicabil pe densitate de deployment, eficiență spectrală și ergonomie.</w:t>
      </w:r>
    </w:p>
    <w:p>
      <w:pPr>
        <w:pStyle w:val="ListParagraph"/>
        <w:numPr>
          <w:ilvl w:val="0"/>
          <w:numId w:val="2"/>
        </w:numPr>
        <w:spacing w:after="80" w:line="280"/>
        <w:jc w:val="both"/>
      </w:pPr>
      <w:r>
        <w:rPr>
          <w:rFonts w:ascii="Arial" w:cs="Arial" w:eastAsia="Arial" w:hAnsi="Arial"/>
          <w:sz w:val="22"/>
          <w:szCs w:val="22"/>
        </w:rPr>
        <w:t xml:space="preserve">Diseminare în comunitatea Meshtastic, NGI, accessibility, și civic tech.</w:t>
      </w:r>
    </w:p>
    <w:p>
      <w:pPr>
        <w:pStyle w:val="Heading3"/>
        <w:spacing w:after="120" w:before="200"/>
      </w:pPr>
      <w:r>
        <w:rPr>
          <w:rFonts w:ascii="Arial" w:cs="Arial" w:eastAsia="Arial" w:hAnsi="Arial"/>
          <w:b/>
          <w:bCs/>
          <w:color w:val="1F4E79"/>
          <w:sz w:val="23"/>
          <w:szCs w:val="23"/>
        </w:rPr>
        <w:t xml:space="preserve">Activități concrete</w:t>
      </w:r>
    </w:p>
    <w:p>
      <w:pPr>
        <w:pStyle w:val="ListParagraph"/>
        <w:numPr>
          <w:ilvl w:val="0"/>
          <w:numId w:val="2"/>
        </w:numPr>
        <w:spacing w:after="80" w:line="280"/>
        <w:jc w:val="both"/>
      </w:pPr>
      <w:r>
        <w:rPr>
          <w:rFonts w:ascii="Arial" w:cs="Arial" w:eastAsia="Arial" w:hAnsi="Arial"/>
          <w:b/>
          <w:bCs/>
          <w:sz w:val="22"/>
          <w:szCs w:val="22"/>
        </w:rPr>
        <w:t xml:space="preserve">Studiu tehnic aplicat: </w:t>
      </w:r>
      <w:r>
        <w:rPr>
          <w:rFonts w:ascii="Arial" w:cs="Arial" w:eastAsia="Arial" w:hAnsi="Arial"/>
          <w:sz w:val="22"/>
          <w:szCs w:val="22"/>
        </w:rPr>
        <w:t xml:space="preserve">raport tehnic cu date reale, posibil co-autorat cu o universitate parteneră.</w:t>
      </w:r>
    </w:p>
    <w:p>
      <w:pPr>
        <w:pStyle w:val="ListParagraph"/>
        <w:numPr>
          <w:ilvl w:val="0"/>
          <w:numId w:val="2"/>
        </w:numPr>
        <w:spacing w:after="80" w:line="280"/>
        <w:jc w:val="both"/>
      </w:pPr>
      <w:r>
        <w:rPr>
          <w:rFonts w:ascii="Arial" w:cs="Arial" w:eastAsia="Arial" w:hAnsi="Arial"/>
          <w:b/>
          <w:bCs/>
          <w:sz w:val="22"/>
          <w:szCs w:val="22"/>
        </w:rPr>
        <w:t xml:space="preserve">Conferințe și prezentări: </w:t>
      </w:r>
      <w:r>
        <w:rPr>
          <w:rFonts w:ascii="Arial" w:cs="Arial" w:eastAsia="Arial" w:hAnsi="Arial"/>
          <w:sz w:val="22"/>
          <w:szCs w:val="22"/>
        </w:rPr>
        <w:t xml:space="preserve">minim 3 prezentări la evenimente relevante (FOSDEM, NGI Forum, conferințe Meshtastic, RoNetwork, AccessibleEU).</w:t>
      </w:r>
    </w:p>
    <w:p>
      <w:pPr>
        <w:pStyle w:val="ListParagraph"/>
        <w:numPr>
          <w:ilvl w:val="0"/>
          <w:numId w:val="2"/>
        </w:numPr>
        <w:spacing w:after="80" w:line="280"/>
        <w:jc w:val="both"/>
      </w:pPr>
      <w:r>
        <w:rPr>
          <w:rFonts w:ascii="Arial" w:cs="Arial" w:eastAsia="Arial" w:hAnsi="Arial"/>
          <w:b/>
          <w:bCs/>
          <w:sz w:val="22"/>
          <w:szCs w:val="22"/>
        </w:rPr>
        <w:t xml:space="preserve">Articole pe blog tehnic: </w:t>
      </w:r>
      <w:r>
        <w:rPr>
          <w:rFonts w:ascii="Arial" w:cs="Arial" w:eastAsia="Arial" w:hAnsi="Arial"/>
          <w:sz w:val="22"/>
          <w:szCs w:val="22"/>
        </w:rPr>
        <w:t xml:space="preserve">minim 6 articole în limba engleză, plus 6 în română.</w:t>
      </w:r>
    </w:p>
    <w:p>
      <w:pPr>
        <w:pStyle w:val="ListParagraph"/>
        <w:numPr>
          <w:ilvl w:val="0"/>
          <w:numId w:val="2"/>
        </w:numPr>
        <w:spacing w:after="80" w:line="280"/>
        <w:jc w:val="both"/>
      </w:pPr>
      <w:r>
        <w:rPr>
          <w:rFonts w:ascii="Arial" w:cs="Arial" w:eastAsia="Arial" w:hAnsi="Arial"/>
          <w:b/>
          <w:bCs/>
          <w:sz w:val="22"/>
          <w:szCs w:val="22"/>
        </w:rPr>
        <w:t xml:space="preserve">Webinarii pentru organizații civice: </w:t>
      </w:r>
      <w:r>
        <w:rPr>
          <w:rFonts w:ascii="Arial" w:cs="Arial" w:eastAsia="Arial" w:hAnsi="Arial"/>
          <w:sz w:val="22"/>
          <w:szCs w:val="22"/>
        </w:rPr>
        <w:t xml:space="preserve">minim 2, în limba română, deschise tuturor.</w:t>
      </w:r>
    </w:p>
    <w:p>
      <w:pPr>
        <w:pStyle w:val="Heading3"/>
        <w:spacing w:after="120" w:before="200"/>
      </w:pPr>
      <w:r>
        <w:rPr>
          <w:rFonts w:ascii="Arial" w:cs="Arial" w:eastAsia="Arial" w:hAnsi="Arial"/>
          <w:b/>
          <w:bCs/>
          <w:color w:val="1F4E79"/>
          <w:sz w:val="23"/>
          <w:szCs w:val="23"/>
        </w:rPr>
        <w:t xml:space="preserve">Livrabile etapa 5</w:t>
      </w:r>
    </w:p>
    <w:p>
      <w:pPr>
        <w:pStyle w:val="ListParagraph"/>
        <w:numPr>
          <w:ilvl w:val="0"/>
          <w:numId w:val="2"/>
        </w:numPr>
        <w:spacing w:after="80" w:line="280"/>
        <w:jc w:val="both"/>
      </w:pPr>
      <w:r>
        <w:rPr>
          <w:rFonts w:ascii="Arial" w:cs="Arial" w:eastAsia="Arial" w:hAnsi="Arial"/>
          <w:sz w:val="22"/>
          <w:szCs w:val="22"/>
        </w:rPr>
        <w:t xml:space="preserve">Raport tehnic publicat (preprint și/sau Zenodo).</w:t>
      </w:r>
    </w:p>
    <w:p>
      <w:pPr>
        <w:pStyle w:val="ListParagraph"/>
        <w:numPr>
          <w:ilvl w:val="0"/>
          <w:numId w:val="2"/>
        </w:numPr>
        <w:spacing w:after="80" w:line="280"/>
        <w:jc w:val="both"/>
      </w:pPr>
      <w:r>
        <w:rPr>
          <w:rFonts w:ascii="Arial" w:cs="Arial" w:eastAsia="Arial" w:hAnsi="Arial"/>
          <w:sz w:val="22"/>
          <w:szCs w:val="22"/>
        </w:rPr>
        <w:t xml:space="preserve">Materiale de prezentare, slide-uri publice.</w:t>
      </w:r>
    </w:p>
    <w:p>
      <w:pPr>
        <w:pStyle w:val="ListParagraph"/>
        <w:numPr>
          <w:ilvl w:val="0"/>
          <w:numId w:val="2"/>
        </w:numPr>
        <w:spacing w:after="80" w:line="280"/>
        <w:jc w:val="both"/>
      </w:pPr>
      <w:r>
        <w:rPr>
          <w:rFonts w:ascii="Arial" w:cs="Arial" w:eastAsia="Arial" w:hAnsi="Arial"/>
          <w:sz w:val="22"/>
          <w:szCs w:val="22"/>
        </w:rPr>
        <w:t xml:space="preserve">Înregistrări webinarii arhivate public.</w:t>
      </w:r>
    </w:p>
    <w:p>
      <w:pPr>
        <w:pStyle w:val="Heading2"/>
        <w:spacing w:after="160" w:before="280"/>
      </w:pPr>
      <w:r>
        <w:rPr>
          <w:rFonts w:ascii="Arial" w:cs="Arial" w:eastAsia="Arial" w:hAnsi="Arial"/>
          <w:b/>
          <w:bCs/>
          <w:color w:val="2E75B6"/>
          <w:sz w:val="26"/>
          <w:szCs w:val="26"/>
        </w:rPr>
        <w:t xml:space="preserve">Etapa 6 — Evaluare finală și deschiderea Fazei a III-a (iulie–decembrie 2028)</w:t>
      </w:r>
    </w:p>
    <w:p>
      <w:pPr>
        <w:pStyle w:val="Heading3"/>
        <w:spacing w:after="120" w:before="200"/>
      </w:pPr>
      <w:r>
        <w:rPr>
          <w:rFonts w:ascii="Arial" w:cs="Arial" w:eastAsia="Arial" w:hAnsi="Arial"/>
          <w:b/>
          <w:bCs/>
          <w:color w:val="1F4E79"/>
          <w:sz w:val="23"/>
          <w:szCs w:val="23"/>
        </w:rPr>
        <w:t xml:space="preserve">Obiective</w:t>
      </w:r>
    </w:p>
    <w:p>
      <w:pPr>
        <w:pStyle w:val="ListParagraph"/>
        <w:numPr>
          <w:ilvl w:val="0"/>
          <w:numId w:val="2"/>
        </w:numPr>
        <w:spacing w:after="80" w:line="280"/>
        <w:jc w:val="both"/>
      </w:pPr>
      <w:r>
        <w:rPr>
          <w:rFonts w:ascii="Arial" w:cs="Arial" w:eastAsia="Arial" w:hAnsi="Arial"/>
          <w:sz w:val="22"/>
          <w:szCs w:val="22"/>
        </w:rPr>
        <w:t xml:space="preserve">Raport public de evaluare a Fazei a II-a.</w:t>
      </w:r>
    </w:p>
    <w:p>
      <w:pPr>
        <w:pStyle w:val="ListParagraph"/>
        <w:numPr>
          <w:ilvl w:val="0"/>
          <w:numId w:val="2"/>
        </w:numPr>
        <w:spacing w:after="80" w:line="280"/>
        <w:jc w:val="both"/>
      </w:pPr>
      <w:r>
        <w:rPr>
          <w:rFonts w:ascii="Arial" w:cs="Arial" w:eastAsia="Arial" w:hAnsi="Arial"/>
          <w:sz w:val="22"/>
          <w:szCs w:val="22"/>
        </w:rPr>
        <w:t xml:space="preserve">Decizie strategică despre Faza a III-a: scalare, replicare, sau consolidare.</w:t>
      </w:r>
    </w:p>
    <w:p>
      <w:pPr>
        <w:pStyle w:val="Heading3"/>
        <w:spacing w:after="120" w:before="200"/>
      </w:pPr>
      <w:r>
        <w:rPr>
          <w:rFonts w:ascii="Arial" w:cs="Arial" w:eastAsia="Arial" w:hAnsi="Arial"/>
          <w:b/>
          <w:bCs/>
          <w:color w:val="1F4E79"/>
          <w:sz w:val="23"/>
          <w:szCs w:val="23"/>
        </w:rPr>
        <w:t xml:space="preserve">Activități concrete</w:t>
      </w:r>
    </w:p>
    <w:p>
      <w:pPr>
        <w:pStyle w:val="ListParagraph"/>
        <w:numPr>
          <w:ilvl w:val="0"/>
          <w:numId w:val="2"/>
        </w:numPr>
        <w:spacing w:after="80" w:line="280"/>
        <w:jc w:val="both"/>
      </w:pPr>
      <w:r>
        <w:rPr>
          <w:rFonts w:ascii="Arial" w:cs="Arial" w:eastAsia="Arial" w:hAnsi="Arial"/>
          <w:b/>
          <w:bCs/>
          <w:sz w:val="22"/>
          <w:szCs w:val="22"/>
        </w:rPr>
        <w:t xml:space="preserve">Raport de evaluare: </w:t>
      </w:r>
      <w:r>
        <w:rPr>
          <w:rFonts w:ascii="Arial" w:cs="Arial" w:eastAsia="Arial" w:hAnsi="Arial"/>
          <w:sz w:val="22"/>
          <w:szCs w:val="22"/>
        </w:rPr>
        <w:t xml:space="preserve">ce a funcționat, ce nu, ce am învățat, ce recomandăm pentru următoarea cohortă de adopteri.</w:t>
      </w:r>
    </w:p>
    <w:p>
      <w:pPr>
        <w:pStyle w:val="ListParagraph"/>
        <w:numPr>
          <w:ilvl w:val="0"/>
          <w:numId w:val="2"/>
        </w:numPr>
        <w:spacing w:after="80" w:line="280"/>
        <w:jc w:val="both"/>
      </w:pPr>
      <w:r>
        <w:rPr>
          <w:rFonts w:ascii="Arial" w:cs="Arial" w:eastAsia="Arial" w:hAnsi="Arial"/>
          <w:b/>
          <w:bCs/>
          <w:sz w:val="22"/>
          <w:szCs w:val="22"/>
        </w:rPr>
        <w:t xml:space="preserve">Audit independent: </w:t>
      </w:r>
      <w:r>
        <w:rPr>
          <w:rFonts w:ascii="Arial" w:cs="Arial" w:eastAsia="Arial" w:hAnsi="Arial"/>
          <w:sz w:val="22"/>
          <w:szCs w:val="22"/>
        </w:rPr>
        <w:t xml:space="preserve">cu acordul finanțatorilor, evaluare externă a impactului.</w:t>
      </w:r>
    </w:p>
    <w:p>
      <w:pPr>
        <w:pStyle w:val="ListParagraph"/>
        <w:numPr>
          <w:ilvl w:val="0"/>
          <w:numId w:val="2"/>
        </w:numPr>
        <w:spacing w:after="80" w:line="280"/>
        <w:jc w:val="both"/>
      </w:pPr>
      <w:r>
        <w:rPr>
          <w:rFonts w:ascii="Arial" w:cs="Arial" w:eastAsia="Arial" w:hAnsi="Arial"/>
          <w:b/>
          <w:bCs/>
          <w:sz w:val="22"/>
          <w:szCs w:val="22"/>
        </w:rPr>
        <w:t xml:space="preserve">Roadmap Faza a III-a: </w:t>
      </w:r>
      <w:r>
        <w:rPr>
          <w:rFonts w:ascii="Arial" w:cs="Arial" w:eastAsia="Arial" w:hAnsi="Arial"/>
          <w:sz w:val="22"/>
          <w:szCs w:val="22"/>
        </w:rPr>
        <w:t xml:space="preserve">scenarii — replicare în alte regiuni, scalare europeană, sau intrare formală în Tier 2.</w:t>
      </w:r>
    </w:p>
    <w:p>
      <w:pPr>
        <w:pStyle w:val="ListParagraph"/>
        <w:numPr>
          <w:ilvl w:val="0"/>
          <w:numId w:val="2"/>
        </w:numPr>
        <w:spacing w:after="80" w:line="280"/>
        <w:jc w:val="both"/>
      </w:pPr>
      <w:r>
        <w:rPr>
          <w:rFonts w:ascii="Arial" w:cs="Arial" w:eastAsia="Arial" w:hAnsi="Arial"/>
          <w:b/>
          <w:bCs/>
          <w:sz w:val="22"/>
          <w:szCs w:val="22"/>
        </w:rPr>
        <w:t xml:space="preserve">Arhivare și transfer de cunoaștere: </w:t>
      </w:r>
      <w:r>
        <w:rPr>
          <w:rFonts w:ascii="Arial" w:cs="Arial" w:eastAsia="Arial" w:hAnsi="Arial"/>
          <w:sz w:val="22"/>
          <w:szCs w:val="22"/>
        </w:rPr>
        <w:t xml:space="preserve">tot materialul disponibil public sub licențe deschise.</w:t>
      </w:r>
    </w:p>
    <w:p>
      <w:pPr>
        <w:pStyle w:val="Heading3"/>
        <w:spacing w:after="120" w:before="200"/>
      </w:pPr>
      <w:r>
        <w:rPr>
          <w:rFonts w:ascii="Arial" w:cs="Arial" w:eastAsia="Arial" w:hAnsi="Arial"/>
          <w:b/>
          <w:bCs/>
          <w:color w:val="1F4E79"/>
          <w:sz w:val="23"/>
          <w:szCs w:val="23"/>
        </w:rPr>
        <w:t xml:space="preserve">Livrabile etapa 6</w:t>
      </w:r>
    </w:p>
    <w:p>
      <w:pPr>
        <w:pStyle w:val="ListParagraph"/>
        <w:numPr>
          <w:ilvl w:val="0"/>
          <w:numId w:val="2"/>
        </w:numPr>
        <w:spacing w:after="80" w:line="280"/>
        <w:jc w:val="both"/>
      </w:pPr>
      <w:r>
        <w:rPr>
          <w:rFonts w:ascii="Arial" w:cs="Arial" w:eastAsia="Arial" w:hAnsi="Arial"/>
          <w:sz w:val="22"/>
          <w:szCs w:val="22"/>
        </w:rPr>
        <w:t xml:space="preserve">Raport de evaluare Faza a II-a (RO + EN).</w:t>
      </w:r>
    </w:p>
    <w:p>
      <w:pPr>
        <w:pStyle w:val="ListParagraph"/>
        <w:numPr>
          <w:ilvl w:val="0"/>
          <w:numId w:val="2"/>
        </w:numPr>
        <w:spacing w:after="80" w:line="280"/>
        <w:jc w:val="both"/>
      </w:pPr>
      <w:r>
        <w:rPr>
          <w:rFonts w:ascii="Arial" w:cs="Arial" w:eastAsia="Arial" w:hAnsi="Arial"/>
          <w:sz w:val="22"/>
          <w:szCs w:val="22"/>
        </w:rPr>
        <w:t xml:space="preserve">Plan strategic Faza a III-a.</w:t>
      </w:r>
    </w:p>
    <w:p>
      <w:pPr>
        <w:pStyle w:val="ListParagraph"/>
        <w:numPr>
          <w:ilvl w:val="0"/>
          <w:numId w:val="2"/>
        </w:numPr>
        <w:spacing w:after="80" w:line="280"/>
        <w:jc w:val="both"/>
      </w:pPr>
      <w:r>
        <w:rPr>
          <w:rFonts w:ascii="Arial" w:cs="Arial" w:eastAsia="Arial" w:hAnsi="Arial"/>
          <w:sz w:val="22"/>
          <w:szCs w:val="22"/>
        </w:rPr>
        <w:t xml:space="preserve">Arhivă completă, deschisă, a Fazei a II-a.</w:t>
      </w:r>
    </w:p>
    <w:p>
      <w:r>
        <w:br w:type="page"/>
      </w:r>
    </w:p>
    <w:p>
      <w:pPr>
        <w:pStyle w:val="Heading1"/>
        <w:spacing w:after="200" w:before="360"/>
      </w:pPr>
      <w:r>
        <w:rPr>
          <w:rFonts w:ascii="Arial" w:cs="Arial" w:eastAsia="Arial" w:hAnsi="Arial"/>
          <w:b/>
          <w:bCs/>
          <w:color w:val="1F4E79"/>
          <w:sz w:val="32"/>
          <w:szCs w:val="32"/>
        </w:rPr>
        <w:t xml:space="preserve">6. Calendar sumar Faza a II-a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60"/>
        <w:gridCol w:w="2400"/>
      </w:tblGrid>
      <w:tr>
        <w:trPr>
          <w:tblHeader/>
        </w:trPr>
        <w:tc>
          <w:tcPr>
            <w:tcW w:type="dxa" w:w="15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Etapă</w:t>
            </w:r>
          </w:p>
        </w:tc>
        <w:tc>
          <w:tcPr>
            <w:tcW w:type="dxa" w:w="24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Perioadă</w:t>
            </w:r>
          </w:p>
        </w:tc>
        <w:tc>
          <w:tcPr>
            <w:tcW w:type="dxa" w:w="30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Focus principal</w:t>
            </w:r>
          </w:p>
        </w:tc>
        <w:tc>
          <w:tcPr>
            <w:tcW w:type="dxa" w:w="24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Livrabil-cheie</w:t>
            </w:r>
          </w:p>
        </w:tc>
      </w:tr>
      <w:tr>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1</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Ian–Mar 2027</w:t>
            </w:r>
          </w:p>
        </w:tc>
        <w:tc>
          <w:tcPr>
            <w:tcW w:type="dxa" w:w="30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Pregătire juridică, tehnică și de parteneriat</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Memoriu v2, pachet contractual, listă parteneri</w:t>
            </w:r>
          </w:p>
        </w:tc>
      </w:tr>
      <w:tr>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2</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Apr–Iun 2027</w:t>
            </w:r>
          </w:p>
        </w:tc>
        <w:tc>
          <w:tcPr>
            <w:tcW w:type="dxa" w:w="30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Onboarding parteneri, livrare hardware, instruire</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Acorduri semnate, hardware deployat</w:t>
            </w:r>
          </w:p>
        </w:tc>
      </w:tr>
      <w:tr>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3</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Iul 2027 – Mar 2028</w:t>
            </w:r>
          </w:p>
        </w:tc>
        <w:tc>
          <w:tcPr>
            <w:tcW w:type="dxa" w:w="30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Operare pilot real, suport, iterații produs</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9 luni de date operaționale, 2 release-uri</w:t>
            </w:r>
          </w:p>
        </w:tc>
      </w:tr>
      <w:tr>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4</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Sep 2027 – Mar 2028</w:t>
            </w:r>
          </w:p>
        </w:tc>
        <w:tc>
          <w:tcPr>
            <w:tcW w:type="dxa" w:w="30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Cadru de adopție instituțională</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Adoption Framework publicat</w:t>
            </w:r>
          </w:p>
        </w:tc>
      </w:tr>
      <w:tr>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5</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Ian–Iun 2028</w:t>
            </w:r>
          </w:p>
        </w:tc>
        <w:tc>
          <w:tcPr>
            <w:tcW w:type="dxa" w:w="30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Studiu aplicat, diseminare</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Raport tehnic, prezentări, webinarii</w:t>
            </w:r>
          </w:p>
        </w:tc>
      </w:tr>
      <w:tr>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6</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Iul–Dec 2028</w:t>
            </w:r>
          </w:p>
        </w:tc>
        <w:tc>
          <w:tcPr>
            <w:tcW w:type="dxa" w:w="30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Evaluare, roadmap Faza a III-a</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Raport final, plan strategic</w:t>
            </w:r>
          </w:p>
        </w:tc>
      </w:tr>
    </w:tbl>
    <w:p>
      <w:r>
        <w:br w:type="page"/>
      </w:r>
    </w:p>
    <w:p>
      <w:pPr>
        <w:pStyle w:val="Heading1"/>
        <w:spacing w:after="200" w:before="360"/>
      </w:pPr>
      <w:r>
        <w:rPr>
          <w:rFonts w:ascii="Arial" w:cs="Arial" w:eastAsia="Arial" w:hAnsi="Arial"/>
          <w:b/>
          <w:bCs/>
          <w:color w:val="1F4E79"/>
          <w:sz w:val="32"/>
          <w:szCs w:val="32"/>
        </w:rPr>
        <w:t xml:space="preserve">7. Buget detaliat Faza a II-a</w:t>
      </w:r>
    </w:p>
    <w:p>
      <w:pPr>
        <w:spacing w:after="120" w:line="300"/>
        <w:jc w:val="both"/>
      </w:pPr>
      <w:r>
        <w:rPr>
          <w:rFonts w:ascii="Arial" w:cs="Arial" w:eastAsia="Arial" w:hAnsi="Arial"/>
          <w:sz w:val="22"/>
          <w:szCs w:val="22"/>
        </w:rPr>
        <w:t xml:space="preserve">Bugetul Fazei a II-a este construit pe trei scenarii bugetare alternative, calibrate pentru diferite tipuri de finanțatori. Toate scenariile produc rezultate utile, dar diferă în profunzime, număr de parteneri și amploarea diseminării. Recomandarea strategică este Scenariul B (echilibrat), cu Scenariul C (extins) ca țintă ambițioasă dacă se obține un grant Erasmus+ KA2 sau Horizon Europe.</w:t>
      </w:r>
    </w:p>
    <w:p>
      <w:pPr>
        <w:pStyle w:val="Heading2"/>
        <w:spacing w:after="160" w:before="280"/>
      </w:pPr>
      <w:r>
        <w:rPr>
          <w:rFonts w:ascii="Arial" w:cs="Arial" w:eastAsia="Arial" w:hAnsi="Arial"/>
          <w:b/>
          <w:bCs/>
          <w:color w:val="2E75B6"/>
          <w:sz w:val="26"/>
          <w:szCs w:val="26"/>
        </w:rPr>
        <w:t xml:space="preserve">7.1 Scenariile bugetare comparate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Dimensiune</w:t>
            </w:r>
          </w:p>
        </w:tc>
        <w:tc>
          <w:tcPr>
            <w:tcW w:type="dxa" w:w="2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A — Minimal</w:t>
            </w:r>
          </w:p>
        </w:tc>
        <w:tc>
          <w:tcPr>
            <w:tcW w:type="dxa" w:w="2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B — Echilibrat</w:t>
            </w:r>
          </w:p>
        </w:tc>
        <w:tc>
          <w:tcPr>
            <w:tcW w:type="dxa" w:w="2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C — Extins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Buget total</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 75.000 EUR</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1F4E79"/>
                <w:sz w:val="20"/>
                <w:szCs w:val="20"/>
              </w:rPr>
              <w:t xml:space="preserve">≈ 150.000 EUR</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 280.000 EUR</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Durata</w:t>
            </w:r>
          </w:p>
        </w:tc>
        <w:tc>
          <w:tcPr>
            <w:tcW w:type="dxa" w:w="2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18 luni</w:t>
            </w:r>
          </w:p>
        </w:tc>
        <w:tc>
          <w:tcPr>
            <w:tcW w:type="dxa" w:w="2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24 luni</w:t>
            </w:r>
          </w:p>
        </w:tc>
        <w:tc>
          <w:tcPr>
            <w:tcW w:type="dxa" w:w="2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30 luni</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Parteneri pilot</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2</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3</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5</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Personal (FTE-luni echivalent)</w:t>
            </w:r>
          </w:p>
        </w:tc>
        <w:tc>
          <w:tcPr>
            <w:tcW w:type="dxa" w:w="2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12</w:t>
            </w:r>
          </w:p>
        </w:tc>
        <w:tc>
          <w:tcPr>
            <w:tcW w:type="dxa" w:w="2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24</w:t>
            </w:r>
          </w:p>
        </w:tc>
        <w:tc>
          <w:tcPr>
            <w:tcW w:type="dxa" w:w="2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48</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Acoperire geografică</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Local (1–2 județe)</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Național (3–4 județe)</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Național + 1 țară parteneră</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Diseminare</w:t>
            </w:r>
          </w:p>
        </w:tc>
        <w:tc>
          <w:tcPr>
            <w:tcW w:type="dxa" w:w="2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Raport intern + 1 conferință</w:t>
            </w:r>
          </w:p>
        </w:tc>
        <w:tc>
          <w:tcPr>
            <w:tcW w:type="dxa" w:w="2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Framework public + 3 conferințe</w:t>
            </w:r>
          </w:p>
        </w:tc>
        <w:tc>
          <w:tcPr>
            <w:tcW w:type="dxa" w:w="2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Studiu peer-reviewed + 6 conferințe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Finanțatori potriviți</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18"/>
                <w:szCs w:val="18"/>
              </w:rPr>
              <w:t xml:space="preserve">NGI Commons, NLnet, AFCN, FDSC</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18"/>
                <w:szCs w:val="18"/>
              </w:rPr>
              <w:t xml:space="preserve">NGI0 Core, Erasmus+ KA2, SEE</w:t>
            </w:r>
          </w:p>
        </w:tc>
        <w:tc>
          <w:tcPr>
            <w:tcW w:type="dxa" w:w="2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18"/>
                <w:szCs w:val="18"/>
              </w:rPr>
              <w:t xml:space="preserve">Horizon Europe, CERV consortium</w:t>
            </w:r>
          </w:p>
        </w:tc>
      </w:tr>
    </w:tbl>
    <w:p>
      <w:r>
        <w:br w:type="page"/>
      </w:r>
    </w:p>
    <w:p>
      <w:pPr>
        <w:pStyle w:val="Heading2"/>
        <w:spacing w:after="160" w:before="280"/>
      </w:pPr>
      <w:r>
        <w:rPr>
          <w:rFonts w:ascii="Arial" w:cs="Arial" w:eastAsia="Arial" w:hAnsi="Arial"/>
          <w:b/>
          <w:bCs/>
          <w:color w:val="2E75B6"/>
          <w:sz w:val="26"/>
          <w:szCs w:val="26"/>
        </w:rPr>
        <w:t xml:space="preserve">7.2 Scenariul B — buget detaliat (recomandat)</w:t>
      </w:r>
    </w:p>
    <w:p>
      <w:pPr>
        <w:spacing w:after="120" w:line="300"/>
        <w:jc w:val="both"/>
      </w:pPr>
      <w:r>
        <w:rPr>
          <w:rFonts w:ascii="Arial" w:cs="Arial" w:eastAsia="Arial" w:hAnsi="Arial"/>
          <w:sz w:val="22"/>
          <w:szCs w:val="22"/>
        </w:rPr>
        <w:t xml:space="preserve">Scenariul B este sweet-spot-ul: 24 luni, 3 parteneri pilot, framework public publicat, diseminare consistentă fără supraextensie. Bugetul de mai jos este detaliat pe categorii și sub-categorii, exprimat în EUR, pe baza prețurilor pieței din România în 2026 pentru organizațiile non-profit.</w:t>
      </w:r>
    </w:p>
    <w:p>
      <w:pPr>
        <w:pStyle w:val="Heading3"/>
        <w:spacing w:after="120" w:before="200"/>
      </w:pPr>
      <w:r>
        <w:rPr>
          <w:rFonts w:ascii="Arial" w:cs="Arial" w:eastAsia="Arial" w:hAnsi="Arial"/>
          <w:b/>
          <w:bCs/>
          <w:color w:val="1F4E79"/>
          <w:sz w:val="23"/>
          <w:szCs w:val="23"/>
        </w:rPr>
        <w:t xml:space="preserve">Categoria 1 — Resurse umane (133.000 EUR,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320"/>
        <w:gridCol w:w="1320"/>
        <w:gridCol w:w="1320"/>
        <w:gridCol w:w="2040"/>
      </w:tblGrid>
      <w:tr>
        <w:trPr>
          <w:tblHeader/>
        </w:trPr>
        <w:tc>
          <w:tcPr>
            <w:tcW w:type="dxa" w:w="33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Rol</w:t>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FTE</w:t>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Luni</w:t>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Tarif/lună</w:t>
            </w:r>
          </w:p>
        </w:tc>
        <w:tc>
          <w:tcPr>
            <w:tcW w:type="dxa" w:w="204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Total EUR</w:t>
            </w:r>
          </w:p>
        </w:tc>
      </w:tr>
      <w:tr>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Coordonator pilot și parteneriate</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0.5</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24</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3.000</w:t>
            </w:r>
          </w:p>
        </w:tc>
        <w:tc>
          <w:tcPr>
            <w:tcW w:type="dxa" w:w="20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36.000</w:t>
            </w:r>
          </w:p>
        </w:tc>
      </w:tr>
      <w:tr>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Dezvoltator software senior (iterații, suport)</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0.5</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24</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4.000</w:t>
            </w:r>
          </w:p>
        </w:tc>
        <w:tc>
          <w:tcPr>
            <w:tcW w:type="dxa" w:w="20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48.000</w:t>
            </w:r>
          </w:p>
        </w:tc>
      </w:tr>
      <w:tr>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Specialist accesibilitate (UX, validare cu utilizatori)</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0.4</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12</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3.000</w:t>
            </w:r>
          </w:p>
        </w:tc>
        <w:tc>
          <w:tcPr>
            <w:tcW w:type="dxa" w:w="20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14.400</w:t>
            </w:r>
          </w:p>
        </w:tc>
      </w:tr>
      <w:tr>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Tehnician teren (deployment, instruire, vizite)</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0.3</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18</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2.500</w:t>
            </w:r>
          </w:p>
        </w:tc>
        <w:tc>
          <w:tcPr>
            <w:tcW w:type="dxa" w:w="20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13.500</w:t>
            </w:r>
          </w:p>
        </w:tc>
      </w:tr>
      <w:tr>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Cercetător / autor framework (analiză, redactare)</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0.3</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12</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3.000</w:t>
            </w:r>
          </w:p>
        </w:tc>
        <w:tc>
          <w:tcPr>
            <w:tcW w:type="dxa" w:w="20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10.800</w:t>
            </w:r>
          </w:p>
        </w:tc>
      </w:tr>
      <w:tr>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Comunicare și diseminare</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0.2</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18</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2.500</w:t>
            </w:r>
          </w:p>
        </w:tc>
        <w:tc>
          <w:tcPr>
            <w:tcW w:type="dxa" w:w="20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9.000</w:t>
            </w:r>
          </w:p>
        </w:tc>
      </w:tr>
      <w:tr>
        <w:tc>
          <w:tcPr>
            <w:tcW w:type="dxa" w:w="33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Subtotal categoria 1</w:t>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
            </w:r>
          </w:p>
        </w:tc>
        <w:tc>
          <w:tcPr>
            <w:tcW w:type="dxa" w:w="204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131.700</w:t>
            </w:r>
          </w:p>
        </w:tc>
      </w:tr>
    </w:tbl>
    <w:p>
      <w:pPr>
        <w:pBdr>
          <w:left w:val="single" w:color="2E75B6" w:sz="24" w:space="12"/>
        </w:pBdr>
        <w:spacing w:after="160" w:before="160" w:line="300"/>
        <w:ind w:left="240"/>
        <w:jc w:val="both"/>
      </w:pPr>
      <w:r>
        <w:rPr>
          <w:rFonts w:ascii="Arial" w:cs="Arial" w:eastAsia="Arial" w:hAnsi="Arial"/>
          <w:i/>
          <w:iCs/>
          <w:color w:val="595959"/>
          <w:sz w:val="22"/>
          <w:szCs w:val="22"/>
        </w:rPr>
        <w:t xml:space="preserve">Tarifele sunt brute, includ toate contribuțiile angajator. Pentru contracte de prestări servicii (PFA / SRL), tarifele net-companie sunt comparabile. Persoanele cu deficiențe vizuale implicate în testare sunt remunerate ca consultanți (incluse în categoria „Consultanță și expertiză externă”).</w:t>
      </w:r>
    </w:p>
    <w:p>
      <w:pPr>
        <w:pStyle w:val="Heading3"/>
        <w:spacing w:after="120" w:before="200"/>
      </w:pPr>
      <w:r>
        <w:rPr>
          <w:rFonts w:ascii="Arial" w:cs="Arial" w:eastAsia="Arial" w:hAnsi="Arial"/>
          <w:b/>
          <w:bCs/>
          <w:color w:val="1F4E79"/>
          <w:sz w:val="23"/>
          <w:szCs w:val="23"/>
        </w:rPr>
        <w:t xml:space="preserve">Categoria 2 — Hardware și echipamente (10.800 EUR,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320"/>
        <w:gridCol w:w="1320"/>
        <w:gridCol w:w="2160"/>
      </w:tblGrid>
      <w:tr>
        <w:trPr>
          <w:tblHeader/>
        </w:trPr>
        <w:tc>
          <w:tcPr>
            <w:tcW w:type="dxa" w:w="45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Element</w:t>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Cant.</w:t>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Preț unit.</w:t>
            </w:r>
          </w:p>
        </w:tc>
        <w:tc>
          <w:tcPr>
            <w:tcW w:type="dxa" w:w="21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Total EUR</w:t>
            </w:r>
          </w:p>
        </w:tc>
      </w:tr>
      <w:tr>
        <w:tc>
          <w:tcPr>
            <w:tcW w:type="dxa" w:w="4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Noduri Meshtastic LILYGO/Heltec/RAK pentru parteneri (3 × 15)</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45</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65</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2.925</w:t>
            </w:r>
          </w:p>
        </w:tc>
      </w:tr>
      <w:tr>
        <w:tc>
          <w:tcPr>
            <w:tcW w:type="dxa" w:w="45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Noduri spare și pentru testare internă</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15</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65</w:t>
            </w:r>
          </w:p>
        </w:tc>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975</w:t>
            </w:r>
          </w:p>
        </w:tc>
      </w:tr>
      <w:tr>
        <w:tc>
          <w:tcPr>
            <w:tcW w:type="dxa" w:w="4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Antene exterioare 868 MHz (gateway-uri pilot)</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12</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80</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960</w:t>
            </w:r>
          </w:p>
        </w:tc>
      </w:tr>
      <w:tr>
        <w:tc>
          <w:tcPr>
            <w:tcW w:type="dxa" w:w="45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Baterii LiPo, panouri solare mici, încărcătoare</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60</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25</w:t>
            </w:r>
          </w:p>
        </w:tc>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1.500</w:t>
            </w:r>
          </w:p>
        </w:tc>
      </w:tr>
      <w:tr>
        <w:tc>
          <w:tcPr>
            <w:tcW w:type="dxa" w:w="4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Carcase rezistente, suporți, materiale instalare</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60</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30</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1.800</w:t>
            </w:r>
          </w:p>
        </w:tc>
      </w:tr>
      <w:tr>
        <w:tc>
          <w:tcPr>
            <w:tcW w:type="dxa" w:w="45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Telefoane Android pentru testare (utilizatori cu deficiențe vizuale)</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4</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280</w:t>
            </w:r>
          </w:p>
        </w:tc>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1.120</w:t>
            </w:r>
          </w:p>
        </w:tc>
      </w:tr>
      <w:tr>
        <w:tc>
          <w:tcPr>
            <w:tcW w:type="dxa" w:w="4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Echipamente măsurare RF (analizor spectru, GPS, multimetru)</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1.500</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1.500</w:t>
            </w:r>
          </w:p>
        </w:tc>
      </w:tr>
      <w:tr>
        <w:tc>
          <w:tcPr>
            <w:tcW w:type="dxa" w:w="45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Subtotal categoria 2</w:t>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
            </w:r>
          </w:p>
        </w:tc>
        <w:tc>
          <w:tcPr>
            <w:tcW w:type="dxa" w:w="21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10.780</w:t>
            </w:r>
          </w:p>
        </w:tc>
      </w:tr>
    </w:tbl>
    <w:p>
      <w:pPr>
        <w:pStyle w:val="Heading3"/>
        <w:spacing w:after="120" w:before="200"/>
      </w:pPr>
      <w:r>
        <w:rPr>
          <w:rFonts w:ascii="Arial" w:cs="Arial" w:eastAsia="Arial" w:hAnsi="Arial"/>
          <w:b/>
          <w:bCs/>
          <w:color w:val="1F4E79"/>
          <w:sz w:val="23"/>
          <w:szCs w:val="23"/>
        </w:rPr>
        <w:t xml:space="preserve">Categoria 3 — Consultanță și expertiză externă (12.500 EUR,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1680"/>
        <w:gridCol w:w="2160"/>
      </w:tblGrid>
      <w:tr>
        <w:trPr>
          <w:tblHeader/>
        </w:trPr>
        <w:tc>
          <w:tcPr>
            <w:tcW w:type="dxa" w:w="55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Tip serviciu</w:t>
            </w:r>
          </w:p>
        </w:tc>
        <w:tc>
          <w:tcPr>
            <w:tcW w:type="dxa" w:w="1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Volum</w:t>
            </w:r>
          </w:p>
        </w:tc>
        <w:tc>
          <w:tcPr>
            <w:tcW w:type="dxa" w:w="21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Total EUR</w:t>
            </w:r>
          </w:p>
        </w:tc>
      </w:tr>
      <w:tr>
        <w:tc>
          <w:tcPr>
            <w:tcW w:type="dxa" w:w="5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Consultanță juridică — drept administrativ și TIC, achiziții publice</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60 ore</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4.500</w:t>
            </w:r>
          </w:p>
        </w:tc>
      </w:tr>
      <w:tr>
        <w:tc>
          <w:tcPr>
            <w:tcW w:type="dxa" w:w="55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Consultanță GDPR și DPIA pentru pilot</w:t>
            </w:r>
          </w:p>
        </w:tc>
        <w:tc>
          <w:tcPr>
            <w:tcW w:type="dxa" w:w="1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30 ore</w:t>
            </w:r>
          </w:p>
        </w:tc>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1.800</w:t>
            </w:r>
          </w:p>
        </w:tc>
      </w:tr>
      <w:tr>
        <w:tc>
          <w:tcPr>
            <w:tcW w:type="dxa" w:w="5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Taxe și consultanță ANCOM (avizare densitate, duty cycle)</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forfait</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2.000</w:t>
            </w:r>
          </w:p>
        </w:tc>
      </w:tr>
      <w:tr>
        <w:tc>
          <w:tcPr>
            <w:tcW w:type="dxa" w:w="55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Consultanți utilizatori cu deficiențe vizuale (validare UX)</w:t>
            </w:r>
          </w:p>
        </w:tc>
        <w:tc>
          <w:tcPr>
            <w:tcW w:type="dxa" w:w="1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4 × 50 ore</w:t>
            </w:r>
          </w:p>
        </w:tc>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3.000</w:t>
            </w:r>
          </w:p>
        </w:tc>
      </w:tr>
      <w:tr>
        <w:tc>
          <w:tcPr>
            <w:tcW w:type="dxa" w:w="5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Audit independent extern (Etapa 6)</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forfait</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1.200</w:t>
            </w:r>
          </w:p>
        </w:tc>
      </w:tr>
      <w:tr>
        <w:tc>
          <w:tcPr>
            <w:tcW w:type="dxa" w:w="55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Subtotal categoria 3</w:t>
            </w:r>
          </w:p>
        </w:tc>
        <w:tc>
          <w:tcPr>
            <w:tcW w:type="dxa" w:w="1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
            </w:r>
          </w:p>
        </w:tc>
        <w:tc>
          <w:tcPr>
            <w:tcW w:type="dxa" w:w="21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12.500</w:t>
            </w:r>
          </w:p>
        </w:tc>
      </w:tr>
    </w:tbl>
    <w:p>
      <w:pPr>
        <w:pStyle w:val="Heading3"/>
        <w:spacing w:after="120" w:before="200"/>
      </w:pPr>
      <w:r>
        <w:rPr>
          <w:rFonts w:ascii="Arial" w:cs="Arial" w:eastAsia="Arial" w:hAnsi="Arial"/>
          <w:b/>
          <w:bCs/>
          <w:color w:val="1F4E79"/>
          <w:sz w:val="23"/>
          <w:szCs w:val="23"/>
        </w:rPr>
        <w:t xml:space="preserve">Categoria 4 — Deplasări și activitate teren (8.200 EUR,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1680"/>
        <w:gridCol w:w="2160"/>
      </w:tblGrid>
      <w:tr>
        <w:trPr>
          <w:tblHeader/>
        </w:trPr>
        <w:tc>
          <w:tcPr>
            <w:tcW w:type="dxa" w:w="55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Tip cheltuială</w:t>
            </w:r>
          </w:p>
        </w:tc>
        <w:tc>
          <w:tcPr>
            <w:tcW w:type="dxa" w:w="1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Volum</w:t>
            </w:r>
          </w:p>
        </w:tc>
        <w:tc>
          <w:tcPr>
            <w:tcW w:type="dxa" w:w="21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Total EUR</w:t>
            </w:r>
          </w:p>
        </w:tc>
      </w:tr>
      <w:tr>
        <w:tc>
          <w:tcPr>
            <w:tcW w:type="dxa" w:w="5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Deplasări lunare la parteneri (3 parteneri × 18 luni)</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54 deplasări</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3.240</w:t>
            </w:r>
          </w:p>
        </w:tc>
      </w:tr>
      <w:tr>
        <w:tc>
          <w:tcPr>
            <w:tcW w:type="dxa" w:w="55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Conferințe internaționale (FOSDEM, NGI Forum, alte)</w:t>
            </w:r>
          </w:p>
        </w:tc>
        <w:tc>
          <w:tcPr>
            <w:tcW w:type="dxa" w:w="1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3 × 800</w:t>
            </w:r>
          </w:p>
        </w:tc>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2.400</w:t>
            </w:r>
          </w:p>
        </w:tc>
      </w:tr>
      <w:tr>
        <w:tc>
          <w:tcPr>
            <w:tcW w:type="dxa" w:w="5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Conferințe naționale și webinarii live</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4 × 250</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1.000</w:t>
            </w:r>
          </w:p>
        </w:tc>
      </w:tr>
      <w:tr>
        <w:tc>
          <w:tcPr>
            <w:tcW w:type="dxa" w:w="55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Cazare exerciții comune cu parteneri</w:t>
            </w:r>
          </w:p>
        </w:tc>
        <w:tc>
          <w:tcPr>
            <w:tcW w:type="dxa" w:w="1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forfait</w:t>
            </w:r>
          </w:p>
        </w:tc>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1.560</w:t>
            </w:r>
          </w:p>
        </w:tc>
      </w:tr>
      <w:tr>
        <w:tc>
          <w:tcPr>
            <w:tcW w:type="dxa" w:w="55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Subtotal categoria 4</w:t>
            </w:r>
          </w:p>
        </w:tc>
        <w:tc>
          <w:tcPr>
            <w:tcW w:type="dxa" w:w="1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
            </w:r>
          </w:p>
        </w:tc>
        <w:tc>
          <w:tcPr>
            <w:tcW w:type="dxa" w:w="21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8.200</w:t>
            </w:r>
          </w:p>
        </w:tc>
      </w:tr>
    </w:tbl>
    <w:p>
      <w:pPr>
        <w:pStyle w:val="Heading3"/>
        <w:spacing w:after="120" w:before="200"/>
      </w:pPr>
      <w:r>
        <w:rPr>
          <w:rFonts w:ascii="Arial" w:cs="Arial" w:eastAsia="Arial" w:hAnsi="Arial"/>
          <w:b/>
          <w:bCs/>
          <w:color w:val="1F4E79"/>
          <w:sz w:val="23"/>
          <w:szCs w:val="23"/>
        </w:rPr>
        <w:t xml:space="preserve">Categoria 5 — Producție conținut și diseminare (5.800 EUR,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1680"/>
        <w:gridCol w:w="2160"/>
      </w:tblGrid>
      <w:tr>
        <w:trPr>
          <w:tblHeader/>
        </w:trPr>
        <w:tc>
          <w:tcPr>
            <w:tcW w:type="dxa" w:w="55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Element</w:t>
            </w:r>
          </w:p>
        </w:tc>
        <w:tc>
          <w:tcPr>
            <w:tcW w:type="dxa" w:w="1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Volum</w:t>
            </w:r>
          </w:p>
        </w:tc>
        <w:tc>
          <w:tcPr>
            <w:tcW w:type="dxa" w:w="21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Total EUR</w:t>
            </w:r>
          </w:p>
        </w:tc>
      </w:tr>
      <w:tr>
        <w:tc>
          <w:tcPr>
            <w:tcW w:type="dxa" w:w="5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Producție video onboarding (subtitrate, audio-descrise)</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8 video</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1.800</w:t>
            </w:r>
          </w:p>
        </w:tc>
      </w:tr>
      <w:tr>
        <w:tc>
          <w:tcPr>
            <w:tcW w:type="dxa" w:w="55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Traduceri profesionale RO ↔ EN (framework, raport)</w:t>
            </w:r>
          </w:p>
        </w:tc>
        <w:tc>
          <w:tcPr>
            <w:tcW w:type="dxa" w:w="1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100 pag</w:t>
            </w:r>
          </w:p>
        </w:tc>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1.500</w:t>
            </w:r>
          </w:p>
        </w:tc>
      </w:tr>
      <w:tr>
        <w:tc>
          <w:tcPr>
            <w:tcW w:type="dxa" w:w="5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Design grafic (infografice, layout-uri PDF)</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forfait</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1.200</w:t>
            </w:r>
          </w:p>
        </w:tc>
      </w:tr>
      <w:tr>
        <w:tc>
          <w:tcPr>
            <w:tcW w:type="dxa" w:w="55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Hosting, domain, infrastructură web pilot</w:t>
            </w:r>
          </w:p>
        </w:tc>
        <w:tc>
          <w:tcPr>
            <w:tcW w:type="dxa" w:w="1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24 luni</w:t>
            </w:r>
          </w:p>
        </w:tc>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600</w:t>
            </w:r>
          </w:p>
        </w:tc>
      </w:tr>
      <w:tr>
        <w:tc>
          <w:tcPr>
            <w:tcW w:type="dxa" w:w="5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Tipărire materiale onboarding (Braille, font mare)</w:t>
            </w:r>
          </w:p>
        </w:tc>
        <w:tc>
          <w:tcPr>
            <w:tcW w:type="dxa" w:w="1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forfait</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700</w:t>
            </w:r>
          </w:p>
        </w:tc>
      </w:tr>
      <w:tr>
        <w:tc>
          <w:tcPr>
            <w:tcW w:type="dxa" w:w="55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Subtotal categoria 5</w:t>
            </w:r>
          </w:p>
        </w:tc>
        <w:tc>
          <w:tcPr>
            <w:tcW w:type="dxa" w:w="1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
            </w:r>
          </w:p>
        </w:tc>
        <w:tc>
          <w:tcPr>
            <w:tcW w:type="dxa" w:w="21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5.800</w:t>
            </w:r>
          </w:p>
        </w:tc>
      </w:tr>
    </w:tbl>
    <w:p>
      <w:r>
        <w:br w:type="page"/>
      </w:r>
    </w:p>
    <w:p>
      <w:pPr>
        <w:pStyle w:val="Heading3"/>
        <w:spacing w:after="120" w:before="200"/>
      </w:pPr>
      <w:r>
        <w:rPr>
          <w:rFonts w:ascii="Arial" w:cs="Arial" w:eastAsia="Arial" w:hAnsi="Arial"/>
          <w:b/>
          <w:bCs/>
          <w:color w:val="1F4E79"/>
          <w:sz w:val="23"/>
          <w:szCs w:val="23"/>
        </w:rPr>
        <w:t xml:space="preserve">Categoria 6 — Cheltuieli administrative și indirecte (10%)</w:t>
      </w:r>
    </w:p>
    <w:p>
      <w:pPr>
        <w:spacing w:after="120" w:line="300"/>
        <w:jc w:val="both"/>
      </w:pPr>
      <w:r>
        <w:rPr>
          <w:rFonts w:ascii="Arial" w:cs="Arial" w:eastAsia="Arial" w:hAnsi="Arial"/>
          <w:sz w:val="22"/>
          <w:szCs w:val="22"/>
        </w:rPr>
        <w:t xml:space="preserve">Conform regulilor uzuale ale finanțatorilor europeni, cheltuielile indirecte (utilități birou, contabilitate, audit financiar, software de bază) se calculează ca rată fixă de 10% din costurile directe.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Costuri directe (categoriile 1–5)</w:t>
            </w:r>
          </w:p>
        </w:tc>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168.980 EUR</w:t>
            </w:r>
          </w:p>
        </w:tc>
      </w:tr>
      <w:tr>
        <w:tc>
          <w:tcPr>
            <w:tcW w:type="dxa" w:w="7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Indirecte 10%</w:t>
            </w:r>
          </w:p>
        </w:tc>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16.898 EUR</w:t>
            </w:r>
          </w:p>
        </w:tc>
      </w:tr>
    </w:tbl>
    <w:p>
      <w:pPr>
        <w:pStyle w:val="Heading2"/>
        <w:spacing w:after="160" w:before="280"/>
      </w:pPr>
      <w:r>
        <w:rPr>
          <w:rFonts w:ascii="Arial" w:cs="Arial" w:eastAsia="Arial" w:hAnsi="Arial"/>
          <w:b/>
          <w:bCs/>
          <w:color w:val="2E75B6"/>
          <w:sz w:val="26"/>
          <w:szCs w:val="26"/>
        </w:rPr>
        <w:t xml:space="preserve">7.3 Total Scenariul B și distribuție anuală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Categorie</w:t>
            </w:r>
          </w:p>
        </w:tc>
        <w:tc>
          <w:tcPr>
            <w:tcW w:type="dxa" w:w="234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EUR</w:t>
            </w:r>
          </w:p>
        </w:tc>
        <w:tc>
          <w:tcPr>
            <w:tcW w:type="dxa" w:w="234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 din total</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1. Resurse umane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131.700</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70.9%</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2. Hardware și echipamente</w:t>
            </w:r>
          </w:p>
        </w:tc>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10.780</w:t>
            </w:r>
          </w:p>
        </w:tc>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5.8%</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3. Consultanță și expertiză externă</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12.500</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6.7%</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4. Deplasări și activitate teren</w:t>
            </w:r>
          </w:p>
        </w:tc>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8.200</w:t>
            </w:r>
          </w:p>
        </w:tc>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4.4%</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5. Producție conținut și diseminare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5.800</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3.1%</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6. Cheltuieli indirecte (10%)</w:t>
            </w:r>
          </w:p>
        </w:tc>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16.898</w:t>
            </w:r>
          </w:p>
        </w:tc>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9.1%</w:t>
            </w:r>
          </w:p>
        </w:tc>
      </w:tr>
      <w:tr>
        <w:tc>
          <w:tcPr>
            <w:tcW w:type="dxa" w:w="4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TOTAL</w:t>
            </w:r>
          </w:p>
        </w:tc>
        <w:tc>
          <w:tcPr>
            <w:tcW w:type="dxa" w:w="234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1F4E79"/>
                <w:sz w:val="20"/>
                <w:szCs w:val="20"/>
              </w:rPr>
              <w:t xml:space="preserve">185.878 EUR</w:t>
            </w:r>
          </w:p>
        </w:tc>
        <w:tc>
          <w:tcPr>
            <w:tcW w:type="dxa" w:w="234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100%</w:t>
            </w:r>
          </w:p>
        </w:tc>
      </w:tr>
    </w:tbl>
    <w:p>
      <w:pPr>
        <w:pBdr>
          <w:left w:val="single" w:color="2E75B6" w:sz="24" w:space="12"/>
        </w:pBdr>
        <w:spacing w:after="160" w:before="160" w:line="300"/>
        <w:ind w:left="240"/>
        <w:jc w:val="both"/>
      </w:pPr>
      <w:r>
        <w:rPr>
          <w:rFonts w:ascii="Arial" w:cs="Arial" w:eastAsia="Arial" w:hAnsi="Arial"/>
          <w:i/>
          <w:iCs/>
          <w:color w:val="595959"/>
          <w:sz w:val="22"/>
          <w:szCs w:val="22"/>
        </w:rPr>
        <w:t xml:space="preserve">Bugetul real pentru Scenariul B este 185.878 EUR — mai mare decât estimarea inițială de 150.000 EUR din cauza detalierii. Pentru aplicații de grant cu plafon strict, primul element care se reduce este categoria 1 (resurse umane), prin ajustarea procentajelor FTE.</w:t>
      </w:r>
    </w:p>
    <w:p>
      <w:pPr>
        <w:pStyle w:val="Heading2"/>
        <w:spacing w:after="160" w:before="280"/>
      </w:pPr>
      <w:r>
        <w:rPr>
          <w:rFonts w:ascii="Arial" w:cs="Arial" w:eastAsia="Arial" w:hAnsi="Arial"/>
          <w:b/>
          <w:bCs/>
          <w:color w:val="2E75B6"/>
          <w:sz w:val="26"/>
          <w:szCs w:val="26"/>
        </w:rPr>
        <w:t xml:space="preserve">7.4 Distribuție anuală cash-flow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Categorie</w:t>
            </w:r>
          </w:p>
        </w:tc>
        <w:tc>
          <w:tcPr>
            <w:tcW w:type="dxa" w:w="20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An 1 (2027)</w:t>
            </w:r>
          </w:p>
        </w:tc>
        <w:tc>
          <w:tcPr>
            <w:tcW w:type="dxa" w:w="20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An 2 (2028)</w:t>
            </w:r>
          </w:p>
        </w:tc>
        <w:tc>
          <w:tcPr>
            <w:tcW w:type="dxa" w:w="20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Total</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Resurse umane</w:t>
            </w:r>
          </w:p>
        </w:tc>
        <w:tc>
          <w:tcPr>
            <w:tcW w:type="dxa" w:w="20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65.850</w:t>
            </w:r>
          </w:p>
        </w:tc>
        <w:tc>
          <w:tcPr>
            <w:tcW w:type="dxa" w:w="20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65.850</w:t>
            </w:r>
          </w:p>
        </w:tc>
        <w:tc>
          <w:tcPr>
            <w:tcW w:type="dxa" w:w="20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131.700</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Hardware (frontload)</w:t>
            </w:r>
          </w:p>
        </w:tc>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9.000</w:t>
            </w:r>
          </w:p>
        </w:tc>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1.780</w:t>
            </w:r>
          </w:p>
        </w:tc>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10.780</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Consultanță</w:t>
            </w:r>
          </w:p>
        </w:tc>
        <w:tc>
          <w:tcPr>
            <w:tcW w:type="dxa" w:w="20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8.000</w:t>
            </w:r>
          </w:p>
        </w:tc>
        <w:tc>
          <w:tcPr>
            <w:tcW w:type="dxa" w:w="20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4.500</w:t>
            </w:r>
          </w:p>
        </w:tc>
        <w:tc>
          <w:tcPr>
            <w:tcW w:type="dxa" w:w="20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12.500</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Deplasări</w:t>
            </w:r>
          </w:p>
        </w:tc>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3.500</w:t>
            </w:r>
          </w:p>
        </w:tc>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4.700</w:t>
            </w:r>
          </w:p>
        </w:tc>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8.200</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Conținut</w:t>
            </w:r>
          </w:p>
        </w:tc>
        <w:tc>
          <w:tcPr>
            <w:tcW w:type="dxa" w:w="20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1.500</w:t>
            </w:r>
          </w:p>
        </w:tc>
        <w:tc>
          <w:tcPr>
            <w:tcW w:type="dxa" w:w="20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4.300</w:t>
            </w:r>
          </w:p>
        </w:tc>
        <w:tc>
          <w:tcPr>
            <w:tcW w:type="dxa" w:w="20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5.800</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Indirecte</w:t>
            </w:r>
          </w:p>
        </w:tc>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8.785</w:t>
            </w:r>
          </w:p>
        </w:tc>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i w:val="false"/>
                <w:iCs w:val="false"/>
                <w:color w:val="000000"/>
                <w:sz w:val="20"/>
                <w:szCs w:val="20"/>
              </w:rPr>
              <w:t xml:space="preserve">8.113</w:t>
            </w:r>
          </w:p>
        </w:tc>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16.898</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TOTAL ANUAL</w:t>
            </w:r>
          </w:p>
        </w:tc>
        <w:tc>
          <w:tcPr>
            <w:tcW w:type="dxa" w:w="20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96.635</w:t>
            </w:r>
          </w:p>
        </w:tc>
        <w:tc>
          <w:tcPr>
            <w:tcW w:type="dxa" w:w="20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89.243</w:t>
            </w:r>
          </w:p>
        </w:tc>
        <w:tc>
          <w:tcPr>
            <w:tcW w:type="dxa" w:w="20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1F4E79"/>
                <w:sz w:val="20"/>
                <w:szCs w:val="20"/>
              </w:rPr>
              <w:t xml:space="preserve">185.878</w:t>
            </w:r>
          </w:p>
        </w:tc>
      </w:tr>
    </w:tbl>
    <w:p>
      <w:pPr>
        <w:pStyle w:val="Heading2"/>
        <w:spacing w:after="160" w:before="280"/>
      </w:pPr>
      <w:r>
        <w:rPr>
          <w:rFonts w:ascii="Arial" w:cs="Arial" w:eastAsia="Arial" w:hAnsi="Arial"/>
          <w:b/>
          <w:bCs/>
          <w:color w:val="2E75B6"/>
          <w:sz w:val="26"/>
          <w:szCs w:val="26"/>
        </w:rPr>
        <w:t xml:space="preserve">7.5 Surse de cofinanțare in-kind (non-bugetare)</w:t>
      </w:r>
    </w:p>
    <w:p>
      <w:pPr>
        <w:spacing w:after="120" w:line="300"/>
        <w:jc w:val="both"/>
      </w:pPr>
      <w:r>
        <w:rPr>
          <w:rFonts w:ascii="Arial" w:cs="Arial" w:eastAsia="Arial" w:hAnsi="Arial"/>
          <w:sz w:val="22"/>
          <w:szCs w:val="22"/>
        </w:rPr>
        <w:t xml:space="preserve">În plus față de bugetul cash, Faza a II-a beneficiază de contribuții in-kind care reduc presiunea pe finanțarea principală și demonstrează ecosistem matur:</w:t>
      </w:r>
    </w:p>
    <w:p>
      <w:pPr>
        <w:pStyle w:val="ListParagraph"/>
        <w:numPr>
          <w:ilvl w:val="0"/>
          <w:numId w:val="2"/>
        </w:numPr>
        <w:spacing w:after="80" w:line="280"/>
        <w:jc w:val="both"/>
      </w:pPr>
      <w:r>
        <w:rPr>
          <w:rFonts w:ascii="Arial" w:cs="Arial" w:eastAsia="Arial" w:hAnsi="Arial"/>
          <w:b/>
          <w:bCs/>
          <w:sz w:val="22"/>
          <w:szCs w:val="22"/>
        </w:rPr>
        <w:t xml:space="preserve">Voluntariat parteneri Tier 1: </w:t>
      </w:r>
      <w:r>
        <w:rPr>
          <w:rFonts w:ascii="Arial" w:cs="Arial" w:eastAsia="Arial" w:hAnsi="Arial"/>
          <w:sz w:val="22"/>
          <w:szCs w:val="22"/>
        </w:rPr>
        <w:t xml:space="preserve">ore de operare reală în pilot, estimate la ~2.000 ore × 15 EUR = 30.000 EUR echivalent.</w:t>
      </w:r>
    </w:p>
    <w:p>
      <w:pPr>
        <w:pStyle w:val="ListParagraph"/>
        <w:numPr>
          <w:ilvl w:val="0"/>
          <w:numId w:val="2"/>
        </w:numPr>
        <w:spacing w:after="80" w:line="280"/>
        <w:jc w:val="both"/>
      </w:pPr>
      <w:r>
        <w:rPr>
          <w:rFonts w:ascii="Arial" w:cs="Arial" w:eastAsia="Arial" w:hAnsi="Arial"/>
          <w:b/>
          <w:bCs/>
          <w:sz w:val="22"/>
          <w:szCs w:val="22"/>
        </w:rPr>
        <w:t xml:space="preserve">Donații hardware potențiale: </w:t>
      </w:r>
      <w:r>
        <w:rPr>
          <w:rFonts w:ascii="Arial" w:cs="Arial" w:eastAsia="Arial" w:hAnsi="Arial"/>
          <w:sz w:val="22"/>
          <w:szCs w:val="22"/>
        </w:rPr>
        <w:t xml:space="preserve">producători Meshtastic-compatibili pot oferi noduri de evaluare gratuit (~3.000 EUR echivalent).</w:t>
      </w:r>
    </w:p>
    <w:p>
      <w:pPr>
        <w:pStyle w:val="ListParagraph"/>
        <w:numPr>
          <w:ilvl w:val="0"/>
          <w:numId w:val="2"/>
        </w:numPr>
        <w:spacing w:after="80" w:line="280"/>
        <w:jc w:val="both"/>
      </w:pPr>
      <w:r>
        <w:rPr>
          <w:rFonts w:ascii="Arial" w:cs="Arial" w:eastAsia="Arial" w:hAnsi="Arial"/>
          <w:b/>
          <w:bCs/>
          <w:sz w:val="22"/>
          <w:szCs w:val="22"/>
        </w:rPr>
        <w:t xml:space="preserve">Spațiu birou și utilități asociație: </w:t>
      </w:r>
      <w:r>
        <w:rPr>
          <w:rFonts w:ascii="Arial" w:cs="Arial" w:eastAsia="Arial" w:hAnsi="Arial"/>
          <w:sz w:val="22"/>
          <w:szCs w:val="22"/>
        </w:rPr>
        <w:t xml:space="preserve">estimat 6.000 EUR pe 24 luni.</w:t>
      </w:r>
    </w:p>
    <w:p>
      <w:pPr>
        <w:pStyle w:val="ListParagraph"/>
        <w:numPr>
          <w:ilvl w:val="0"/>
          <w:numId w:val="2"/>
        </w:numPr>
        <w:spacing w:after="80" w:line="280"/>
        <w:jc w:val="both"/>
      </w:pPr>
      <w:r>
        <w:rPr>
          <w:rFonts w:ascii="Arial" w:cs="Arial" w:eastAsia="Arial" w:hAnsi="Arial"/>
          <w:b/>
          <w:bCs/>
          <w:sz w:val="22"/>
          <w:szCs w:val="22"/>
        </w:rPr>
        <w:t xml:space="preserve">Pro-bono juridic și comunicare: </w:t>
      </w:r>
      <w:r>
        <w:rPr>
          <w:rFonts w:ascii="Arial" w:cs="Arial" w:eastAsia="Arial" w:hAnsi="Arial"/>
          <w:sz w:val="22"/>
          <w:szCs w:val="22"/>
        </w:rPr>
        <w:t xml:space="preserve">potențial prin parteneriate cu firme de avocatură interesate de proiecte civic tech (~3.000 EUR echivalent).</w:t>
      </w:r>
    </w:p>
    <w:p>
      <w:pPr>
        <w:pStyle w:val="ListParagraph"/>
        <w:numPr>
          <w:ilvl w:val="0"/>
          <w:numId w:val="2"/>
        </w:numPr>
        <w:spacing w:after="80" w:line="280"/>
        <w:jc w:val="both"/>
      </w:pPr>
      <w:r>
        <w:rPr>
          <w:rFonts w:ascii="Arial" w:cs="Arial" w:eastAsia="Arial" w:hAnsi="Arial"/>
          <w:b/>
          <w:bCs/>
          <w:sz w:val="22"/>
          <w:szCs w:val="22"/>
        </w:rPr>
        <w:t xml:space="preserve">Cofinanțare prin alte proiecte: </w:t>
      </w:r>
      <w:r>
        <w:rPr>
          <w:rFonts w:ascii="Arial" w:cs="Arial" w:eastAsia="Arial" w:hAnsi="Arial"/>
          <w:sz w:val="22"/>
          <w:szCs w:val="22"/>
        </w:rPr>
        <w:t xml:space="preserve">dacă asociația are alte granturi care permit overlap pe activități de comunicare/diseminare.</w:t>
      </w:r>
    </w:p>
    <w:p>
      <w:pPr>
        <w:pBdr>
          <w:left w:val="single" w:color="1F4E79" w:sz="24" w:space="12"/>
        </w:pBdr>
        <w:spacing w:after="160" w:before="160" w:line="300"/>
        <w:ind w:left="240"/>
        <w:jc w:val="both"/>
      </w:pPr>
      <w:r>
        <w:rPr>
          <w:rFonts w:ascii="Arial" w:cs="Arial" w:eastAsia="Arial" w:hAnsi="Arial"/>
          <w:i/>
          <w:iCs/>
          <w:color w:val="595959"/>
          <w:sz w:val="22"/>
          <w:szCs w:val="22"/>
        </w:rPr>
        <w:t xml:space="preserve">TOTAL VALOARE PROIECT (cash + in-kind) ≈ 230.000 EUR. Această cifră este utilă în aplicațiile de grant pentru a demonstra impactul real și sustenabilitatea.</w:t>
      </w:r>
    </w:p>
    <w:p>
      <w:r>
        <w:br w:type="page"/>
      </w:r>
    </w:p>
    <w:p>
      <w:pPr>
        <w:pStyle w:val="Heading1"/>
        <w:spacing w:after="200" w:before="360"/>
      </w:pPr>
      <w:r>
        <w:rPr>
          <w:rFonts w:ascii="Arial" w:cs="Arial" w:eastAsia="Arial" w:hAnsi="Arial"/>
          <w:b/>
          <w:bCs/>
          <w:color w:val="1F4E79"/>
          <w:sz w:val="32"/>
          <w:szCs w:val="32"/>
        </w:rPr>
        <w:t xml:space="preserve">8. Surse de finanțare potențiale</w:t>
      </w:r>
    </w:p>
    <w:p>
      <w:pPr>
        <w:pStyle w:val="Heading2"/>
        <w:spacing w:after="160" w:before="280"/>
      </w:pPr>
      <w:r>
        <w:rPr>
          <w:rFonts w:ascii="Arial" w:cs="Arial" w:eastAsia="Arial" w:hAnsi="Arial"/>
          <w:b/>
          <w:bCs/>
          <w:color w:val="2E75B6"/>
          <w:sz w:val="26"/>
          <w:szCs w:val="26"/>
        </w:rPr>
        <w:t xml:space="preserve">Surse europene primare</w:t>
      </w:r>
    </w:p>
    <w:p>
      <w:pPr>
        <w:pStyle w:val="ListParagraph"/>
        <w:numPr>
          <w:ilvl w:val="0"/>
          <w:numId w:val="2"/>
        </w:numPr>
        <w:spacing w:after="80" w:line="280"/>
        <w:jc w:val="both"/>
      </w:pPr>
      <w:r>
        <w:rPr>
          <w:rFonts w:ascii="Arial" w:cs="Arial" w:eastAsia="Arial" w:hAnsi="Arial"/>
          <w:b/>
          <w:bCs/>
          <w:sz w:val="22"/>
          <w:szCs w:val="22"/>
        </w:rPr>
        <w:t xml:space="preserve">NGI0 Core / NGI Commons Fund (NLnet): </w:t>
      </w:r>
      <w:r>
        <w:rPr>
          <w:rFonts w:ascii="Arial" w:cs="Arial" w:eastAsia="Arial" w:hAnsi="Arial"/>
          <w:sz w:val="22"/>
          <w:szCs w:val="22"/>
        </w:rPr>
        <w:t xml:space="preserve">fit excelent pe Faza a II-a — open-source, infrastructure, civic resilience. Bugete tipice 50–300k EUR.</w:t>
      </w:r>
    </w:p>
    <w:p>
      <w:pPr>
        <w:pStyle w:val="ListParagraph"/>
        <w:numPr>
          <w:ilvl w:val="0"/>
          <w:numId w:val="2"/>
        </w:numPr>
        <w:spacing w:after="80" w:line="280"/>
        <w:jc w:val="both"/>
      </w:pPr>
      <w:r>
        <w:rPr>
          <w:rFonts w:ascii="Arial" w:cs="Arial" w:eastAsia="Arial" w:hAnsi="Arial"/>
          <w:b/>
          <w:bCs/>
          <w:sz w:val="22"/>
          <w:szCs w:val="22"/>
        </w:rPr>
        <w:t xml:space="preserve">Erasmus+ Strategic Partnerships KA2: </w:t>
      </w:r>
      <w:r>
        <w:rPr>
          <w:rFonts w:ascii="Arial" w:cs="Arial" w:eastAsia="Arial" w:hAnsi="Arial"/>
          <w:sz w:val="22"/>
          <w:szCs w:val="22"/>
        </w:rPr>
        <w:t xml:space="preserve">dacă incluzi o componentă educațională (instruire, cursuri pentru voluntari).</w:t>
      </w:r>
    </w:p>
    <w:p>
      <w:pPr>
        <w:pStyle w:val="ListParagraph"/>
        <w:numPr>
          <w:ilvl w:val="0"/>
          <w:numId w:val="2"/>
        </w:numPr>
        <w:spacing w:after="80" w:line="280"/>
        <w:jc w:val="both"/>
      </w:pPr>
      <w:r>
        <w:rPr>
          <w:rFonts w:ascii="Arial" w:cs="Arial" w:eastAsia="Arial" w:hAnsi="Arial"/>
          <w:b/>
          <w:bCs/>
          <w:sz w:val="22"/>
          <w:szCs w:val="22"/>
        </w:rPr>
        <w:t xml:space="preserve">CERV (Citizens, Equality, Rights and Values): </w:t>
      </w:r>
      <w:r>
        <w:rPr>
          <w:rFonts w:ascii="Arial" w:cs="Arial" w:eastAsia="Arial" w:hAnsi="Arial"/>
          <w:sz w:val="22"/>
          <w:szCs w:val="22"/>
        </w:rPr>
        <w:t xml:space="preserve">componentă de incluziune digitală pentru persoane cu dizabilități.</w:t>
      </w:r>
    </w:p>
    <w:p>
      <w:pPr>
        <w:pStyle w:val="ListParagraph"/>
        <w:numPr>
          <w:ilvl w:val="0"/>
          <w:numId w:val="2"/>
        </w:numPr>
        <w:spacing w:after="80" w:line="280"/>
        <w:jc w:val="both"/>
      </w:pPr>
      <w:r>
        <w:rPr>
          <w:rFonts w:ascii="Arial" w:cs="Arial" w:eastAsia="Arial" w:hAnsi="Arial"/>
          <w:b/>
          <w:bCs/>
          <w:sz w:val="22"/>
          <w:szCs w:val="22"/>
        </w:rPr>
        <w:t xml:space="preserve">Horizon Europe — Cluster 2 (Civic Engagement): </w:t>
      </w:r>
      <w:r>
        <w:rPr>
          <w:rFonts w:ascii="Arial" w:cs="Arial" w:eastAsia="Arial" w:hAnsi="Arial"/>
          <w:sz w:val="22"/>
          <w:szCs w:val="22"/>
        </w:rPr>
        <w:t xml:space="preserve">ca partener într-un consorțiu mai mare, nu lead.</w:t>
      </w:r>
    </w:p>
    <w:p>
      <w:pPr>
        <w:pStyle w:val="Heading2"/>
        <w:spacing w:after="160" w:before="280"/>
      </w:pPr>
      <w:r>
        <w:rPr>
          <w:rFonts w:ascii="Arial" w:cs="Arial" w:eastAsia="Arial" w:hAnsi="Arial"/>
          <w:b/>
          <w:bCs/>
          <w:color w:val="2E75B6"/>
          <w:sz w:val="26"/>
          <w:szCs w:val="26"/>
        </w:rPr>
        <w:t xml:space="preserve">Surse naționale și regionale</w:t>
      </w:r>
    </w:p>
    <w:p>
      <w:pPr>
        <w:pStyle w:val="ListParagraph"/>
        <w:numPr>
          <w:ilvl w:val="0"/>
          <w:numId w:val="2"/>
        </w:numPr>
        <w:spacing w:after="80" w:line="280"/>
        <w:jc w:val="both"/>
      </w:pPr>
      <w:r>
        <w:rPr>
          <w:rFonts w:ascii="Arial" w:cs="Arial" w:eastAsia="Arial" w:hAnsi="Arial"/>
          <w:b/>
          <w:bCs/>
          <w:sz w:val="22"/>
          <w:szCs w:val="22"/>
        </w:rPr>
        <w:t xml:space="preserve">AFCN — Programul Cultural Național: </w:t>
      </w:r>
      <w:r>
        <w:rPr>
          <w:rFonts w:ascii="Arial" w:cs="Arial" w:eastAsia="Arial" w:hAnsi="Arial"/>
          <w:sz w:val="22"/>
          <w:szCs w:val="22"/>
        </w:rPr>
        <w:t xml:space="preserve">componentă de patrimoniu accesibil sau cultură digitală.</w:t>
      </w:r>
    </w:p>
    <w:p>
      <w:pPr>
        <w:pStyle w:val="ListParagraph"/>
        <w:numPr>
          <w:ilvl w:val="0"/>
          <w:numId w:val="2"/>
        </w:numPr>
        <w:spacing w:after="80" w:line="280"/>
        <w:jc w:val="both"/>
      </w:pPr>
      <w:r>
        <w:rPr>
          <w:rFonts w:ascii="Arial" w:cs="Arial" w:eastAsia="Arial" w:hAnsi="Arial"/>
          <w:b/>
          <w:bCs/>
          <w:sz w:val="22"/>
          <w:szCs w:val="22"/>
        </w:rPr>
        <w:t xml:space="preserve">FDSC — Fondul ONG: </w:t>
      </w:r>
      <w:r>
        <w:rPr>
          <w:rFonts w:ascii="Arial" w:cs="Arial" w:eastAsia="Arial" w:hAnsi="Arial"/>
          <w:sz w:val="22"/>
          <w:szCs w:val="22"/>
        </w:rPr>
        <w:t xml:space="preserve">ramuri de digital civic și incluziune.</w:t>
      </w:r>
    </w:p>
    <w:p>
      <w:pPr>
        <w:pStyle w:val="ListParagraph"/>
        <w:numPr>
          <w:ilvl w:val="0"/>
          <w:numId w:val="2"/>
        </w:numPr>
        <w:spacing w:after="80" w:line="280"/>
        <w:jc w:val="both"/>
      </w:pPr>
      <w:r>
        <w:rPr>
          <w:rFonts w:ascii="Arial" w:cs="Arial" w:eastAsia="Arial" w:hAnsi="Arial"/>
          <w:b/>
          <w:bCs/>
          <w:sz w:val="22"/>
          <w:szCs w:val="22"/>
        </w:rPr>
        <w:t xml:space="preserve">PNRR Componenta Digitalizare: </w:t>
      </w:r>
      <w:r>
        <w:rPr>
          <w:rFonts w:ascii="Arial" w:cs="Arial" w:eastAsia="Arial" w:hAnsi="Arial"/>
          <w:sz w:val="22"/>
          <w:szCs w:val="22"/>
        </w:rPr>
        <w:t xml:space="preserve">verificare oportunități în 2026–2027 pentru ONG-uri.</w:t>
      </w:r>
    </w:p>
    <w:p>
      <w:pPr>
        <w:pStyle w:val="ListParagraph"/>
        <w:numPr>
          <w:ilvl w:val="0"/>
          <w:numId w:val="2"/>
        </w:numPr>
        <w:spacing w:after="80" w:line="280"/>
        <w:jc w:val="both"/>
      </w:pPr>
      <w:r>
        <w:rPr>
          <w:rFonts w:ascii="Arial" w:cs="Arial" w:eastAsia="Arial" w:hAnsi="Arial"/>
          <w:b/>
          <w:bCs/>
          <w:sz w:val="22"/>
          <w:szCs w:val="22"/>
        </w:rPr>
        <w:t xml:space="preserve">Granturi SEE / Norvegiene: </w:t>
      </w:r>
      <w:r>
        <w:rPr>
          <w:rFonts w:ascii="Arial" w:cs="Arial" w:eastAsia="Arial" w:hAnsi="Arial"/>
          <w:sz w:val="22"/>
          <w:szCs w:val="22"/>
        </w:rPr>
        <w:t xml:space="preserve">axa de societate civilă.</w:t>
      </w:r>
    </w:p>
    <w:p>
      <w:pPr>
        <w:pStyle w:val="Heading2"/>
        <w:spacing w:after="160" w:before="280"/>
      </w:pPr>
      <w:r>
        <w:rPr>
          <w:rFonts w:ascii="Arial" w:cs="Arial" w:eastAsia="Arial" w:hAnsi="Arial"/>
          <w:b/>
          <w:bCs/>
          <w:color w:val="2E75B6"/>
          <w:sz w:val="26"/>
          <w:szCs w:val="26"/>
        </w:rPr>
        <w:t xml:space="preserve">Surse private și filantropice</w:t>
      </w:r>
    </w:p>
    <w:p>
      <w:pPr>
        <w:pStyle w:val="ListParagraph"/>
        <w:numPr>
          <w:ilvl w:val="0"/>
          <w:numId w:val="2"/>
        </w:numPr>
        <w:spacing w:after="80" w:line="280"/>
        <w:jc w:val="both"/>
      </w:pPr>
      <w:r>
        <w:rPr>
          <w:rFonts w:ascii="Arial" w:cs="Arial" w:eastAsia="Arial" w:hAnsi="Arial"/>
          <w:b/>
          <w:bCs/>
          <w:sz w:val="22"/>
          <w:szCs w:val="22"/>
        </w:rPr>
        <w:t xml:space="preserve">Mozilla Foundation Awards: </w:t>
      </w:r>
      <w:r>
        <w:rPr>
          <w:rFonts w:ascii="Arial" w:cs="Arial" w:eastAsia="Arial" w:hAnsi="Arial"/>
          <w:sz w:val="22"/>
          <w:szCs w:val="22"/>
        </w:rPr>
        <w:t xml:space="preserve">open-source, internet health, accessibility.</w:t>
      </w:r>
    </w:p>
    <w:p>
      <w:pPr>
        <w:pStyle w:val="ListParagraph"/>
        <w:numPr>
          <w:ilvl w:val="0"/>
          <w:numId w:val="2"/>
        </w:numPr>
        <w:spacing w:after="80" w:line="280"/>
        <w:jc w:val="both"/>
      </w:pPr>
      <w:r>
        <w:rPr>
          <w:rFonts w:ascii="Arial" w:cs="Arial" w:eastAsia="Arial" w:hAnsi="Arial"/>
          <w:b/>
          <w:bCs/>
          <w:sz w:val="22"/>
          <w:szCs w:val="22"/>
        </w:rPr>
        <w:t xml:space="preserve">Internet Society Foundation: </w:t>
      </w:r>
      <w:r>
        <w:rPr>
          <w:rFonts w:ascii="Arial" w:cs="Arial" w:eastAsia="Arial" w:hAnsi="Arial"/>
          <w:sz w:val="22"/>
          <w:szCs w:val="22"/>
        </w:rPr>
        <w:t xml:space="preserve">infrastructură comunitară de internet.</w:t>
      </w:r>
    </w:p>
    <w:p>
      <w:pPr>
        <w:pStyle w:val="ListParagraph"/>
        <w:numPr>
          <w:ilvl w:val="0"/>
          <w:numId w:val="2"/>
        </w:numPr>
        <w:spacing w:after="80" w:line="280"/>
        <w:jc w:val="both"/>
      </w:pPr>
      <w:r>
        <w:rPr>
          <w:rFonts w:ascii="Arial" w:cs="Arial" w:eastAsia="Arial" w:hAnsi="Arial"/>
          <w:b/>
          <w:bCs/>
          <w:sz w:val="22"/>
          <w:szCs w:val="22"/>
        </w:rPr>
        <w:t xml:space="preserve">Sponsorizări corporate: </w:t>
      </w:r>
      <w:r>
        <w:rPr>
          <w:rFonts w:ascii="Arial" w:cs="Arial" w:eastAsia="Arial" w:hAnsi="Arial"/>
          <w:sz w:val="22"/>
          <w:szCs w:val="22"/>
        </w:rPr>
        <w:t xml:space="preserve">Microsoft Accessibility Grants, Google.org, programe CSR.</w:t>
      </w:r>
    </w:p>
    <w:p>
      <w:pPr>
        <w:pStyle w:val="ListParagraph"/>
        <w:numPr>
          <w:ilvl w:val="0"/>
          <w:numId w:val="2"/>
        </w:numPr>
        <w:spacing w:after="80" w:line="280"/>
        <w:jc w:val="both"/>
      </w:pPr>
      <w:r>
        <w:rPr>
          <w:rFonts w:ascii="Arial" w:cs="Arial" w:eastAsia="Arial" w:hAnsi="Arial"/>
          <w:b/>
          <w:bCs/>
          <w:sz w:val="22"/>
          <w:szCs w:val="22"/>
        </w:rPr>
        <w:t xml:space="preserve">Donații hardware: </w:t>
      </w:r>
      <w:r>
        <w:rPr>
          <w:rFonts w:ascii="Arial" w:cs="Arial" w:eastAsia="Arial" w:hAnsi="Arial"/>
          <w:sz w:val="22"/>
          <w:szCs w:val="22"/>
        </w:rPr>
        <w:t xml:space="preserve">producători Meshtastic-compatibili (LILYGO, RAK, Heltec) pentru reducerea costurilor.</w:t>
      </w:r>
    </w:p>
    <w:p>
      <w:pPr>
        <w:pStyle w:val="Heading2"/>
        <w:spacing w:after="160" w:before="280"/>
      </w:pPr>
      <w:r>
        <w:rPr>
          <w:rFonts w:ascii="Arial" w:cs="Arial" w:eastAsia="Arial" w:hAnsi="Arial"/>
          <w:b/>
          <w:bCs/>
          <w:color w:val="2E75B6"/>
          <w:sz w:val="26"/>
          <w:szCs w:val="26"/>
        </w:rPr>
        <w:t xml:space="preserve">Strategie recomandată</w:t>
      </w:r>
    </w:p>
    <w:p>
      <w:pPr>
        <w:spacing w:after="120" w:line="300"/>
        <w:jc w:val="both"/>
      </w:pPr>
      <w:r>
        <w:rPr>
          <w:rFonts w:ascii="Arial" w:cs="Arial" w:eastAsia="Arial" w:hAnsi="Arial"/>
          <w:sz w:val="22"/>
          <w:szCs w:val="22"/>
        </w:rPr>
        <w:t xml:space="preserve">Combinație de 2–3 surse: un grant principal NGI sau Erasmus+ ca ancoră (60–70% din buget), un grant național complementar pentru componente specifice (15–20%), și sponsorizări in-kind (hardware, servicii pro-bono) pentru rest. Această diversificare reduce dependența de un singur finanțator și demonstrează maturitate organizațională.</w:t>
      </w:r>
    </w:p>
    <w:p>
      <w:r>
        <w:br w:type="page"/>
      </w:r>
    </w:p>
    <w:p>
      <w:pPr>
        <w:pStyle w:val="Heading1"/>
        <w:spacing w:after="200" w:before="360"/>
      </w:pPr>
      <w:r>
        <w:rPr>
          <w:rFonts w:ascii="Arial" w:cs="Arial" w:eastAsia="Arial" w:hAnsi="Arial"/>
          <w:b/>
          <w:bCs/>
          <w:color w:val="1F4E79"/>
          <w:sz w:val="32"/>
          <w:szCs w:val="32"/>
        </w:rPr>
        <w:t xml:space="preserve">9. Riscuri și strategii de mitigare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Risc</w:t>
            </w:r>
          </w:p>
        </w:tc>
        <w:tc>
          <w:tcPr>
            <w:tcW w:type="dxa" w:w="12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Probabil.</w:t>
            </w:r>
          </w:p>
        </w:tc>
        <w:tc>
          <w:tcPr>
            <w:tcW w:type="dxa" w:w="12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Impact</w:t>
            </w:r>
          </w:p>
        </w:tc>
        <w:tc>
          <w:tcPr>
            <w:tcW w:type="dxa" w:w="39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Mitigare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Utilizare în context de urgență reală cu rezultat negativ — risc reputațional invers</w:t>
            </w:r>
          </w:p>
        </w:tc>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BF8F00"/>
                <w:sz w:val="20"/>
                <w:szCs w:val="20"/>
              </w:rPr>
              <w:t xml:space="preserve">Medie</w:t>
            </w:r>
          </w:p>
        </w:tc>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C00000"/>
                <w:sz w:val="20"/>
                <w:szCs w:val="20"/>
              </w:rPr>
              <w:t xml:space="preserve">Foarte mare</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Acceptable Use Policy explicit, training obligatoriu, disclaimer în aplicație, comunicare publică clară despre limite</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ANCOM impune restricții suplimentare pe densitate de deployment</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548235"/>
                <w:sz w:val="20"/>
                <w:szCs w:val="20"/>
              </w:rPr>
              <w:t xml:space="preserve">Scăzută</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BF8F00"/>
                <w:sz w:val="20"/>
                <w:szCs w:val="20"/>
              </w:rPr>
              <w:t xml:space="preserve">Mediu</w:t>
            </w:r>
          </w:p>
        </w:tc>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Consultare formală timpurie în Etapa 1, monitorizare duty cycle agregat, scenarii alternative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Parteneri pilot abandonează în cursul programului</w:t>
            </w:r>
          </w:p>
        </w:tc>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BF8F00"/>
                <w:sz w:val="20"/>
                <w:szCs w:val="20"/>
              </w:rPr>
              <w:t xml:space="preserve">Medie</w:t>
            </w:r>
          </w:p>
        </w:tc>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BF8F00"/>
                <w:sz w:val="20"/>
                <w:szCs w:val="20"/>
              </w:rPr>
              <w:t xml:space="preserve">Mediu</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Pre-calificare riguroasă, contract clar cu obligații reciproce, listă scurtă de rezervă, suport activ</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Confuzie publică între Signal For All și sisteme oficiale de urgență</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BF8F00"/>
                <w:sz w:val="20"/>
                <w:szCs w:val="20"/>
              </w:rPr>
              <w:t xml:space="preserve">Medie</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C00000"/>
                <w:sz w:val="20"/>
                <w:szCs w:val="20"/>
              </w:rPr>
              <w:t xml:space="preserve">Mare</w:t>
            </w:r>
          </w:p>
        </w:tc>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Disclaimer consistent în toate materialele, refuz politicos al titulaturilor incorecte în media, mesaj de boot în aplicație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Insuficientă finanțare pentru întreaga durată</w:t>
            </w:r>
          </w:p>
        </w:tc>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BF8F00"/>
                <w:sz w:val="20"/>
                <w:szCs w:val="20"/>
              </w:rPr>
              <w:t xml:space="preserve">Medie</w:t>
            </w:r>
          </w:p>
        </w:tc>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C00000"/>
                <w:sz w:val="20"/>
                <w:szCs w:val="20"/>
              </w:rPr>
              <w:t xml:space="preserve">Mare</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Diversificare surse, plan de scalare-jos, etape modulare care pot fi livrate independent</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Probleme tehnice nerezolvate în Faza I</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548235"/>
                <w:sz w:val="20"/>
                <w:szCs w:val="20"/>
              </w:rPr>
              <w:t xml:space="preserve">Scăzută</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C00000"/>
                <w:sz w:val="20"/>
                <w:szCs w:val="20"/>
              </w:rPr>
              <w:t xml:space="preserve">Mare</w:t>
            </w:r>
          </w:p>
        </w:tc>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Decizie Go/No-Go la finalul Fazei I, etapă opțională de consolidare tehnică în primul trimestru</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GDPR — date personale colectate prin STT/telemetrie</w:t>
            </w:r>
          </w:p>
        </w:tc>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548235"/>
                <w:sz w:val="20"/>
                <w:szCs w:val="20"/>
              </w:rPr>
              <w:t xml:space="preserve">Scăzută</w:t>
            </w:r>
          </w:p>
        </w:tc>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BF8F00"/>
                <w:sz w:val="20"/>
                <w:szCs w:val="20"/>
              </w:rPr>
              <w:t xml:space="preserve">Mediu</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STT preferabil on-device (Whisper local), telemetrie consensuală și anonimizată, DPA cu parteneri</w:t>
            </w:r>
          </w:p>
        </w:tc>
      </w:tr>
      <w:tr>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Conflict cu sisteme oficiale (TETRA, etc.) sau cu autoritățile</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548235"/>
                <w:sz w:val="20"/>
                <w:szCs w:val="20"/>
              </w:rPr>
              <w:t xml:space="preserve">Foarte scăzută</w:t>
            </w:r>
          </w:p>
        </w:tc>
        <w:tc>
          <w:tcPr>
            <w:tcW w:type="dxa" w:w="1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C00000"/>
                <w:sz w:val="20"/>
                <w:szCs w:val="20"/>
              </w:rPr>
              <w:t xml:space="preserve">Foarte mare</w:t>
            </w:r>
          </w:p>
        </w:tc>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Poziționare consecventă „supplementary, non-emergency”, dialog deschis cu autoritățile, transparență completă</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Apariția unui competitor open-source matur (Reticulum cu interfețe utilizator maturizate) care erodează propunerea de valoare unică</w:t>
            </w:r>
          </w:p>
        </w:tc>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BF8F00"/>
                <w:sz w:val="20"/>
                <w:szCs w:val="20"/>
              </w:rPr>
              <w:t xml:space="preserve">Medie pe termen mediu</w:t>
            </w:r>
          </w:p>
        </w:tc>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BF8F00"/>
                <w:sz w:val="20"/>
                <w:szCs w:val="20"/>
              </w:rPr>
              <w:t xml:space="preserve">Mediu</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Abstracție arhitecturală: aplicația Signal For All poate folosi multiple straturi de transport (Meshtastic acum, eventual Reticulum). Diferențierea reală e accessibility-native UX, nu transportul. Monitorizare ecosistem și parteneriate cu comunitatea Reticulum.</w:t>
            </w:r>
          </w:p>
        </w:tc>
      </w:tr>
    </w:tbl>
    <w:p>
      <w:r>
        <w:br w:type="page"/>
      </w:r>
    </w:p>
    <w:p>
      <w:pPr>
        <w:pStyle w:val="Heading1"/>
        <w:spacing w:after="200" w:before="360"/>
      </w:pPr>
      <w:r>
        <w:rPr>
          <w:rFonts w:ascii="Arial" w:cs="Arial" w:eastAsia="Arial" w:hAnsi="Arial"/>
          <w:b/>
          <w:bCs/>
          <w:color w:val="1F4E79"/>
          <w:sz w:val="32"/>
          <w:szCs w:val="32"/>
        </w:rPr>
        <w:t xml:space="preserve">9.5. Poziționare competitivă în ecosistem</w:t>
      </w:r>
    </w:p>
    <w:p>
      <w:pPr>
        <w:spacing w:after="120" w:line="300"/>
        <w:jc w:val="both"/>
      </w:pPr>
      <w:r>
        <w:rPr>
          <w:rFonts w:ascii="Arial" w:cs="Arial" w:eastAsia="Arial" w:hAnsi="Arial"/>
          <w:sz w:val="22"/>
          <w:szCs w:val="22"/>
        </w:rPr>
        <w:t xml:space="preserve">Spațiul soluțiilor de comunicații descentralizate este în creștere rapidă. Pentru claritate strategică internă și externă, Faza a II-a documentează explicit unde se poziționează Signal For All față de alternativele relevante și de ce Meshtastic rămâne alegerea de transport corectă pentru această fază.</w:t>
      </w:r>
    </w:p>
    <w:p>
      <w:pPr>
        <w:pStyle w:val="Heading2"/>
        <w:spacing w:after="160" w:before="280"/>
      </w:pPr>
      <w:r>
        <w:rPr>
          <w:rFonts w:ascii="Arial" w:cs="Arial" w:eastAsia="Arial" w:hAnsi="Arial"/>
          <w:b/>
          <w:bCs/>
          <w:color w:val="2E75B6"/>
          <w:sz w:val="26"/>
          <w:szCs w:val="26"/>
        </w:rPr>
        <w:t xml:space="preserve">Alternative tehnologice luate în calcul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Soluție</w:t>
            </w:r>
          </w:p>
        </w:tc>
        <w:tc>
          <w:tcPr>
            <w:tcW w:type="dxa" w:w="24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Puncte forte</w:t>
            </w:r>
          </w:p>
        </w:tc>
        <w:tc>
          <w:tcPr>
            <w:tcW w:type="dxa" w:w="24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Puncte slabe pentru misiunea Signal For All</w:t>
            </w:r>
          </w:p>
        </w:tc>
        <w:tc>
          <w:tcPr>
            <w:tcW w:type="dxa" w:w="24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Verdict 2027</w:t>
            </w:r>
          </w:p>
        </w:tc>
      </w:tr>
      <w:tr>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548235"/>
                <w:sz w:val="20"/>
                <w:szCs w:val="20"/>
              </w:rPr>
              <w:t xml:space="preserve">Meshtastic</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Hardware accesibil (~25 EUR/nod), comunitate vastă, aplicații mature pe Android, ecosistem activ în România</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Limitare la ~80 noduri per mesh, scalabilitate constrânsă, dependent de hardware specific</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548235"/>
                <w:sz w:val="20"/>
                <w:szCs w:val="20"/>
              </w:rPr>
              <w:t xml:space="preserve">ALEGERE PRINCIPALĂ — sweet-spot cost / maturitate / accesibilitate</w:t>
            </w:r>
          </w:p>
        </w:tc>
      </w:tr>
      <w:tr>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Reticulum</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Arhitectură universală peste orice transport (LoRa, WiFi, TCP/IP, I2P), criptare E2EE nativă, fără infrastructură centrală, design tehnic superior</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Curbă de învățare abruptă, interfețe utilizator limitate, comunitate mai mică, ecosistem hardware mai puțin standardizat</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MONITORIZARE — candidat pentru viitor dacă maturizează UX</w:t>
            </w:r>
          </w:p>
        </w:tc>
      </w:tr>
      <w:tr>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goTenna Pro</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Criptare AES-256, management centralizat, suport enterprise, integrare cu sisteme existente, certificări</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Cost ridicat (500–800 EUR/dispozitiv), proprietar, vendor lock-in, niciun aliniament cu valorile open-source ale proiectului</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C00000"/>
                <w:sz w:val="20"/>
                <w:szCs w:val="20"/>
              </w:rPr>
              <w:t xml:space="preserve">NU — segment de piață diferit (Tier 3, achiziții publice mari)</w:t>
            </w:r>
          </w:p>
        </w:tc>
      </w:tr>
      <w:tr>
        <w:tc>
          <w:tcPr>
            <w:tcW w:type="dxa" w:w="21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APRS / Winlink</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Standard internațional EMCOMM, folosit de FEMA și Crucea Roșie, tradiție matură</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Necesită licență radioamator, interfață retro, complexitate operațională, exclude utilizatori non-tehnici</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C00000"/>
                <w:sz w:val="20"/>
                <w:szCs w:val="20"/>
              </w:rPr>
              <w:t xml:space="preserve">NU — exclude utilizatori cu deficiențe vizuale și voluntari neformali</w:t>
            </w:r>
          </w:p>
        </w:tc>
      </w:tr>
      <w:tr>
        <w:tc>
          <w:tcPr>
            <w:tcW w:type="dxa" w:w="2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Briar</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Securitate maximă, criptare robustă, ideal pentru activism</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Bluetooth/WiFi range limitat (zeci de metri), doar Android, nu rezolvă problema acoperirii în zone largi</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C00000"/>
                <w:sz w:val="20"/>
                <w:szCs w:val="20"/>
              </w:rPr>
              <w:t xml:space="preserve">NU — context de utilizare diferit (proximitate vs. teren larg)</w:t>
            </w:r>
          </w:p>
        </w:tc>
      </w:tr>
    </w:tbl>
    <w:p>
      <w:pPr>
        <w:pStyle w:val="Heading2"/>
        <w:spacing w:after="160" w:before="280"/>
      </w:pPr>
      <w:r>
        <w:rPr>
          <w:rFonts w:ascii="Arial" w:cs="Arial" w:eastAsia="Arial" w:hAnsi="Arial"/>
          <w:b/>
          <w:bCs/>
          <w:color w:val="2E75B6"/>
          <w:sz w:val="26"/>
          <w:szCs w:val="26"/>
        </w:rPr>
        <w:t xml:space="preserve">De ce Meshtastic, concret</w:t>
      </w:r>
    </w:p>
    <w:p>
      <w:pPr>
        <w:spacing w:after="120" w:line="300"/>
        <w:jc w:val="both"/>
      </w:pPr>
      <w:r>
        <w:rPr>
          <w:rFonts w:ascii="Arial" w:cs="Arial" w:eastAsia="Arial" w:hAnsi="Arial"/>
          <w:sz w:val="22"/>
          <w:szCs w:val="22"/>
        </w:rPr>
        <w:t xml:space="preserve">Pentru misiunea specifică a Signal For All — accessibility-native communications pentru voluntari de teren, ONG-uri, organizații civice cu cultură tehnică limitată și utilizatori cu deficiențe vizuale — Meshtastic câștigă prin combinația de factori care contează:</w:t>
      </w:r>
    </w:p>
    <w:p>
      <w:pPr>
        <w:pStyle w:val="ListParagraph"/>
        <w:numPr>
          <w:ilvl w:val="0"/>
          <w:numId w:val="2"/>
        </w:numPr>
        <w:spacing w:after="80" w:line="280"/>
        <w:jc w:val="both"/>
      </w:pPr>
      <w:r>
        <w:rPr>
          <w:rFonts w:ascii="Arial" w:cs="Arial" w:eastAsia="Arial" w:hAnsi="Arial"/>
          <w:b/>
          <w:bCs/>
          <w:sz w:val="22"/>
          <w:szCs w:val="22"/>
        </w:rPr>
        <w:t xml:space="preserve">Cost accesibil: </w:t>
      </w:r>
      <w:r>
        <w:rPr>
          <w:rFonts w:ascii="Arial" w:cs="Arial" w:eastAsia="Arial" w:hAnsi="Arial"/>
          <w:sz w:val="22"/>
          <w:szCs w:val="22"/>
        </w:rPr>
        <w:t xml:space="preserve">~25 EUR/nod permite Tier 1 să adopte fără achiziții publice. goTenna la 600 EUR/nod ar bloca instant orice partener.</w:t>
      </w:r>
    </w:p>
    <w:p>
      <w:pPr>
        <w:pStyle w:val="ListParagraph"/>
        <w:numPr>
          <w:ilvl w:val="0"/>
          <w:numId w:val="2"/>
        </w:numPr>
        <w:spacing w:after="80" w:line="280"/>
        <w:jc w:val="both"/>
      </w:pPr>
      <w:r>
        <w:rPr>
          <w:rFonts w:ascii="Arial" w:cs="Arial" w:eastAsia="Arial" w:hAnsi="Arial"/>
          <w:b/>
          <w:bCs/>
          <w:sz w:val="22"/>
          <w:szCs w:val="22"/>
        </w:rPr>
        <w:t xml:space="preserve">Maturitate UX: </w:t>
      </w:r>
      <w:r>
        <w:rPr>
          <w:rFonts w:ascii="Arial" w:cs="Arial" w:eastAsia="Arial" w:hAnsi="Arial"/>
          <w:sz w:val="22"/>
          <w:szCs w:val="22"/>
        </w:rPr>
        <w:t xml:space="preserve">aplicația Meshtastic Android e suficient de stabilă să stea sub un strat de accessibility (Signal For All), fără să trebuiască să rezolvăm întâi UX-ul de bază.</w:t>
      </w:r>
    </w:p>
    <w:p>
      <w:pPr>
        <w:pStyle w:val="ListParagraph"/>
        <w:numPr>
          <w:ilvl w:val="0"/>
          <w:numId w:val="2"/>
        </w:numPr>
        <w:spacing w:after="80" w:line="280"/>
        <w:jc w:val="both"/>
      </w:pPr>
      <w:r>
        <w:rPr>
          <w:rFonts w:ascii="Arial" w:cs="Arial" w:eastAsia="Arial" w:hAnsi="Arial"/>
          <w:b/>
          <w:bCs/>
          <w:sz w:val="22"/>
          <w:szCs w:val="22"/>
        </w:rPr>
        <w:t xml:space="preserve">Ecosistem hardware standardizat: </w:t>
      </w:r>
      <w:r>
        <w:rPr>
          <w:rFonts w:ascii="Arial" w:cs="Arial" w:eastAsia="Arial" w:hAnsi="Arial"/>
          <w:sz w:val="22"/>
          <w:szCs w:val="22"/>
        </w:rPr>
        <w:t xml:space="preserve">LILYGO, Heltec, RAK — multipli furnizori, fără vendor lock-in, hardware deja prezent în comunitatea outdoor românească.</w:t>
      </w:r>
    </w:p>
    <w:p>
      <w:pPr>
        <w:pStyle w:val="ListParagraph"/>
        <w:numPr>
          <w:ilvl w:val="0"/>
          <w:numId w:val="2"/>
        </w:numPr>
        <w:spacing w:after="80" w:line="280"/>
        <w:jc w:val="both"/>
      </w:pPr>
      <w:r>
        <w:rPr>
          <w:rFonts w:ascii="Arial" w:cs="Arial" w:eastAsia="Arial" w:hAnsi="Arial"/>
          <w:b/>
          <w:bCs/>
          <w:sz w:val="22"/>
          <w:szCs w:val="22"/>
        </w:rPr>
        <w:t xml:space="preserve">Comunitate locală activă: </w:t>
      </w:r>
      <w:r>
        <w:rPr>
          <w:rFonts w:ascii="Arial" w:cs="Arial" w:eastAsia="Arial" w:hAnsi="Arial"/>
          <w:sz w:val="22"/>
          <w:szCs w:val="22"/>
        </w:rPr>
        <w:t xml:space="preserve">există deja entuziaști în România care folosesc Meshtastic — acces la cunoaștere, mentorat, troubleshooting comun.</w:t>
      </w:r>
    </w:p>
    <w:p>
      <w:pPr>
        <w:pStyle w:val="Heading2"/>
        <w:spacing w:after="160" w:before="280"/>
      </w:pPr>
      <w:r>
        <w:rPr>
          <w:rFonts w:ascii="Arial" w:cs="Arial" w:eastAsia="Arial" w:hAnsi="Arial"/>
          <w:b/>
          <w:bCs/>
          <w:color w:val="2E75B6"/>
          <w:sz w:val="26"/>
          <w:szCs w:val="26"/>
        </w:rPr>
        <w:t xml:space="preserve">Strategia de hedge tehnologic</w:t>
      </w:r>
    </w:p>
    <w:p>
      <w:pPr>
        <w:spacing w:after="120" w:line="300"/>
        <w:jc w:val="both"/>
      </w:pPr>
      <w:r>
        <w:rPr>
          <w:rFonts w:ascii="Arial" w:cs="Arial" w:eastAsia="Arial" w:hAnsi="Arial"/>
          <w:sz w:val="22"/>
          <w:szCs w:val="22"/>
        </w:rPr>
        <w:t xml:space="preserve">Arhitectura Signal For All este proiectată să trateze Meshtastic ca strat de transport, nu ca dependență fundamentală. În principiu, aplicația ar putea fi adaptată pentru a folosi Reticulum sau alt transport compatibil în viitor, dacă ecosistemul evoluează în acea direcție. Diferențierea reală a proiectului — stratul accessibility-native, integrarea STT/TTS hands-free, designul cu utilizatori cu deficiențe vizuale — rămâne valoare independentă de transportul subiacent.</w:t>
      </w:r>
    </w:p>
    <w:p>
      <w:pPr>
        <w:pBdr>
          <w:left w:val="single" w:color="2E75B6" w:sz="24" w:space="12"/>
        </w:pBdr>
        <w:spacing w:after="160" w:before="160" w:line="300"/>
        <w:ind w:left="240"/>
        <w:jc w:val="both"/>
      </w:pPr>
      <w:r>
        <w:rPr>
          <w:rFonts w:ascii="Arial" w:cs="Arial" w:eastAsia="Arial" w:hAnsi="Arial"/>
          <w:i/>
          <w:iCs/>
          <w:color w:val="595959"/>
          <w:sz w:val="22"/>
          <w:szCs w:val="22"/>
        </w:rPr>
        <w:t xml:space="preserve">Această abstracție este un asset strategic pe termen lung. Faza a III-a (post-2028) poate include explicit un work package de portare către Reticulum, dacă ecosistemul Reticulum maturizează UX până atunci. Faza a II-a se concentrează pe Meshtastic pentru că maturitatea actuală a UX-ului este precondiție pentru utilizarea de către parteneri non-tehnici.</w:t>
      </w:r>
    </w:p>
    <w:p>
      <w:r>
        <w:br w:type="page"/>
      </w:r>
    </w:p>
    <w:p>
      <w:pPr>
        <w:pStyle w:val="Heading1"/>
        <w:spacing w:after="200" w:before="360"/>
      </w:pPr>
      <w:r>
        <w:rPr>
          <w:rFonts w:ascii="Arial" w:cs="Arial" w:eastAsia="Arial" w:hAnsi="Arial"/>
          <w:b/>
          <w:bCs/>
          <w:color w:val="1F4E79"/>
          <w:sz w:val="32"/>
          <w:szCs w:val="32"/>
        </w:rPr>
        <w:t xml:space="preserve">10. Indicatori de succes Faza a II-a</w:t>
      </w:r>
    </w:p>
    <w:p>
      <w:pPr>
        <w:pStyle w:val="Heading2"/>
        <w:spacing w:after="160" w:before="280"/>
      </w:pPr>
      <w:r>
        <w:rPr>
          <w:rFonts w:ascii="Arial" w:cs="Arial" w:eastAsia="Arial" w:hAnsi="Arial"/>
          <w:b/>
          <w:bCs/>
          <w:color w:val="2E75B6"/>
          <w:sz w:val="26"/>
          <w:szCs w:val="26"/>
        </w:rPr>
        <w:t xml:space="preserve">Indicatori cantitativi</w:t>
      </w:r>
    </w:p>
    <w:p>
      <w:pPr>
        <w:pStyle w:val="ListParagraph"/>
        <w:numPr>
          <w:ilvl w:val="0"/>
          <w:numId w:val="2"/>
        </w:numPr>
        <w:spacing w:after="80" w:line="280"/>
        <w:jc w:val="both"/>
      </w:pPr>
      <w:r>
        <w:rPr>
          <w:rFonts w:ascii="Arial" w:cs="Arial" w:eastAsia="Arial" w:hAnsi="Arial"/>
          <w:b/>
          <w:bCs/>
          <w:sz w:val="22"/>
          <w:szCs w:val="22"/>
        </w:rPr>
        <w:t xml:space="preserve">Parteneri pilot activi: </w:t>
      </w:r>
      <w:r>
        <w:rPr>
          <w:rFonts w:ascii="Arial" w:cs="Arial" w:eastAsia="Arial" w:hAnsi="Arial"/>
          <w:sz w:val="22"/>
          <w:szCs w:val="22"/>
        </w:rPr>
        <w:t xml:space="preserve">minim 2, țintă 3.</w:t>
      </w:r>
    </w:p>
    <w:p>
      <w:pPr>
        <w:pStyle w:val="ListParagraph"/>
        <w:numPr>
          <w:ilvl w:val="0"/>
          <w:numId w:val="2"/>
        </w:numPr>
        <w:spacing w:after="80" w:line="280"/>
        <w:jc w:val="both"/>
      </w:pPr>
      <w:r>
        <w:rPr>
          <w:rFonts w:ascii="Arial" w:cs="Arial" w:eastAsia="Arial" w:hAnsi="Arial"/>
          <w:b/>
          <w:bCs/>
          <w:sz w:val="22"/>
          <w:szCs w:val="22"/>
        </w:rPr>
        <w:t xml:space="preserve">Operatori instruiți: </w:t>
      </w:r>
      <w:r>
        <w:rPr>
          <w:rFonts w:ascii="Arial" w:cs="Arial" w:eastAsia="Arial" w:hAnsi="Arial"/>
          <w:sz w:val="22"/>
          <w:szCs w:val="22"/>
        </w:rPr>
        <w:t xml:space="preserve">minim 30.</w:t>
      </w:r>
    </w:p>
    <w:p>
      <w:pPr>
        <w:pStyle w:val="ListParagraph"/>
        <w:numPr>
          <w:ilvl w:val="0"/>
          <w:numId w:val="2"/>
        </w:numPr>
        <w:spacing w:after="80" w:line="280"/>
        <w:jc w:val="both"/>
      </w:pPr>
      <w:r>
        <w:rPr>
          <w:rFonts w:ascii="Arial" w:cs="Arial" w:eastAsia="Arial" w:hAnsi="Arial"/>
          <w:b/>
          <w:bCs/>
          <w:sz w:val="22"/>
          <w:szCs w:val="22"/>
        </w:rPr>
        <w:t xml:space="preserve">Luni de operare reală agregată: </w:t>
      </w:r>
      <w:r>
        <w:rPr>
          <w:rFonts w:ascii="Arial" w:cs="Arial" w:eastAsia="Arial" w:hAnsi="Arial"/>
          <w:sz w:val="22"/>
          <w:szCs w:val="22"/>
        </w:rPr>
        <w:t xml:space="preserve">minim 18 luni-organizație.</w:t>
      </w:r>
    </w:p>
    <w:p>
      <w:pPr>
        <w:pStyle w:val="ListParagraph"/>
        <w:numPr>
          <w:ilvl w:val="0"/>
          <w:numId w:val="2"/>
        </w:numPr>
        <w:spacing w:after="80" w:line="280"/>
        <w:jc w:val="both"/>
      </w:pPr>
      <w:r>
        <w:rPr>
          <w:rFonts w:ascii="Arial" w:cs="Arial" w:eastAsia="Arial" w:hAnsi="Arial"/>
          <w:b/>
          <w:bCs/>
          <w:sz w:val="22"/>
          <w:szCs w:val="22"/>
        </w:rPr>
        <w:t xml:space="preserve">Mesaje transmise în condiții reale: </w:t>
      </w:r>
      <w:r>
        <w:rPr>
          <w:rFonts w:ascii="Arial" w:cs="Arial" w:eastAsia="Arial" w:hAnsi="Arial"/>
          <w:sz w:val="22"/>
          <w:szCs w:val="22"/>
        </w:rPr>
        <w:t xml:space="preserve">minim 5.000.</w:t>
      </w:r>
    </w:p>
    <w:p>
      <w:pPr>
        <w:pStyle w:val="ListParagraph"/>
        <w:numPr>
          <w:ilvl w:val="0"/>
          <w:numId w:val="2"/>
        </w:numPr>
        <w:spacing w:after="80" w:line="280"/>
        <w:jc w:val="both"/>
      </w:pPr>
      <w:r>
        <w:rPr>
          <w:rFonts w:ascii="Arial" w:cs="Arial" w:eastAsia="Arial" w:hAnsi="Arial"/>
          <w:b/>
          <w:bCs/>
          <w:sz w:val="22"/>
          <w:szCs w:val="22"/>
        </w:rPr>
        <w:t xml:space="preserve">Bug-uri rezolvate pe baza feedback-ului: </w:t>
      </w:r>
      <w:r>
        <w:rPr>
          <w:rFonts w:ascii="Arial" w:cs="Arial" w:eastAsia="Arial" w:hAnsi="Arial"/>
          <w:sz w:val="22"/>
          <w:szCs w:val="22"/>
        </w:rPr>
        <w:t xml:space="preserve">minim 50.</w:t>
      </w:r>
    </w:p>
    <w:p>
      <w:pPr>
        <w:pStyle w:val="ListParagraph"/>
        <w:numPr>
          <w:ilvl w:val="0"/>
          <w:numId w:val="2"/>
        </w:numPr>
        <w:spacing w:after="80" w:line="280"/>
        <w:jc w:val="both"/>
      </w:pPr>
      <w:r>
        <w:rPr>
          <w:rFonts w:ascii="Arial" w:cs="Arial" w:eastAsia="Arial" w:hAnsi="Arial"/>
          <w:b/>
          <w:bCs/>
          <w:sz w:val="22"/>
          <w:szCs w:val="22"/>
        </w:rPr>
        <w:t xml:space="preserve">Documente publice produse: </w:t>
      </w:r>
      <w:r>
        <w:rPr>
          <w:rFonts w:ascii="Arial" w:cs="Arial" w:eastAsia="Arial" w:hAnsi="Arial"/>
          <w:sz w:val="22"/>
          <w:szCs w:val="22"/>
        </w:rPr>
        <w:t xml:space="preserve">minim 8.</w:t>
      </w:r>
    </w:p>
    <w:p>
      <w:pPr>
        <w:pStyle w:val="ListParagraph"/>
        <w:numPr>
          <w:ilvl w:val="0"/>
          <w:numId w:val="2"/>
        </w:numPr>
        <w:spacing w:after="80" w:line="280"/>
        <w:jc w:val="both"/>
      </w:pPr>
      <w:r>
        <w:rPr>
          <w:rFonts w:ascii="Arial" w:cs="Arial" w:eastAsia="Arial" w:hAnsi="Arial"/>
          <w:b/>
          <w:bCs/>
          <w:sz w:val="22"/>
          <w:szCs w:val="22"/>
        </w:rPr>
        <w:t xml:space="preserve">Prezentări publice: </w:t>
      </w:r>
      <w:r>
        <w:rPr>
          <w:rFonts w:ascii="Arial" w:cs="Arial" w:eastAsia="Arial" w:hAnsi="Arial"/>
          <w:sz w:val="22"/>
          <w:szCs w:val="22"/>
        </w:rPr>
        <w:t xml:space="preserve">minim 6.</w:t>
      </w:r>
    </w:p>
    <w:p>
      <w:pPr>
        <w:pStyle w:val="ListParagraph"/>
        <w:numPr>
          <w:ilvl w:val="0"/>
          <w:numId w:val="2"/>
        </w:numPr>
        <w:spacing w:after="80" w:line="280"/>
        <w:jc w:val="both"/>
      </w:pPr>
      <w:r>
        <w:rPr>
          <w:rFonts w:ascii="Arial" w:cs="Arial" w:eastAsia="Arial" w:hAnsi="Arial"/>
          <w:b/>
          <w:bCs/>
          <w:sz w:val="22"/>
          <w:szCs w:val="22"/>
        </w:rPr>
        <w:t xml:space="preserve">Descărcări framework de adopție: </w:t>
      </w:r>
      <w:r>
        <w:rPr>
          <w:rFonts w:ascii="Arial" w:cs="Arial" w:eastAsia="Arial" w:hAnsi="Arial"/>
          <w:sz w:val="22"/>
          <w:szCs w:val="22"/>
        </w:rPr>
        <w:t xml:space="preserve">țintă 500 în primele 6 luni post-publicare.</w:t>
      </w:r>
    </w:p>
    <w:p>
      <w:pPr>
        <w:pStyle w:val="Heading2"/>
        <w:spacing w:after="160" w:before="280"/>
      </w:pPr>
      <w:r>
        <w:rPr>
          <w:rFonts w:ascii="Arial" w:cs="Arial" w:eastAsia="Arial" w:hAnsi="Arial"/>
          <w:b/>
          <w:bCs/>
          <w:color w:val="2E75B6"/>
          <w:sz w:val="26"/>
          <w:szCs w:val="26"/>
        </w:rPr>
        <w:t xml:space="preserve">Indicatori calitativi</w:t>
      </w:r>
    </w:p>
    <w:p>
      <w:pPr>
        <w:pStyle w:val="ListParagraph"/>
        <w:numPr>
          <w:ilvl w:val="0"/>
          <w:numId w:val="2"/>
        </w:numPr>
        <w:spacing w:after="80" w:line="280"/>
        <w:jc w:val="both"/>
      </w:pPr>
      <w:r>
        <w:rPr>
          <w:rFonts w:ascii="Arial" w:cs="Arial" w:eastAsia="Arial" w:hAnsi="Arial"/>
          <w:sz w:val="22"/>
          <w:szCs w:val="22"/>
        </w:rPr>
        <w:t xml:space="preserve">Parteneri pilot care declară că sistemul a adăugat valoare operațională (interviuri trimestriale).</w:t>
      </w:r>
    </w:p>
    <w:p>
      <w:pPr>
        <w:pStyle w:val="ListParagraph"/>
        <w:numPr>
          <w:ilvl w:val="0"/>
          <w:numId w:val="2"/>
        </w:numPr>
        <w:spacing w:after="80" w:line="280"/>
        <w:jc w:val="both"/>
      </w:pPr>
      <w:r>
        <w:rPr>
          <w:rFonts w:ascii="Arial" w:cs="Arial" w:eastAsia="Arial" w:hAnsi="Arial"/>
          <w:sz w:val="22"/>
          <w:szCs w:val="22"/>
        </w:rPr>
        <w:t xml:space="preserve">Utilizatori cu deficiențe vizuale care confirmă utilizabilitatea în condiții reale.</w:t>
      </w:r>
    </w:p>
    <w:p>
      <w:pPr>
        <w:pStyle w:val="ListParagraph"/>
        <w:numPr>
          <w:ilvl w:val="0"/>
          <w:numId w:val="2"/>
        </w:numPr>
        <w:spacing w:after="80" w:line="280"/>
        <w:jc w:val="both"/>
      </w:pPr>
      <w:r>
        <w:rPr>
          <w:rFonts w:ascii="Arial" w:cs="Arial" w:eastAsia="Arial" w:hAnsi="Arial"/>
          <w:sz w:val="22"/>
          <w:szCs w:val="22"/>
        </w:rPr>
        <w:t xml:space="preserve">Acoperire media care reflectă corect poziționarea (NU ca sistem de urgență).</w:t>
      </w:r>
    </w:p>
    <w:p>
      <w:pPr>
        <w:pStyle w:val="ListParagraph"/>
        <w:numPr>
          <w:ilvl w:val="0"/>
          <w:numId w:val="2"/>
        </w:numPr>
        <w:spacing w:after="80" w:line="280"/>
        <w:jc w:val="both"/>
      </w:pPr>
      <w:r>
        <w:rPr>
          <w:rFonts w:ascii="Arial" w:cs="Arial" w:eastAsia="Arial" w:hAnsi="Arial"/>
          <w:sz w:val="22"/>
          <w:szCs w:val="22"/>
        </w:rPr>
        <w:t xml:space="preserve">Cereri spontane de informații de la organizații neabordate inițial.</w:t>
      </w:r>
    </w:p>
    <w:p>
      <w:pPr>
        <w:pStyle w:val="ListParagraph"/>
        <w:numPr>
          <w:ilvl w:val="0"/>
          <w:numId w:val="2"/>
        </w:numPr>
        <w:spacing w:after="80" w:line="280"/>
        <w:jc w:val="both"/>
      </w:pPr>
      <w:r>
        <w:rPr>
          <w:rFonts w:ascii="Arial" w:cs="Arial" w:eastAsia="Arial" w:hAnsi="Arial"/>
          <w:sz w:val="22"/>
          <w:szCs w:val="22"/>
        </w:rPr>
        <w:t xml:space="preserve">Citări ale framework-ului în alte proiecte open-source sau civice.</w:t>
      </w:r>
    </w:p>
    <w:p>
      <w:pPr>
        <w:pStyle w:val="Heading2"/>
        <w:spacing w:after="160" w:before="280"/>
      </w:pPr>
      <w:r>
        <w:rPr>
          <w:rFonts w:ascii="Arial" w:cs="Arial" w:eastAsia="Arial" w:hAnsi="Arial"/>
          <w:b/>
          <w:bCs/>
          <w:color w:val="2E75B6"/>
          <w:sz w:val="26"/>
          <w:szCs w:val="26"/>
        </w:rPr>
        <w:t xml:space="preserve">Praguri de succes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Nivel</w:t>
            </w:r>
          </w:p>
        </w:tc>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Criteriu</w:t>
            </w:r>
          </w:p>
        </w:tc>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Decizie post-fază</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548235"/>
                <w:sz w:val="20"/>
                <w:szCs w:val="20"/>
              </w:rPr>
              <w:t xml:space="preserve">Succes complet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3+ parteneri activi, framework citat, cerere de replicare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Faza a III-a: scalare europeană / replicare regională</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BF8F00"/>
                <w:sz w:val="20"/>
                <w:szCs w:val="20"/>
              </w:rPr>
              <w:t xml:space="preserve">Succes parțial</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2 parteneri activi, framework publicat, recunoaștere în nișă</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Faza a III-a: consolidare și extindere graduală</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BF8F00"/>
                <w:sz w:val="20"/>
                <w:szCs w:val="20"/>
              </w:rPr>
              <w:t xml:space="preserve">Succes limitat</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1 partener, lecții publicate, dar fără tracțiune externă</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Pivot către versiune mai accesibilă / re-evaluare strategică</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C00000"/>
                <w:sz w:val="20"/>
                <w:szCs w:val="20"/>
              </w:rPr>
              <w:t xml:space="preserve">Eșec</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Niciun pilot funcțional, abandon parteneri</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Raport public onest, închidere program, lecții pentru comunitate</w:t>
            </w:r>
          </w:p>
        </w:tc>
      </w:tr>
    </w:tbl>
    <w:p>
      <w:r>
        <w:br w:type="page"/>
      </w:r>
    </w:p>
    <w:p>
      <w:pPr>
        <w:pStyle w:val="Heading1"/>
        <w:spacing w:after="200" w:before="360"/>
      </w:pPr>
      <w:r>
        <w:rPr>
          <w:rFonts w:ascii="Arial" w:cs="Arial" w:eastAsia="Arial" w:hAnsi="Arial"/>
          <w:b/>
          <w:bCs/>
          <w:color w:val="1F4E79"/>
          <w:sz w:val="32"/>
          <w:szCs w:val="32"/>
        </w:rPr>
        <w:t xml:space="preserve">11. Concluzii și pași imediați (Q4 2026)</w:t>
      </w:r>
    </w:p>
    <w:p>
      <w:pPr>
        <w:spacing w:after="120" w:line="300"/>
        <w:jc w:val="both"/>
      </w:pPr>
      <w:r>
        <w:rPr>
          <w:rFonts w:ascii="Arial" w:cs="Arial" w:eastAsia="Arial" w:hAnsi="Arial"/>
          <w:sz w:val="22"/>
          <w:szCs w:val="22"/>
        </w:rPr>
        <w:t xml:space="preserve">Faza a II-a transformă Signal For All dintr-un produs tehnic într-o intervenție civică validată în teren. Nu este doar continuare a Fazei I, ci dovada că accessibility-native decentralized communications produc valoare reală pentru organizații care au nevoi operaționale concrete în zone cu infrastructură limitată.</w:t>
      </w:r>
    </w:p>
    <w:p>
      <w:pPr>
        <w:spacing w:after="120" w:line="300"/>
        <w:jc w:val="both"/>
      </w:pPr>
      <w:r>
        <w:rPr>
          <w:rFonts w:ascii="Arial" w:cs="Arial" w:eastAsia="Arial" w:hAnsi="Arial"/>
          <w:sz w:val="22"/>
          <w:szCs w:val="22"/>
        </w:rPr>
        <w:t xml:space="preserve">Succesul Fazei a II-a se măsoară nu doar în adopție, ci în calitatea cadrului public produs: alți actori, în România și în Europa, trebuie să poată reproduce abordarea fără să reinventeze roata.</w:t>
      </w:r>
    </w:p>
    <w:p>
      <w:pPr>
        <w:pStyle w:val="Heading2"/>
        <w:spacing w:after="160" w:before="280"/>
      </w:pPr>
      <w:r>
        <w:rPr>
          <w:rFonts w:ascii="Arial" w:cs="Arial" w:eastAsia="Arial" w:hAnsi="Arial"/>
          <w:b/>
          <w:bCs/>
          <w:color w:val="2E75B6"/>
          <w:sz w:val="26"/>
          <w:szCs w:val="26"/>
        </w:rPr>
        <w:t xml:space="preserve">Pași imediați — ultimul trimestru al Fazei I (Q4 2026)</w:t>
      </w:r>
    </w:p>
    <w:p>
      <w:pPr>
        <w:pStyle w:val="ListParagraph"/>
        <w:numPr>
          <w:ilvl w:val="0"/>
          <w:numId w:val="2"/>
        </w:numPr>
        <w:spacing w:after="80" w:line="280"/>
        <w:jc w:val="both"/>
      </w:pPr>
      <w:r>
        <w:rPr>
          <w:rFonts w:ascii="Arial" w:cs="Arial" w:eastAsia="Arial" w:hAnsi="Arial"/>
          <w:b/>
          <w:bCs/>
          <w:sz w:val="22"/>
          <w:szCs w:val="22"/>
        </w:rPr>
        <w:t xml:space="preserve">Q4 2026, octombrie: </w:t>
      </w:r>
      <w:r>
        <w:rPr>
          <w:rFonts w:ascii="Arial" w:cs="Arial" w:eastAsia="Arial" w:hAnsi="Arial"/>
          <w:sz w:val="22"/>
          <w:szCs w:val="22"/>
        </w:rPr>
        <w:t xml:space="preserve">redactare aplicație de finanțare pentru NGI0 sau echivalent.</w:t>
      </w:r>
    </w:p>
    <w:p>
      <w:pPr>
        <w:pStyle w:val="ListParagraph"/>
        <w:numPr>
          <w:ilvl w:val="0"/>
          <w:numId w:val="2"/>
        </w:numPr>
        <w:spacing w:after="80" w:line="280"/>
        <w:jc w:val="both"/>
      </w:pPr>
      <w:r>
        <w:rPr>
          <w:rFonts w:ascii="Arial" w:cs="Arial" w:eastAsia="Arial" w:hAnsi="Arial"/>
          <w:b/>
          <w:bCs/>
          <w:sz w:val="22"/>
          <w:szCs w:val="22"/>
        </w:rPr>
        <w:t xml:space="preserve">Q4 2026, noiembrie: </w:t>
      </w:r>
      <w:r>
        <w:rPr>
          <w:rFonts w:ascii="Arial" w:cs="Arial" w:eastAsia="Arial" w:hAnsi="Arial"/>
          <w:sz w:val="22"/>
          <w:szCs w:val="22"/>
        </w:rPr>
        <w:t xml:space="preserve">primele întâlniri exploratorii cu 3–5 organizații prospect Tier 1.</w:t>
      </w:r>
    </w:p>
    <w:p>
      <w:pPr>
        <w:pStyle w:val="ListParagraph"/>
        <w:numPr>
          <w:ilvl w:val="0"/>
          <w:numId w:val="2"/>
        </w:numPr>
        <w:spacing w:after="80" w:line="280"/>
        <w:jc w:val="both"/>
      </w:pPr>
      <w:r>
        <w:rPr>
          <w:rFonts w:ascii="Arial" w:cs="Arial" w:eastAsia="Arial" w:hAnsi="Arial"/>
          <w:b/>
          <w:bCs/>
          <w:sz w:val="22"/>
          <w:szCs w:val="22"/>
        </w:rPr>
        <w:t xml:space="preserve">Q4 2026, noiembrie: </w:t>
      </w:r>
      <w:r>
        <w:rPr>
          <w:rFonts w:ascii="Arial" w:cs="Arial" w:eastAsia="Arial" w:hAnsi="Arial"/>
          <w:sz w:val="22"/>
          <w:szCs w:val="22"/>
        </w:rPr>
        <w:t xml:space="preserve">consultarea inițială ANCOM privind banda 868 MHz în condițiile pilotului.</w:t>
      </w:r>
    </w:p>
    <w:p>
      <w:pPr>
        <w:pStyle w:val="ListParagraph"/>
        <w:numPr>
          <w:ilvl w:val="0"/>
          <w:numId w:val="2"/>
        </w:numPr>
        <w:spacing w:after="80" w:line="280"/>
        <w:jc w:val="both"/>
      </w:pPr>
      <w:r>
        <w:rPr>
          <w:rFonts w:ascii="Arial" w:cs="Arial" w:eastAsia="Arial" w:hAnsi="Arial"/>
          <w:b/>
          <w:bCs/>
          <w:sz w:val="22"/>
          <w:szCs w:val="22"/>
        </w:rPr>
        <w:t xml:space="preserve">Q4 2026, decembrie: </w:t>
      </w:r>
      <w:r>
        <w:rPr>
          <w:rFonts w:ascii="Arial" w:cs="Arial" w:eastAsia="Arial" w:hAnsi="Arial"/>
          <w:sz w:val="22"/>
          <w:szCs w:val="22"/>
        </w:rPr>
        <w:t xml:space="preserve">decizie Go/No-Go pentru Faza a II-a în funcție de starea Fazei I.</w:t>
      </w:r>
    </w:p>
    <w:p>
      <w:pPr>
        <w:pStyle w:val="ListParagraph"/>
        <w:numPr>
          <w:ilvl w:val="0"/>
          <w:numId w:val="2"/>
        </w:numPr>
        <w:spacing w:after="80" w:line="280"/>
        <w:jc w:val="both"/>
      </w:pPr>
      <w:r>
        <w:rPr>
          <w:rFonts w:ascii="Arial" w:cs="Arial" w:eastAsia="Arial" w:hAnsi="Arial"/>
          <w:b/>
          <w:bCs/>
          <w:sz w:val="22"/>
          <w:szCs w:val="22"/>
        </w:rPr>
        <w:t xml:space="preserve">Q4 2026, decembrie: </w:t>
      </w:r>
      <w:r>
        <w:rPr>
          <w:rFonts w:ascii="Arial" w:cs="Arial" w:eastAsia="Arial" w:hAnsi="Arial"/>
          <w:sz w:val="22"/>
          <w:szCs w:val="22"/>
        </w:rPr>
        <w:t xml:space="preserve">depunerea aplicației de finanțare pentru Faza a II-a.</w:t>
      </w:r>
    </w:p>
    <w:p>
      <w:pPr>
        <w:pBdr>
          <w:left w:val="single" w:color="1F4E79" w:sz="24" w:space="12"/>
        </w:pBdr>
        <w:spacing w:after="160" w:before="160" w:line="300"/>
        <w:ind w:left="240"/>
        <w:jc w:val="both"/>
      </w:pPr>
      <w:r>
        <w:rPr>
          <w:rFonts w:ascii="Arial" w:cs="Arial" w:eastAsia="Arial" w:hAnsi="Arial"/>
          <w:i/>
          <w:iCs/>
          <w:color w:val="595959"/>
          <w:sz w:val="22"/>
          <w:szCs w:val="22"/>
        </w:rPr>
        <w:t xml:space="preserve">Faza a II-a este oportunitatea de a demonstra că proiectul poate trăi dincolo de demo și grant inițial, că poate produce schimbare reală, măsurabilă, în comunități concrete. Aceasta este narațiunea care convinge atât finanțatori NGI, cât și parteneri instituționali viitori.</w:t>
      </w:r>
    </w:p>
    <w:p>
      <w:r>
        <w:br w:type="page"/>
      </w:r>
    </w:p>
    <w:p>
      <w:pPr>
        <w:pStyle w:val="Heading1"/>
        <w:spacing w:after="200" w:before="360"/>
      </w:pPr>
      <w:r>
        <w:rPr>
          <w:rFonts w:ascii="Arial" w:cs="Arial" w:eastAsia="Arial" w:hAnsi="Arial"/>
          <w:b/>
          <w:bCs/>
          <w:color w:val="1F4E79"/>
          <w:sz w:val="32"/>
          <w:szCs w:val="32"/>
        </w:rPr>
        <w:t xml:space="preserve">A1. Anexă — Note metodologice</w:t>
      </w:r>
    </w:p>
    <w:p>
      <w:pPr>
        <w:pStyle w:val="Heading2"/>
        <w:spacing w:after="160" w:before="280"/>
      </w:pPr>
      <w:r>
        <w:rPr>
          <w:rFonts w:ascii="Arial" w:cs="Arial" w:eastAsia="Arial" w:hAnsi="Arial"/>
          <w:b/>
          <w:bCs/>
          <w:color w:val="2E75B6"/>
          <w:sz w:val="26"/>
          <w:szCs w:val="26"/>
        </w:rPr>
        <w:t xml:space="preserve">Despre relația cu Faza I</w:t>
      </w:r>
    </w:p>
    <w:p>
      <w:pPr>
        <w:spacing w:after="120" w:line="300"/>
        <w:jc w:val="both"/>
      </w:pPr>
      <w:r>
        <w:rPr>
          <w:rFonts w:ascii="Arial" w:cs="Arial" w:eastAsia="Arial" w:hAnsi="Arial"/>
          <w:sz w:val="22"/>
          <w:szCs w:val="22"/>
        </w:rPr>
        <w:t xml:space="preserve">Faza a II-a presupune existența unui produs Signal For All funcțional și a unei finanțări inițiale. Dacă Faza I se prelungește sau întâmpină dificultăți tehnice, Faza a II-a poate fi întârziată cu 3–6 luni fără pierdere de coerență strategică.</w:t>
      </w:r>
    </w:p>
    <w:p>
      <w:pPr>
        <w:pStyle w:val="Heading2"/>
        <w:spacing w:after="160" w:before="280"/>
      </w:pPr>
      <w:r>
        <w:rPr>
          <w:rFonts w:ascii="Arial" w:cs="Arial" w:eastAsia="Arial" w:hAnsi="Arial"/>
          <w:b/>
          <w:bCs/>
          <w:color w:val="2E75B6"/>
          <w:sz w:val="26"/>
          <w:szCs w:val="26"/>
        </w:rPr>
        <w:t xml:space="preserve">Despre dimensiunea pilotului</w:t>
      </w:r>
    </w:p>
    <w:p>
      <w:pPr>
        <w:spacing w:after="120" w:line="300"/>
        <w:jc w:val="both"/>
      </w:pPr>
      <w:r>
        <w:rPr>
          <w:rFonts w:ascii="Arial" w:cs="Arial" w:eastAsia="Arial" w:hAnsi="Arial"/>
          <w:sz w:val="22"/>
          <w:szCs w:val="22"/>
        </w:rPr>
        <w:t xml:space="preserve">Trei parteneri este sweet-spot-ul: suficient pentru triangulare (lecții repetabile, nu accidente), dar nu atât de mulți încât să dilueze atenția asociației.</w:t>
      </w:r>
    </w:p>
    <w:p>
      <w:pPr>
        <w:pStyle w:val="Heading2"/>
        <w:spacing w:after="160" w:before="280"/>
      </w:pPr>
      <w:r>
        <w:rPr>
          <w:rFonts w:ascii="Arial" w:cs="Arial" w:eastAsia="Arial" w:hAnsi="Arial"/>
          <w:b/>
          <w:bCs/>
          <w:color w:val="2E75B6"/>
          <w:sz w:val="26"/>
          <w:szCs w:val="26"/>
        </w:rPr>
        <w:t xml:space="preserve">Despre publicarea framework-ului</w:t>
      </w:r>
    </w:p>
    <w:p>
      <w:pPr>
        <w:spacing w:after="120" w:line="300"/>
        <w:jc w:val="both"/>
      </w:pPr>
      <w:r>
        <w:rPr>
          <w:rFonts w:ascii="Arial" w:cs="Arial" w:eastAsia="Arial" w:hAnsi="Arial"/>
          <w:sz w:val="22"/>
          <w:szCs w:val="22"/>
        </w:rPr>
        <w:t xml:space="preserve">Decizia de a publica „Institutional Adoption Framework” sub Creative Commons este strategică: creează un bun comun, generează citări și recunoaștere, dar mai important — îți permite ca asociația ta să fie recunoscută drept entitatea de referință pe acest subiect în ecosistemul românesc și european.</w:t>
      </w:r>
    </w:p>
    <w:p>
      <w:pPr>
        <w:pStyle w:val="Heading2"/>
        <w:spacing w:after="160" w:before="280"/>
      </w:pPr>
      <w:r>
        <w:rPr>
          <w:rFonts w:ascii="Arial" w:cs="Arial" w:eastAsia="Arial" w:hAnsi="Arial"/>
          <w:b/>
          <w:bCs/>
          <w:color w:val="2E75B6"/>
          <w:sz w:val="26"/>
          <w:szCs w:val="26"/>
        </w:rPr>
        <w:t xml:space="preserve">Despre interfața cu Tier 2</w:t>
      </w:r>
    </w:p>
    <w:p>
      <w:pPr>
        <w:spacing w:after="120" w:line="300"/>
        <w:jc w:val="both"/>
      </w:pPr>
      <w:r>
        <w:rPr>
          <w:rFonts w:ascii="Arial" w:cs="Arial" w:eastAsia="Arial" w:hAnsi="Arial"/>
          <w:sz w:val="22"/>
          <w:szCs w:val="22"/>
        </w:rPr>
        <w:t xml:space="preserve">Strategia recomandată pentru interacțiunea cu instituții MAI (ISU, Jandarmerie) este una de prezență tăcută: nu inițiezi contacte formale cerând aprobare, dar ești transparent dacă apar întrebări. Dacă un partener Tier 1 colaborează cu Tier 2, lași partenerul să facă introducerea, nu te impui.</w:t>
      </w:r>
    </w:p>
    <w:p>
      <w:pPr>
        <w:pStyle w:val="Heading2"/>
        <w:spacing w:after="160" w:before="280"/>
      </w:pPr>
      <w:r>
        <w:rPr>
          <w:rFonts w:ascii="Arial" w:cs="Arial" w:eastAsia="Arial" w:hAnsi="Arial"/>
          <w:b/>
          <w:bCs/>
          <w:color w:val="2E75B6"/>
          <w:sz w:val="26"/>
          <w:szCs w:val="26"/>
        </w:rPr>
        <w:t xml:space="preserve">Despre versionarea documentului</w:t>
      </w:r>
    </w:p>
    <w:p>
      <w:pPr>
        <w:spacing w:after="120" w:line="300"/>
        <w:jc w:val="both"/>
      </w:pPr>
      <w:r>
        <w:rPr>
          <w:rFonts w:ascii="Arial" w:cs="Arial" w:eastAsia="Arial" w:hAnsi="Arial"/>
          <w:sz w:val="22"/>
          <w:szCs w:val="22"/>
        </w:rPr>
        <w:t xml:space="preserve">Acest document este o foaie de parcurs versiunea 1, redactată în aprilie 2026, înainte de finalizarea Fazei I. Va fi revizuită în octombrie–decembrie 2026 cu date concrete despre starea proiectului.</w:t>
      </w:r>
    </w:p>
    <w:p>
      <w:r>
        <w:br w:type="page"/>
      </w:r>
    </w:p>
    <w:p>
      <w:pPr>
        <w:pStyle w:val="Heading1"/>
        <w:spacing w:after="200" w:before="360"/>
      </w:pPr>
      <w:r>
        <w:rPr>
          <w:rFonts w:ascii="Arial" w:cs="Arial" w:eastAsia="Arial" w:hAnsi="Arial"/>
          <w:b/>
          <w:bCs/>
          <w:color w:val="1F4E79"/>
          <w:sz w:val="32"/>
          <w:szCs w:val="32"/>
        </w:rPr>
        <w:t xml:space="preserve">A2. Anexă — Modele de scrisoare către parteneri Tier 1</w:t>
      </w:r>
    </w:p>
    <w:p>
      <w:pPr>
        <w:spacing w:after="120" w:line="300"/>
        <w:jc w:val="both"/>
      </w:pPr>
      <w:r>
        <w:rPr>
          <w:rFonts w:ascii="Arial" w:cs="Arial" w:eastAsia="Arial" w:hAnsi="Arial"/>
          <w:sz w:val="22"/>
          <w:szCs w:val="22"/>
        </w:rPr>
        <w:t xml:space="preserve">Această anexă conține trei modele de scrisoare adaptate categoriilor principale de parteneri Tier 1, plus un model generic pentru alte tipuri de organizații. Toate scrisorile sunt redactate în limba română, cu ton profesional dar conversațional, păstrând explicit poziționarea „supplementary communications, NOT emergency system”.</w:t>
      </w:r>
    </w:p>
    <w:p>
      <w:pPr>
        <w:pStyle w:val="Heading2"/>
        <w:spacing w:after="160" w:before="280"/>
      </w:pPr>
      <w:r>
        <w:rPr>
          <w:rFonts w:ascii="Arial" w:cs="Arial" w:eastAsia="Arial" w:hAnsi="Arial"/>
          <w:b/>
          <w:bCs/>
          <w:color w:val="2E75B6"/>
          <w:sz w:val="26"/>
          <w:szCs w:val="26"/>
        </w:rPr>
        <w:t xml:space="preserve">Note de utilizare</w:t>
      </w:r>
    </w:p>
    <w:p>
      <w:pPr>
        <w:pStyle w:val="ListParagraph"/>
        <w:numPr>
          <w:ilvl w:val="0"/>
          <w:numId w:val="2"/>
        </w:numPr>
        <w:spacing w:after="80" w:line="280"/>
        <w:jc w:val="both"/>
      </w:pPr>
      <w:r>
        <w:rPr>
          <w:rFonts w:ascii="Arial" w:cs="Arial" w:eastAsia="Arial" w:hAnsi="Arial"/>
          <w:sz w:val="22"/>
          <w:szCs w:val="22"/>
        </w:rPr>
        <w:t xml:space="preserve">Personalizați câmpurile [marcate cu paranteze drepte] înainte de trimitere.</w:t>
      </w:r>
    </w:p>
    <w:p>
      <w:pPr>
        <w:pStyle w:val="ListParagraph"/>
        <w:numPr>
          <w:ilvl w:val="0"/>
          <w:numId w:val="2"/>
        </w:numPr>
        <w:spacing w:after="80" w:line="280"/>
        <w:jc w:val="both"/>
      </w:pPr>
      <w:r>
        <w:rPr>
          <w:rFonts w:ascii="Arial" w:cs="Arial" w:eastAsia="Arial" w:hAnsi="Arial"/>
          <w:sz w:val="22"/>
          <w:szCs w:val="22"/>
        </w:rPr>
        <w:t xml:space="preserve">Atașați memoriu de fundamentare versiunea 2 (livrabil din Etapa 1).</w:t>
      </w:r>
    </w:p>
    <w:p>
      <w:pPr>
        <w:pStyle w:val="ListParagraph"/>
        <w:numPr>
          <w:ilvl w:val="0"/>
          <w:numId w:val="2"/>
        </w:numPr>
        <w:spacing w:after="80" w:line="280"/>
        <w:jc w:val="both"/>
      </w:pPr>
      <w:r>
        <w:rPr>
          <w:rFonts w:ascii="Arial" w:cs="Arial" w:eastAsia="Arial" w:hAnsi="Arial"/>
          <w:sz w:val="22"/>
          <w:szCs w:val="22"/>
        </w:rPr>
        <w:t xml:space="preserve">Trimiteți cu confirmare de primire; urmăriți cu telefon după 5–7 zile lucrătoare.</w:t>
      </w:r>
    </w:p>
    <w:p>
      <w:pPr>
        <w:pStyle w:val="ListParagraph"/>
        <w:numPr>
          <w:ilvl w:val="0"/>
          <w:numId w:val="2"/>
        </w:numPr>
        <w:spacing w:after="80" w:line="280"/>
        <w:jc w:val="both"/>
      </w:pPr>
      <w:r>
        <w:rPr>
          <w:rFonts w:ascii="Arial" w:cs="Arial" w:eastAsia="Arial" w:hAnsi="Arial"/>
          <w:sz w:val="22"/>
          <w:szCs w:val="22"/>
        </w:rPr>
        <w:t xml:space="preserve">Prima abordare este informală: nu cereți semnături, doar o discuție exploratorie.</w:t>
      </w:r>
    </w:p>
    <w:p>
      <w:pPr>
        <w:pStyle w:val="ListParagraph"/>
        <w:numPr>
          <w:ilvl w:val="0"/>
          <w:numId w:val="2"/>
        </w:numPr>
        <w:spacing w:after="80" w:line="280"/>
        <w:jc w:val="both"/>
      </w:pPr>
      <w:r>
        <w:rPr>
          <w:rFonts w:ascii="Arial" w:cs="Arial" w:eastAsia="Arial" w:hAnsi="Arial"/>
          <w:sz w:val="22"/>
          <w:szCs w:val="22"/>
        </w:rPr>
        <w:t xml:space="preserve">Adaptați tonul la cultura organizațională (Salvamont = direct, primărie = formal, ONG = colegial).</w:t>
      </w:r>
    </w:p>
    <w:p>
      <w:pPr>
        <w:spacing w:after="240" w:before="200"/>
        <w:jc w:val="center"/>
      </w:pPr>
      <w:r>
        <w:rPr>
          <w:rFonts w:ascii="Arial" w:cs="Arial" w:eastAsia="Arial" w:hAnsi="Arial"/>
          <w:b/>
          <w:bCs/>
          <w:color w:val="1F4E79"/>
          <w:sz w:val="26"/>
          <w:szCs w:val="26"/>
        </w:rPr>
        <w:t xml:space="preserve">Model 1 — Către Salvamont județean</w:t>
      </w:r>
    </w:p>
    <w:p>
      <w:pPr>
        <w:spacing w:after="60" w:line="280"/>
        <w:jc w:val="left"/>
      </w:pPr>
      <w:r>
        <w:rPr>
          <w:rFonts w:ascii="Arial" w:cs="Arial" w:eastAsia="Arial" w:hAnsi="Arial"/>
          <w:b w:val="false"/>
          <w:bCs w:val="false"/>
          <w:color w:val="595959"/>
          <w:sz w:val="20"/>
          <w:szCs w:val="20"/>
        </w:rPr>
        <w:t xml:space="preserve">Antet asociație: [denumire asociație, CIF, adresă, telefon, email, website]</w:t>
      </w:r>
    </w:p>
    <w:p>
      <w:pPr>
        <w:spacing w:after="60" w:line="280"/>
        <w:jc w:val="left"/>
      </w:pPr>
      <w:r>
        <w:rPr>
          <w:rFonts w:ascii="Arial" w:cs="Arial" w:eastAsia="Arial" w:hAnsi="Arial"/>
          <w:b w:val="false"/>
          <w:bCs w:val="false"/>
          <w:color w:val="595959"/>
          <w:sz w:val="20"/>
          <w:szCs w:val="20"/>
        </w:rPr>
        <w:t xml:space="preserve"/>
      </w:r>
    </w:p>
    <w:p>
      <w:pPr>
        <w:spacing w:after="60" w:line="280"/>
        <w:jc w:val="left"/>
      </w:pPr>
      <w:r>
        <w:rPr>
          <w:rFonts w:ascii="Arial" w:cs="Arial" w:eastAsia="Arial" w:hAnsi="Arial"/>
          <w:b w:val="false"/>
          <w:bCs w:val="false"/>
          <w:color w:val="595959"/>
          <w:sz w:val="20"/>
          <w:szCs w:val="20"/>
        </w:rPr>
        <w:t xml:space="preserve">Nr. înregistrare: [....] / [....] [....]  2027</w:t>
      </w:r>
    </w:p>
    <w:p>
      <w:pPr>
        <w:spacing w:after="60" w:line="280"/>
        <w:jc w:val="left"/>
      </w:pPr>
      <w:r>
        <w:rPr>
          <w:rFonts w:ascii="Arial" w:cs="Arial" w:eastAsia="Arial" w:hAnsi="Arial"/>
          <w:b w:val="false"/>
          <w:bCs w:val="false"/>
          <w:color w:val="595959"/>
          <w:sz w:val="20"/>
          <w:szCs w:val="20"/>
        </w:rPr>
        <w:t xml:space="preserve"/>
      </w:r>
    </w:p>
    <w:p>
      <w:pPr>
        <w:spacing w:after="60" w:line="280"/>
        <w:jc w:val="left"/>
      </w:pPr>
      <w:r>
        <w:rPr>
          <w:rFonts w:ascii="Arial" w:cs="Arial" w:eastAsia="Arial" w:hAnsi="Arial"/>
          <w:b/>
          <w:bCs/>
          <w:color w:val="595959"/>
          <w:sz w:val="20"/>
          <w:szCs w:val="20"/>
        </w:rPr>
        <w:t xml:space="preserve">Către:</w:t>
      </w:r>
    </w:p>
    <w:p>
      <w:pPr>
        <w:spacing w:after="60" w:line="280"/>
        <w:jc w:val="left"/>
      </w:pPr>
      <w:r>
        <w:rPr>
          <w:rFonts w:ascii="Arial" w:cs="Arial" w:eastAsia="Arial" w:hAnsi="Arial"/>
          <w:b w:val="false"/>
          <w:bCs w:val="false"/>
          <w:color w:val="595959"/>
          <w:sz w:val="20"/>
          <w:szCs w:val="20"/>
        </w:rPr>
        <w:t xml:space="preserve">Serviciul Public Județean Salvamont [Județul]</w:t>
      </w:r>
    </w:p>
    <w:p>
      <w:pPr>
        <w:spacing w:after="60" w:line="280"/>
        <w:jc w:val="left"/>
      </w:pPr>
      <w:r>
        <w:rPr>
          <w:rFonts w:ascii="Arial" w:cs="Arial" w:eastAsia="Arial" w:hAnsi="Arial"/>
          <w:b w:val="false"/>
          <w:bCs w:val="false"/>
          <w:color w:val="595959"/>
          <w:sz w:val="20"/>
          <w:szCs w:val="20"/>
        </w:rPr>
        <w:t xml:space="preserve">În atenția: Dl./Dna. [Nume], Șef Serviciu / Coordonator</w:t>
      </w:r>
    </w:p>
    <w:p>
      <w:pPr>
        <w:spacing w:after="60" w:line="280"/>
        <w:jc w:val="left"/>
      </w:pPr>
      <w:r>
        <w:rPr>
          <w:rFonts w:ascii="Arial" w:cs="Arial" w:eastAsia="Arial" w:hAnsi="Arial"/>
          <w:b w:val="false"/>
          <w:bCs w:val="false"/>
          <w:color w:val="595959"/>
          <w:sz w:val="20"/>
          <w:szCs w:val="20"/>
        </w:rPr>
        <w:t xml:space="preserve">[Adresă]</w:t>
      </w:r>
    </w:p>
    <w:p>
      <w:pPr>
        <w:spacing w:after="60" w:line="280"/>
        <w:jc w:val="left"/>
      </w:pPr>
      <w:r>
        <w:rPr>
          <w:rFonts w:ascii="Arial" w:cs="Arial" w:eastAsia="Arial" w:hAnsi="Arial"/>
          <w:b w:val="false"/>
          <w:bCs w:val="false"/>
          <w:color w:val="595959"/>
          <w:sz w:val="20"/>
          <w:szCs w:val="20"/>
        </w:rPr>
        <w:t xml:space="preserve"/>
      </w:r>
    </w:p>
    <w:p>
      <w:pPr>
        <w:spacing w:after="160" w:line="300"/>
        <w:jc w:val="both"/>
      </w:pPr>
      <w:r>
        <w:rPr>
          <w:rFonts w:ascii="Arial" w:cs="Arial" w:eastAsia="Arial" w:hAnsi="Arial"/>
          <w:b/>
          <w:bCs/>
          <w:i w:val="false"/>
          <w:iCs w:val="false"/>
          <w:color w:val="000000"/>
          <w:sz w:val="22"/>
          <w:szCs w:val="22"/>
        </w:rPr>
        <w:t xml:space="preserve">Stimate domn / Stimată doamnă,</w:t>
      </w:r>
    </w:p>
    <w:p>
      <w:pPr>
        <w:spacing w:after="160" w:line="300"/>
        <w:jc w:val="both"/>
      </w:pPr>
      <w:r>
        <w:rPr>
          <w:rFonts w:ascii="Arial" w:cs="Arial" w:eastAsia="Arial" w:hAnsi="Arial"/>
          <w:b w:val="false"/>
          <w:bCs w:val="false"/>
          <w:i w:val="false"/>
          <w:iCs w:val="false"/>
          <w:color w:val="000000"/>
          <w:sz w:val="22"/>
          <w:szCs w:val="22"/>
        </w:rPr>
        <w:t xml:space="preserve">Asociația [denumire] dezvoltă, începând cu 2026, un proiect de comunicații comunitare reziliente numit Signal For All, finanțat prin programul european NGI (Next Generation Internet). Proiectul construiește o infrastructură de comunicare descentralizată, bazată pe radiouri mesh LoRa și o aplicație Android optimizată pentru utilizare hands-free, accesibilă inclusiv persoanelor cu deficiențe vizuale.</w:t>
      </w:r>
    </w:p>
    <w:p>
      <w:pPr>
        <w:spacing w:after="160" w:line="300"/>
        <w:jc w:val="both"/>
      </w:pPr>
      <w:r>
        <w:rPr>
          <w:rFonts w:ascii="Arial" w:cs="Arial" w:eastAsia="Arial" w:hAnsi="Arial"/>
          <w:b w:val="false"/>
          <w:bCs w:val="false"/>
          <w:i w:val="false"/>
          <w:iCs w:val="false"/>
          <w:color w:val="000000"/>
          <w:sz w:val="22"/>
          <w:szCs w:val="22"/>
        </w:rPr>
        <w:t xml:space="preserve">Vă scriem pentru că recunoaștem activitatea Salvamontului [Județul] ca fiind exact tipul de organizație pentru care această tehnologie a fost gândită: echipe care operează regulat în zone fără acoperire mobilă, cu nevoie reală de coordonare internă rapidă, și cu cultură organizațională deschisă către instrumente noi de teren.</w:t>
      </w:r>
    </w:p>
    <w:p>
      <w:pPr>
        <w:spacing w:after="160" w:line="300"/>
        <w:jc w:val="both"/>
      </w:pPr>
      <w:r>
        <w:rPr>
          <w:rFonts w:ascii="Arial" w:cs="Arial" w:eastAsia="Arial" w:hAnsi="Arial"/>
          <w:b w:val="false"/>
          <w:bCs w:val="false"/>
          <w:i/>
          <w:iCs/>
          <w:color w:val="000000"/>
          <w:sz w:val="22"/>
          <w:szCs w:val="22"/>
        </w:rPr>
        <w:t xml:space="preserve">Pentru a fi explicit de la început: Signal For All NU este și nu se poziționează ca sistem de urgență, nu înlocuiește comunicațiile profesionale și nu interferează cu sistemele oficiale de intervenție. Este un instrument complementar, pentru coordonare auxiliară internă — patrule de teren, exerciții, comunicare logistică în zone fără semnal.</w:t>
      </w:r>
    </w:p>
    <w:p>
      <w:pPr>
        <w:spacing w:after="160" w:line="300"/>
        <w:jc w:val="both"/>
      </w:pPr>
      <w:r>
        <w:rPr>
          <w:rFonts w:ascii="Arial" w:cs="Arial" w:eastAsia="Arial" w:hAnsi="Arial"/>
          <w:b/>
          <w:bCs/>
          <w:i w:val="false"/>
          <w:iCs w:val="false"/>
          <w:color w:val="000000"/>
          <w:sz w:val="22"/>
          <w:szCs w:val="22"/>
        </w:rPr>
        <w:t xml:space="preserve">Concret, ne propunem următorul format de colaborare în 2027:</w:t>
      </w:r>
    </w:p>
    <w:p>
      <w:pPr>
        <w:pStyle w:val="ListParagraph"/>
        <w:numPr>
          <w:ilvl w:val="0"/>
          <w:numId w:val="3"/>
        </w:numPr>
        <w:spacing w:after="100"/>
      </w:pPr>
      <w:r>
        <w:rPr>
          <w:rFonts w:ascii="Arial" w:cs="Arial" w:eastAsia="Arial" w:hAnsi="Arial"/>
          <w:sz w:val="22"/>
          <w:szCs w:val="22"/>
        </w:rPr>
        <w:t xml:space="preserve">O întâlnire exploratorie, fără angajament, în sediul dumneavoastră (1–2 ore).</w:t>
      </w:r>
    </w:p>
    <w:p>
      <w:pPr>
        <w:pStyle w:val="ListParagraph"/>
        <w:numPr>
          <w:ilvl w:val="0"/>
          <w:numId w:val="3"/>
        </w:numPr>
        <w:spacing w:after="100"/>
      </w:pPr>
      <w:r>
        <w:rPr>
          <w:rFonts w:ascii="Arial" w:cs="Arial" w:eastAsia="Arial" w:hAnsi="Arial"/>
          <w:sz w:val="22"/>
          <w:szCs w:val="22"/>
        </w:rPr>
        <w:t xml:space="preserve">Dacă există interes, o demonstrație practică în teren cu echipa dumneavoastră (jumătate de zi).</w:t>
      </w:r>
    </w:p>
    <w:p>
      <w:pPr>
        <w:pStyle w:val="ListParagraph"/>
        <w:numPr>
          <w:ilvl w:val="0"/>
          <w:numId w:val="3"/>
        </w:numPr>
        <w:spacing w:after="100"/>
      </w:pPr>
      <w:r>
        <w:rPr>
          <w:rFonts w:ascii="Arial" w:cs="Arial" w:eastAsia="Arial" w:hAnsi="Arial"/>
          <w:sz w:val="22"/>
          <w:szCs w:val="22"/>
        </w:rPr>
        <w:t xml:space="preserve">Dacă demonstrația este convingătoare, un acord de pilot pentru 6–12 luni în care punem la dispoziție gratuit hardware-ul (15 noduri), instruirea, suportul tehnic și asistența completă.</w:t>
      </w:r>
    </w:p>
    <w:p>
      <w:pPr>
        <w:pStyle w:val="ListParagraph"/>
        <w:numPr>
          <w:ilvl w:val="0"/>
          <w:numId w:val="3"/>
        </w:numPr>
        <w:spacing w:after="200"/>
      </w:pPr>
      <w:r>
        <w:rPr>
          <w:rFonts w:ascii="Arial" w:cs="Arial" w:eastAsia="Arial" w:hAnsi="Arial"/>
          <w:sz w:val="22"/>
          <w:szCs w:val="22"/>
        </w:rPr>
        <w:t xml:space="preserve">În schimb, vă cerem doar feedback periodic și acordul de a documenta public lecțiile învățate (anonimizat dacă preferați).</w:t>
      </w:r>
    </w:p>
    <w:p>
      <w:pPr>
        <w:spacing w:after="160" w:line="300"/>
        <w:jc w:val="both"/>
      </w:pPr>
      <w:r>
        <w:rPr>
          <w:rFonts w:ascii="Arial" w:cs="Arial" w:eastAsia="Arial" w:hAnsi="Arial"/>
          <w:b w:val="false"/>
          <w:bCs w:val="false"/>
          <w:i w:val="false"/>
          <w:iCs w:val="false"/>
          <w:color w:val="000000"/>
          <w:sz w:val="22"/>
          <w:szCs w:val="22"/>
        </w:rPr>
        <w:t xml:space="preserve">Ce câștigați dumneavoastră: un instrument suplimentar de coordonare, fără cost, testat și susținut tehnic, pe durata pilotului. Echipele dumneavoastră capătă experiență cu o tehnologie care e în creștere rapidă în comunitatea internațională de salvare-montană (Meshtastic e folosit în Alpi, Pirinei, Munții Stâncoși).</w:t>
      </w:r>
    </w:p>
    <w:p>
      <w:pPr>
        <w:spacing w:after="160" w:line="300"/>
        <w:jc w:val="both"/>
      </w:pPr>
      <w:r>
        <w:rPr>
          <w:rFonts w:ascii="Arial" w:cs="Arial" w:eastAsia="Arial" w:hAnsi="Arial"/>
          <w:b w:val="false"/>
          <w:bCs w:val="false"/>
          <w:i w:val="false"/>
          <w:iCs w:val="false"/>
          <w:color w:val="000000"/>
          <w:sz w:val="22"/>
          <w:szCs w:val="22"/>
        </w:rPr>
        <w:t xml:space="preserve">Aș aprecia o întâlnire scurtă în următoarele 4–6 săptămâni, la sediul dumneavoastră sau online, pentru a vă prezenta proiectul în detaliu. Atașez memoriul de fundamentare cu detalii tehnice și de implementare. Pot fi contactat la [telefon] sau [email].</w:t>
      </w:r>
    </w:p>
    <w:p>
      <w:pPr>
        <w:spacing w:after="160" w:line="300"/>
        <w:jc w:val="both"/>
      </w:pPr>
      <w:r>
        <w:rPr>
          <w:rFonts w:ascii="Arial" w:cs="Arial" w:eastAsia="Arial" w:hAnsi="Arial"/>
          <w:b w:val="false"/>
          <w:bCs w:val="false"/>
          <w:i w:val="false"/>
          <w:iCs w:val="false"/>
          <w:color w:val="000000"/>
          <w:sz w:val="22"/>
          <w:szCs w:val="22"/>
        </w:rPr>
        <w:t xml:space="preserve">Vă mulțumesc pentru timpul dumneavoastră și pentru activitatea pe care o faceți.</w:t>
      </w:r>
    </w:p>
    <w:p>
      <w:pPr>
        <w:spacing w:after="160" w:line="300"/>
        <w:jc w:val="both"/>
      </w:pPr>
      <w:r>
        <w:rPr>
          <w:rFonts w:ascii="Arial" w:cs="Arial" w:eastAsia="Arial" w:hAnsi="Arial"/>
          <w:b w:val="false"/>
          <w:bCs w:val="false"/>
          <w:i w:val="false"/>
          <w:iCs w:val="false"/>
          <w:color w:val="000000"/>
          <w:sz w:val="22"/>
          <w:szCs w:val="22"/>
        </w:rPr>
        <w:t xml:space="preserve">Cu deosebită considerație,</w:t>
      </w:r>
    </w:p>
    <w:p>
      <w:pPr>
        <w:spacing w:after="160" w:line="300"/>
        <w:jc w:val="both"/>
      </w:pPr>
      <w:r>
        <w:rPr>
          <w:rFonts w:ascii="Arial" w:cs="Arial" w:eastAsia="Arial" w:hAnsi="Arial"/>
          <w:b/>
          <w:bCs/>
          <w:i w:val="false"/>
          <w:iCs w:val="false"/>
          <w:color w:val="000000"/>
          <w:sz w:val="22"/>
          <w:szCs w:val="22"/>
        </w:rPr>
        <w:t xml:space="preserve">[Nume, Prenume]</w:t>
      </w:r>
    </w:p>
    <w:p>
      <w:pPr>
        <w:spacing w:after="160" w:line="300"/>
        <w:jc w:val="both"/>
      </w:pPr>
      <w:r>
        <w:rPr>
          <w:rFonts w:ascii="Arial" w:cs="Arial" w:eastAsia="Arial" w:hAnsi="Arial"/>
          <w:b w:val="false"/>
          <w:bCs w:val="false"/>
          <w:i w:val="false"/>
          <w:iCs w:val="false"/>
          <w:color w:val="000000"/>
          <w:sz w:val="22"/>
          <w:szCs w:val="22"/>
        </w:rPr>
        <w:t xml:space="preserve">[Funcție] | Asociația [denumire]</w:t>
      </w:r>
    </w:p>
    <w:p>
      <w:pPr>
        <w:spacing w:after="160" w:line="300"/>
        <w:jc w:val="both"/>
      </w:pPr>
      <w:r>
        <w:rPr>
          <w:rFonts w:ascii="Arial" w:cs="Arial" w:eastAsia="Arial" w:hAnsi="Arial"/>
          <w:b w:val="false"/>
          <w:bCs w:val="false"/>
          <w:i w:val="false"/>
          <w:iCs w:val="false"/>
          <w:color w:val="595959"/>
          <w:sz w:val="22"/>
          <w:szCs w:val="22"/>
        </w:rPr>
        <w:t xml:space="preserve">[Telefon] | [email]</w:t>
      </w:r>
    </w:p>
    <w:p>
      <w:pPr>
        <w:spacing w:after="160" w:line="300"/>
        <w:jc w:val="both"/>
      </w:pPr>
      <w:r>
        <w:rPr>
          <w:rFonts w:ascii="Arial" w:cs="Arial" w:eastAsia="Arial" w:hAnsi="Arial"/>
          <w:b w:val="false"/>
          <w:bCs w:val="false"/>
          <w:i/>
          <w:iCs/>
          <w:color w:val="595959"/>
          <w:sz w:val="22"/>
          <w:szCs w:val="22"/>
        </w:rPr>
        <w:t xml:space="preserve">Anexă: Memoriu de fundamentare Signal For All Faza a II-a (v2)</w:t>
      </w:r>
    </w:p>
    <w:p>
      <w:r>
        <w:br w:type="page"/>
      </w:r>
    </w:p>
    <w:p>
      <w:pPr>
        <w:spacing w:after="240" w:before="200"/>
        <w:jc w:val="center"/>
      </w:pPr>
      <w:r>
        <w:rPr>
          <w:rFonts w:ascii="Arial" w:cs="Arial" w:eastAsia="Arial" w:hAnsi="Arial"/>
          <w:b/>
          <w:bCs/>
          <w:color w:val="1F4E79"/>
          <w:sz w:val="26"/>
          <w:szCs w:val="26"/>
        </w:rPr>
        <w:t xml:space="preserve">Model 2 — Către primărie rurală / comună</w:t>
      </w:r>
    </w:p>
    <w:p>
      <w:pPr>
        <w:spacing w:after="60" w:line="280"/>
        <w:jc w:val="left"/>
      </w:pPr>
      <w:r>
        <w:rPr>
          <w:rFonts w:ascii="Arial" w:cs="Arial" w:eastAsia="Arial" w:hAnsi="Arial"/>
          <w:b w:val="false"/>
          <w:bCs w:val="false"/>
          <w:color w:val="595959"/>
          <w:sz w:val="20"/>
          <w:szCs w:val="20"/>
        </w:rPr>
        <w:t xml:space="preserve">Antet asociație: [denumire asociație, CIF, adresă, telefon, email, website]</w:t>
      </w:r>
    </w:p>
    <w:p>
      <w:pPr>
        <w:spacing w:after="60" w:line="280"/>
        <w:jc w:val="left"/>
      </w:pPr>
      <w:r>
        <w:rPr>
          <w:rFonts w:ascii="Arial" w:cs="Arial" w:eastAsia="Arial" w:hAnsi="Arial"/>
          <w:b w:val="false"/>
          <w:bCs w:val="false"/>
          <w:color w:val="595959"/>
          <w:sz w:val="20"/>
          <w:szCs w:val="20"/>
        </w:rPr>
        <w:t xml:space="preserve"/>
      </w:r>
    </w:p>
    <w:p>
      <w:pPr>
        <w:spacing w:after="60" w:line="280"/>
        <w:jc w:val="left"/>
      </w:pPr>
      <w:r>
        <w:rPr>
          <w:rFonts w:ascii="Arial" w:cs="Arial" w:eastAsia="Arial" w:hAnsi="Arial"/>
          <w:b w:val="false"/>
          <w:bCs w:val="false"/>
          <w:color w:val="595959"/>
          <w:sz w:val="20"/>
          <w:szCs w:val="20"/>
        </w:rPr>
        <w:t xml:space="preserve">Nr. înregistrare: [....] / [....] [....]  2027</w:t>
      </w:r>
    </w:p>
    <w:p>
      <w:pPr>
        <w:spacing w:after="60" w:line="280"/>
        <w:jc w:val="left"/>
      </w:pPr>
      <w:r>
        <w:rPr>
          <w:rFonts w:ascii="Arial" w:cs="Arial" w:eastAsia="Arial" w:hAnsi="Arial"/>
          <w:b w:val="false"/>
          <w:bCs w:val="false"/>
          <w:color w:val="595959"/>
          <w:sz w:val="20"/>
          <w:szCs w:val="20"/>
        </w:rPr>
        <w:t xml:space="preserve"/>
      </w:r>
    </w:p>
    <w:p>
      <w:pPr>
        <w:spacing w:after="60" w:line="280"/>
        <w:jc w:val="left"/>
      </w:pPr>
      <w:r>
        <w:rPr>
          <w:rFonts w:ascii="Arial" w:cs="Arial" w:eastAsia="Arial" w:hAnsi="Arial"/>
          <w:b/>
          <w:bCs/>
          <w:color w:val="595959"/>
          <w:sz w:val="20"/>
          <w:szCs w:val="20"/>
        </w:rPr>
        <w:t xml:space="preserve">Către:</w:t>
      </w:r>
    </w:p>
    <w:p>
      <w:pPr>
        <w:spacing w:after="60" w:line="280"/>
        <w:jc w:val="left"/>
      </w:pPr>
      <w:r>
        <w:rPr>
          <w:rFonts w:ascii="Arial" w:cs="Arial" w:eastAsia="Arial" w:hAnsi="Arial"/>
          <w:b w:val="false"/>
          <w:bCs w:val="false"/>
          <w:color w:val="595959"/>
          <w:sz w:val="20"/>
          <w:szCs w:val="20"/>
        </w:rPr>
        <w:t xml:space="preserve">Primăria Comunei [Numele Comunei]</w:t>
      </w:r>
    </w:p>
    <w:p>
      <w:pPr>
        <w:spacing w:after="60" w:line="280"/>
        <w:jc w:val="left"/>
      </w:pPr>
      <w:r>
        <w:rPr>
          <w:rFonts w:ascii="Arial" w:cs="Arial" w:eastAsia="Arial" w:hAnsi="Arial"/>
          <w:b w:val="false"/>
          <w:bCs w:val="false"/>
          <w:color w:val="595959"/>
          <w:sz w:val="20"/>
          <w:szCs w:val="20"/>
        </w:rPr>
        <w:t xml:space="preserve">Domnului / Doamnei Primar [Nume]</w:t>
      </w:r>
    </w:p>
    <w:p>
      <w:pPr>
        <w:spacing w:after="60" w:line="280"/>
        <w:jc w:val="left"/>
      </w:pPr>
      <w:r>
        <w:rPr>
          <w:rFonts w:ascii="Arial" w:cs="Arial" w:eastAsia="Arial" w:hAnsi="Arial"/>
          <w:b w:val="false"/>
          <w:bCs w:val="false"/>
          <w:color w:val="595959"/>
          <w:sz w:val="20"/>
          <w:szCs w:val="20"/>
        </w:rPr>
        <w:t xml:space="preserve">[Adresă]</w:t>
      </w:r>
    </w:p>
    <w:p>
      <w:pPr>
        <w:spacing w:after="60" w:line="280"/>
        <w:jc w:val="left"/>
      </w:pPr>
      <w:r>
        <w:rPr>
          <w:rFonts w:ascii="Arial" w:cs="Arial" w:eastAsia="Arial" w:hAnsi="Arial"/>
          <w:b w:val="false"/>
          <w:bCs w:val="false"/>
          <w:color w:val="595959"/>
          <w:sz w:val="20"/>
          <w:szCs w:val="20"/>
        </w:rPr>
        <w:t xml:space="preserve"/>
      </w:r>
    </w:p>
    <w:p>
      <w:pPr>
        <w:spacing w:after="160" w:line="300"/>
        <w:jc w:val="both"/>
      </w:pPr>
      <w:r>
        <w:rPr>
          <w:rFonts w:ascii="Arial" w:cs="Arial" w:eastAsia="Arial" w:hAnsi="Arial"/>
          <w:b/>
          <w:bCs/>
          <w:i w:val="false"/>
          <w:iCs w:val="false"/>
          <w:color w:val="000000"/>
          <w:sz w:val="22"/>
          <w:szCs w:val="22"/>
        </w:rPr>
        <w:t xml:space="preserve">Stimate domnule Primar / Stimată doamnă Primar,</w:t>
      </w:r>
    </w:p>
    <w:p>
      <w:pPr>
        <w:spacing w:after="160" w:line="300"/>
        <w:jc w:val="both"/>
      </w:pPr>
      <w:r>
        <w:rPr>
          <w:rFonts w:ascii="Arial" w:cs="Arial" w:eastAsia="Arial" w:hAnsi="Arial"/>
          <w:b w:val="false"/>
          <w:bCs w:val="false"/>
          <w:i w:val="false"/>
          <w:iCs w:val="false"/>
          <w:color w:val="000000"/>
          <w:sz w:val="22"/>
          <w:szCs w:val="22"/>
        </w:rPr>
        <w:t xml:space="preserve">Vă adresez această scrisoare pentru a vă propune participarea Comunei [Nume] într-un proiect-pilot de comunicații comunitare reziliente, finanțat prin program european, care nu implică niciun cost pentru bugetul local și care ar putea fi util în special pentru comunicarea cu satele aparținătoare ale comunei dumneavoastră în perioade în care rețelele de telefonie mobilă sunt suprasolicitate sau indisponibile.</w:t>
      </w:r>
    </w:p>
    <w:p>
      <w:pPr>
        <w:spacing w:after="160" w:line="300"/>
        <w:jc w:val="both"/>
      </w:pPr>
      <w:r>
        <w:rPr>
          <w:rFonts w:ascii="Arial" w:cs="Arial" w:eastAsia="Arial" w:hAnsi="Arial"/>
          <w:b/>
          <w:bCs/>
          <w:i w:val="false"/>
          <w:iCs w:val="false"/>
          <w:color w:val="000000"/>
          <w:sz w:val="22"/>
          <w:szCs w:val="22"/>
        </w:rPr>
        <w:t xml:space="preserve">Despre proiect:</w:t>
      </w:r>
    </w:p>
    <w:p>
      <w:pPr>
        <w:spacing w:after="160" w:line="300"/>
        <w:jc w:val="both"/>
      </w:pPr>
      <w:r>
        <w:rPr>
          <w:rFonts w:ascii="Arial" w:cs="Arial" w:eastAsia="Arial" w:hAnsi="Arial"/>
          <w:b w:val="false"/>
          <w:bCs w:val="false"/>
          <w:i w:val="false"/>
          <w:iCs w:val="false"/>
          <w:color w:val="000000"/>
          <w:sz w:val="22"/>
          <w:szCs w:val="22"/>
        </w:rPr>
        <w:t xml:space="preserve">Asociația [denumire] dezvoltă proiectul Signal For All — o infrastructură de comunicații descentralizată, bazată pe radiouri de rază lungă (până la 5–10 km în linie de vedere) și o aplicație mobilă simplă. Sistemul funcționează independent de operatorii de telefonie mobilă și de internet, ceea ce îl face util în situații de avarie, în zone izolate, sau pentru coordonare între angajații primăriei și voluntari.</w:t>
      </w:r>
    </w:p>
    <w:p>
      <w:pPr>
        <w:spacing w:after="160" w:line="300"/>
        <w:jc w:val="both"/>
      </w:pPr>
      <w:r>
        <w:rPr>
          <w:rFonts w:ascii="Arial" w:cs="Arial" w:eastAsia="Arial" w:hAnsi="Arial"/>
          <w:b w:val="false"/>
          <w:bCs w:val="false"/>
          <w:i/>
          <w:iCs/>
          <w:color w:val="000000"/>
          <w:sz w:val="22"/>
          <w:szCs w:val="22"/>
        </w:rPr>
        <w:t xml:space="preserve">Țin să subliniez că acest sistem NU înlocuiește serviciile oficiale de urgență (112, ISU, Poliție). Este un instrument complementar de coordonare administrativă internă, pentru situații curente în care comunicarea convențională este dificilă.</w:t>
      </w:r>
    </w:p>
    <w:p>
      <w:pPr>
        <w:spacing w:after="160" w:line="300"/>
        <w:jc w:val="both"/>
      </w:pPr>
      <w:r>
        <w:rPr>
          <w:rFonts w:ascii="Arial" w:cs="Arial" w:eastAsia="Arial" w:hAnsi="Arial"/>
          <w:b/>
          <w:bCs/>
          <w:i w:val="false"/>
          <w:iCs w:val="false"/>
          <w:color w:val="000000"/>
          <w:sz w:val="22"/>
          <w:szCs w:val="22"/>
        </w:rPr>
        <w:t xml:space="preserve">Ce vă propunem concret:</w:t>
      </w:r>
    </w:p>
    <w:p>
      <w:pPr>
        <w:pStyle w:val="ListParagraph"/>
        <w:numPr>
          <w:ilvl w:val="0"/>
          <w:numId w:val="2"/>
        </w:numPr>
        <w:spacing w:after="80" w:line="280"/>
        <w:jc w:val="both"/>
      </w:pPr>
      <w:r>
        <w:rPr>
          <w:rFonts w:ascii="Arial" w:cs="Arial" w:eastAsia="Arial" w:hAnsi="Arial"/>
          <w:sz w:val="22"/>
          <w:szCs w:val="22"/>
        </w:rPr>
        <w:t xml:space="preserve">O prezentare la sediul primăriei (1–2 ore), pentru dumneavoastră și echipa de coordonare.</w:t>
      </w:r>
    </w:p>
    <w:p>
      <w:pPr>
        <w:pStyle w:val="ListParagraph"/>
        <w:numPr>
          <w:ilvl w:val="0"/>
          <w:numId w:val="2"/>
        </w:numPr>
        <w:spacing w:after="80" w:line="280"/>
        <w:jc w:val="both"/>
      </w:pPr>
      <w:r>
        <w:rPr>
          <w:rFonts w:ascii="Arial" w:cs="Arial" w:eastAsia="Arial" w:hAnsi="Arial"/>
          <w:sz w:val="22"/>
          <w:szCs w:val="22"/>
        </w:rPr>
        <w:t xml:space="preserve">Dacă este interes, instalarea gratuită a 10–15 noduri în comună și satele aparținătoare.</w:t>
      </w:r>
    </w:p>
    <w:p>
      <w:pPr>
        <w:pStyle w:val="ListParagraph"/>
        <w:numPr>
          <w:ilvl w:val="0"/>
          <w:numId w:val="2"/>
        </w:numPr>
        <w:spacing w:after="80" w:line="280"/>
        <w:jc w:val="both"/>
      </w:pPr>
      <w:r>
        <w:rPr>
          <w:rFonts w:ascii="Arial" w:cs="Arial" w:eastAsia="Arial" w:hAnsi="Arial"/>
          <w:sz w:val="22"/>
          <w:szCs w:val="22"/>
        </w:rPr>
        <w:t xml:space="preserve">Instruirea personalului primăriei și a voluntarilor (ex. SVSU).</w:t>
      </w:r>
    </w:p>
    <w:p>
      <w:pPr>
        <w:pStyle w:val="ListParagraph"/>
        <w:numPr>
          <w:ilvl w:val="0"/>
          <w:numId w:val="2"/>
        </w:numPr>
        <w:spacing w:after="80" w:line="280"/>
        <w:jc w:val="both"/>
      </w:pPr>
      <w:r>
        <w:rPr>
          <w:rFonts w:ascii="Arial" w:cs="Arial" w:eastAsia="Arial" w:hAnsi="Arial"/>
          <w:sz w:val="22"/>
          <w:szCs w:val="22"/>
        </w:rPr>
        <w:t xml:space="preserve">Suport tehnic pe durata pilotului (6–12 luni).</w:t>
      </w:r>
    </w:p>
    <w:p>
      <w:pPr>
        <w:pStyle w:val="ListParagraph"/>
        <w:numPr>
          <w:ilvl w:val="0"/>
          <w:numId w:val="2"/>
        </w:numPr>
        <w:spacing w:after="80" w:line="280"/>
        <w:jc w:val="both"/>
      </w:pPr>
      <w:r>
        <w:rPr>
          <w:rFonts w:ascii="Arial" w:cs="Arial" w:eastAsia="Arial" w:hAnsi="Arial"/>
          <w:sz w:val="22"/>
          <w:szCs w:val="22"/>
        </w:rPr>
        <w:t xml:space="preserve">Hardware-ul rămâne în proprietatea comunei la finalul pilotului, fără obligații.</w:t>
      </w:r>
    </w:p>
    <w:p>
      <w:pPr>
        <w:spacing w:after="160" w:line="300"/>
        <w:jc w:val="both"/>
      </w:pPr>
      <w:r>
        <w:rPr>
          <w:rFonts w:ascii="Arial" w:cs="Arial" w:eastAsia="Arial" w:hAnsi="Arial"/>
          <w:b/>
          <w:bCs/>
          <w:i w:val="false"/>
          <w:iCs w:val="false"/>
          <w:color w:val="000000"/>
          <w:sz w:val="22"/>
          <w:szCs w:val="22"/>
        </w:rPr>
        <w:t xml:space="preserve">Ce vă cerem:</w:t>
      </w:r>
    </w:p>
    <w:p>
      <w:pPr>
        <w:pStyle w:val="ListParagraph"/>
        <w:numPr>
          <w:ilvl w:val="0"/>
          <w:numId w:val="2"/>
        </w:numPr>
        <w:spacing w:after="80" w:line="280"/>
        <w:jc w:val="both"/>
      </w:pPr>
      <w:r>
        <w:rPr>
          <w:rFonts w:ascii="Arial" w:cs="Arial" w:eastAsia="Arial" w:hAnsi="Arial"/>
          <w:sz w:val="22"/>
          <w:szCs w:val="22"/>
        </w:rPr>
        <w:t xml:space="preserve">Doar acordul scris pentru testare și feedback periodic (un email scurt lunar).</w:t>
      </w:r>
    </w:p>
    <w:p>
      <w:pPr>
        <w:pStyle w:val="ListParagraph"/>
        <w:numPr>
          <w:ilvl w:val="0"/>
          <w:numId w:val="2"/>
        </w:numPr>
        <w:spacing w:after="80" w:line="280"/>
        <w:jc w:val="both"/>
      </w:pPr>
      <w:r>
        <w:rPr>
          <w:rFonts w:ascii="Arial" w:cs="Arial" w:eastAsia="Arial" w:hAnsi="Arial"/>
          <w:sz w:val="22"/>
          <w:szCs w:val="22"/>
        </w:rPr>
        <w:t xml:space="preserve">Permisiunea de a documenta public experiența pilotului (lecții învățate, fără date sensibile).</w:t>
      </w:r>
    </w:p>
    <w:p>
      <w:pPr>
        <w:spacing w:after="160" w:line="300"/>
        <w:jc w:val="both"/>
      </w:pPr>
      <w:r>
        <w:rPr>
          <w:rFonts w:ascii="Arial" w:cs="Arial" w:eastAsia="Arial" w:hAnsi="Arial"/>
          <w:b w:val="false"/>
          <w:bCs w:val="false"/>
          <w:i w:val="false"/>
          <w:iCs w:val="false"/>
          <w:color w:val="000000"/>
          <w:sz w:val="22"/>
          <w:szCs w:val="22"/>
        </w:rPr>
        <w:t xml:space="preserve">Pentru comune din zona [zonă geografică], unde acoperirea celulară este frecvent inconsistentă, un astfel de sistem poate fi de un real ajutor în coordonarea patrulelor de pază comunale, a echipelor SVSU, a întâlnirilor cu satele aparținătoare sau a evenimentelor publice (târguri, hramuri).</w:t>
      </w:r>
    </w:p>
    <w:p>
      <w:pPr>
        <w:spacing w:after="160" w:line="300"/>
        <w:jc w:val="both"/>
      </w:pPr>
      <w:r>
        <w:rPr>
          <w:rFonts w:ascii="Arial" w:cs="Arial" w:eastAsia="Arial" w:hAnsi="Arial"/>
          <w:b w:val="false"/>
          <w:bCs w:val="false"/>
          <w:i w:val="false"/>
          <w:iCs w:val="false"/>
          <w:color w:val="000000"/>
          <w:sz w:val="22"/>
          <w:szCs w:val="22"/>
        </w:rPr>
        <w:t xml:space="preserve">Vă rog să acceptați o întâlnire de 30–45 de minute, la o dată convenabilă dumneavoastră, pentru a vă prezenta proiectul. Sunt disponibil să mă deplasez la sediul primăriei. Am atașat memoriul de fundamentare cu toate detaliile tehnice și juridice.</w:t>
      </w:r>
    </w:p>
    <w:p>
      <w:pPr>
        <w:spacing w:after="160" w:line="300"/>
        <w:jc w:val="both"/>
      </w:pPr>
      <w:r>
        <w:rPr>
          <w:rFonts w:ascii="Arial" w:cs="Arial" w:eastAsia="Arial" w:hAnsi="Arial"/>
          <w:b w:val="false"/>
          <w:bCs w:val="false"/>
          <w:i w:val="false"/>
          <w:iCs w:val="false"/>
          <w:color w:val="000000"/>
          <w:sz w:val="22"/>
          <w:szCs w:val="22"/>
        </w:rPr>
        <w:t xml:space="preserve">Vă mulțumesc anticipat pentru atenție și aștept un răspuns la confirmarea primirii prezentei adrese.</w:t>
      </w:r>
    </w:p>
    <w:p>
      <w:pPr>
        <w:spacing w:after="160" w:line="300"/>
        <w:jc w:val="both"/>
      </w:pPr>
      <w:r>
        <w:rPr>
          <w:rFonts w:ascii="Arial" w:cs="Arial" w:eastAsia="Arial" w:hAnsi="Arial"/>
          <w:b w:val="false"/>
          <w:bCs w:val="false"/>
          <w:i w:val="false"/>
          <w:iCs w:val="false"/>
          <w:color w:val="000000"/>
          <w:sz w:val="22"/>
          <w:szCs w:val="22"/>
        </w:rPr>
        <w:t xml:space="preserve">Cu deosebită considerație,</w:t>
      </w:r>
    </w:p>
    <w:p>
      <w:pPr>
        <w:spacing w:after="160" w:line="300"/>
        <w:jc w:val="both"/>
      </w:pPr>
      <w:r>
        <w:rPr>
          <w:rFonts w:ascii="Arial" w:cs="Arial" w:eastAsia="Arial" w:hAnsi="Arial"/>
          <w:b/>
          <w:bCs/>
          <w:i w:val="false"/>
          <w:iCs w:val="false"/>
          <w:color w:val="000000"/>
          <w:sz w:val="22"/>
          <w:szCs w:val="22"/>
        </w:rPr>
        <w:t xml:space="preserve">[Nume, Prenume]</w:t>
      </w:r>
    </w:p>
    <w:p>
      <w:pPr>
        <w:spacing w:after="160" w:line="300"/>
        <w:jc w:val="both"/>
      </w:pPr>
      <w:r>
        <w:rPr>
          <w:rFonts w:ascii="Arial" w:cs="Arial" w:eastAsia="Arial" w:hAnsi="Arial"/>
          <w:b w:val="false"/>
          <w:bCs w:val="false"/>
          <w:i w:val="false"/>
          <w:iCs w:val="false"/>
          <w:color w:val="000000"/>
          <w:sz w:val="22"/>
          <w:szCs w:val="22"/>
        </w:rPr>
        <w:t xml:space="preserve">Președinte / Director Asociația [denumire]</w:t>
      </w:r>
    </w:p>
    <w:p>
      <w:pPr>
        <w:spacing w:after="160" w:line="300"/>
        <w:jc w:val="both"/>
      </w:pPr>
      <w:r>
        <w:rPr>
          <w:rFonts w:ascii="Arial" w:cs="Arial" w:eastAsia="Arial" w:hAnsi="Arial"/>
          <w:b w:val="false"/>
          <w:bCs w:val="false"/>
          <w:i w:val="false"/>
          <w:iCs w:val="false"/>
          <w:color w:val="595959"/>
          <w:sz w:val="22"/>
          <w:szCs w:val="22"/>
        </w:rPr>
        <w:t xml:space="preserve">[Telefon] | [email]</w:t>
      </w:r>
    </w:p>
    <w:p>
      <w:pPr>
        <w:spacing w:after="160" w:line="300"/>
        <w:jc w:val="both"/>
      </w:pPr>
      <w:r>
        <w:rPr>
          <w:rFonts w:ascii="Arial" w:cs="Arial" w:eastAsia="Arial" w:hAnsi="Arial"/>
          <w:b w:val="false"/>
          <w:bCs w:val="false"/>
          <w:i/>
          <w:iCs/>
          <w:color w:val="595959"/>
          <w:sz w:val="22"/>
          <w:szCs w:val="22"/>
        </w:rPr>
        <w:t xml:space="preserve">Anexă: Memoriu de fundamentare Signal For All Faza a II-a (v2)</w:t>
      </w:r>
    </w:p>
    <w:p>
      <w:r>
        <w:br w:type="page"/>
      </w:r>
    </w:p>
    <w:p>
      <w:pPr>
        <w:spacing w:after="240" w:before="200"/>
        <w:jc w:val="center"/>
      </w:pPr>
      <w:r>
        <w:rPr>
          <w:rFonts w:ascii="Arial" w:cs="Arial" w:eastAsia="Arial" w:hAnsi="Arial"/>
          <w:b/>
          <w:bCs/>
          <w:color w:val="1F4E79"/>
          <w:sz w:val="26"/>
          <w:szCs w:val="26"/>
        </w:rPr>
        <w:t xml:space="preserve">Model 3 — Către ONG de accesibilitate / nevăzători</w:t>
      </w:r>
    </w:p>
    <w:p>
      <w:pPr>
        <w:spacing w:after="60" w:line="280"/>
        <w:jc w:val="left"/>
      </w:pPr>
      <w:r>
        <w:rPr>
          <w:rFonts w:ascii="Arial" w:cs="Arial" w:eastAsia="Arial" w:hAnsi="Arial"/>
          <w:b w:val="false"/>
          <w:bCs w:val="false"/>
          <w:color w:val="595959"/>
          <w:sz w:val="20"/>
          <w:szCs w:val="20"/>
        </w:rPr>
        <w:t xml:space="preserve">Antet asociație: [denumire asociație, CIF, adresă, telefon, email, website]</w:t>
      </w:r>
    </w:p>
    <w:p>
      <w:pPr>
        <w:spacing w:after="60" w:line="280"/>
        <w:jc w:val="left"/>
      </w:pPr>
      <w:r>
        <w:rPr>
          <w:rFonts w:ascii="Arial" w:cs="Arial" w:eastAsia="Arial" w:hAnsi="Arial"/>
          <w:b w:val="false"/>
          <w:bCs w:val="false"/>
          <w:color w:val="595959"/>
          <w:sz w:val="20"/>
          <w:szCs w:val="20"/>
        </w:rPr>
        <w:t xml:space="preserve"/>
      </w:r>
    </w:p>
    <w:p>
      <w:pPr>
        <w:spacing w:after="60" w:line="280"/>
        <w:jc w:val="left"/>
      </w:pPr>
      <w:r>
        <w:rPr>
          <w:rFonts w:ascii="Arial" w:cs="Arial" w:eastAsia="Arial" w:hAnsi="Arial"/>
          <w:b w:val="false"/>
          <w:bCs w:val="false"/>
          <w:color w:val="595959"/>
          <w:sz w:val="20"/>
          <w:szCs w:val="20"/>
        </w:rPr>
        <w:t xml:space="preserve">[Localitate], [Data]</w:t>
      </w:r>
    </w:p>
    <w:p>
      <w:pPr>
        <w:spacing w:after="60" w:line="280"/>
        <w:jc w:val="left"/>
      </w:pPr>
      <w:r>
        <w:rPr>
          <w:rFonts w:ascii="Arial" w:cs="Arial" w:eastAsia="Arial" w:hAnsi="Arial"/>
          <w:b w:val="false"/>
          <w:bCs w:val="false"/>
          <w:color w:val="595959"/>
          <w:sz w:val="20"/>
          <w:szCs w:val="20"/>
        </w:rPr>
        <w:t xml:space="preserve"/>
      </w:r>
    </w:p>
    <w:p>
      <w:pPr>
        <w:spacing w:after="60" w:line="280"/>
        <w:jc w:val="left"/>
      </w:pPr>
      <w:r>
        <w:rPr>
          <w:rFonts w:ascii="Arial" w:cs="Arial" w:eastAsia="Arial" w:hAnsi="Arial"/>
          <w:b/>
          <w:bCs/>
          <w:color w:val="595959"/>
          <w:sz w:val="20"/>
          <w:szCs w:val="20"/>
        </w:rPr>
        <w:t xml:space="preserve">Către:</w:t>
      </w:r>
    </w:p>
    <w:p>
      <w:pPr>
        <w:spacing w:after="60" w:line="280"/>
        <w:jc w:val="left"/>
      </w:pPr>
      <w:r>
        <w:rPr>
          <w:rFonts w:ascii="Arial" w:cs="Arial" w:eastAsia="Arial" w:hAnsi="Arial"/>
          <w:b w:val="false"/>
          <w:bCs w:val="false"/>
          <w:color w:val="595959"/>
          <w:sz w:val="20"/>
          <w:szCs w:val="20"/>
        </w:rPr>
        <w:t xml:space="preserve">Asociația [Denumire ONG]</w:t>
      </w:r>
    </w:p>
    <w:p>
      <w:pPr>
        <w:spacing w:after="60" w:line="280"/>
        <w:jc w:val="left"/>
      </w:pPr>
      <w:r>
        <w:rPr>
          <w:rFonts w:ascii="Arial" w:cs="Arial" w:eastAsia="Arial" w:hAnsi="Arial"/>
          <w:b w:val="false"/>
          <w:bCs w:val="false"/>
          <w:color w:val="595959"/>
          <w:sz w:val="20"/>
          <w:szCs w:val="20"/>
        </w:rPr>
        <w:t xml:space="preserve">În atenția: Dnei. / Dlui. [Nume], Președinte / Director</w:t>
      </w:r>
    </w:p>
    <w:p>
      <w:pPr>
        <w:spacing w:after="60" w:line="280"/>
        <w:jc w:val="left"/>
      </w:pPr>
      <w:r>
        <w:rPr>
          <w:rFonts w:ascii="Arial" w:cs="Arial" w:eastAsia="Arial" w:hAnsi="Arial"/>
          <w:b w:val="false"/>
          <w:bCs w:val="false"/>
          <w:color w:val="595959"/>
          <w:sz w:val="20"/>
          <w:szCs w:val="20"/>
        </w:rPr>
        <w:t xml:space="preserve"/>
      </w:r>
    </w:p>
    <w:p>
      <w:pPr>
        <w:spacing w:after="160" w:line="300"/>
        <w:jc w:val="both"/>
      </w:pPr>
      <w:r>
        <w:rPr>
          <w:rFonts w:ascii="Arial" w:cs="Arial" w:eastAsia="Arial" w:hAnsi="Arial"/>
          <w:b/>
          <w:bCs/>
          <w:i w:val="false"/>
          <w:iCs w:val="false"/>
          <w:color w:val="000000"/>
          <w:sz w:val="22"/>
          <w:szCs w:val="22"/>
        </w:rPr>
        <w:t xml:space="preserve">Dragi colegi,</w:t>
      </w:r>
    </w:p>
    <w:p>
      <w:pPr>
        <w:spacing w:after="160" w:line="300"/>
        <w:jc w:val="both"/>
      </w:pPr>
      <w:r>
        <w:rPr>
          <w:rFonts w:ascii="Arial" w:cs="Arial" w:eastAsia="Arial" w:hAnsi="Arial"/>
          <w:b w:val="false"/>
          <w:bCs w:val="false"/>
          <w:i w:val="false"/>
          <w:iCs w:val="false"/>
          <w:color w:val="000000"/>
          <w:sz w:val="22"/>
          <w:szCs w:val="22"/>
        </w:rPr>
        <w:t xml:space="preserve">Vă scriu ca să vă propun o colaborare directă pe un proiect care, de la primul rând al specificațiilor, a fost gândit cu utilizatori cu deficiențe vizuale ca utilizatori principali — nu ca un add-on de accesibilitate.</w:t>
      </w:r>
    </w:p>
    <w:p>
      <w:pPr>
        <w:spacing w:after="160" w:line="300"/>
        <w:jc w:val="both"/>
      </w:pPr>
      <w:r>
        <w:rPr>
          <w:rFonts w:ascii="Arial" w:cs="Arial" w:eastAsia="Arial" w:hAnsi="Arial"/>
          <w:b w:val="false"/>
          <w:bCs w:val="false"/>
          <w:i w:val="false"/>
          <w:iCs w:val="false"/>
          <w:color w:val="000000"/>
          <w:sz w:val="22"/>
          <w:szCs w:val="22"/>
        </w:rPr>
        <w:t xml:space="preserve">Asociația [denumire] dezvoltă Signal For All, un sistem de comunicații prin radiouri de rază lungă (mesh LoRa, tehnologie Meshtastic) cu o aplicație Android care funcționează prin voce: vorbiți, mesajul vostru se transformă în text și se trimite, iar mesajele primite vă sunt citite cu voce tare. Asta înseamnă că persoana care folosește bastonul, ghidul sau câinele-însoțitor poate comunica fără să atingă ecranul, fără să caute taste, fără să depindă de TalkBack într-un mediu zgomotos.</w:t>
      </w:r>
    </w:p>
    <w:p>
      <w:pPr>
        <w:spacing w:after="160" w:line="300"/>
        <w:jc w:val="both"/>
      </w:pPr>
      <w:r>
        <w:rPr>
          <w:rFonts w:ascii="Arial" w:cs="Arial" w:eastAsia="Arial" w:hAnsi="Arial"/>
          <w:b w:val="false"/>
          <w:bCs w:val="false"/>
          <w:i w:val="false"/>
          <w:iCs w:val="false"/>
          <w:color w:val="000000"/>
          <w:sz w:val="22"/>
          <w:szCs w:val="22"/>
        </w:rPr>
        <w:t xml:space="preserve">Mai mult: pentru că folosește radiouri proprii, nu telefonie mobilă, sistemul funcționează și acolo unde semnalul e slab, în clădiri mari, în zone rurale, în munții pe care unii dintre membrii comunității îi străbat cu pasiune. Independența de operator este și ea o formă de accesibilitate.</w:t>
      </w:r>
    </w:p>
    <w:p>
      <w:pPr>
        <w:spacing w:after="160" w:line="300"/>
        <w:jc w:val="both"/>
      </w:pPr>
      <w:r>
        <w:rPr>
          <w:rFonts w:ascii="Arial" w:cs="Arial" w:eastAsia="Arial" w:hAnsi="Arial"/>
          <w:b/>
          <w:bCs/>
          <w:i w:val="false"/>
          <w:iCs w:val="false"/>
          <w:color w:val="000000"/>
          <w:sz w:val="22"/>
          <w:szCs w:val="22"/>
        </w:rPr>
        <w:t xml:space="preserve">Ce vă propun:</w:t>
      </w:r>
    </w:p>
    <w:p>
      <w:pPr>
        <w:pStyle w:val="ListParagraph"/>
        <w:numPr>
          <w:ilvl w:val="0"/>
          <w:numId w:val="2"/>
        </w:numPr>
        <w:spacing w:after="80" w:line="280"/>
        <w:jc w:val="both"/>
      </w:pPr>
      <w:r>
        <w:rPr>
          <w:rFonts w:ascii="Arial" w:cs="Arial" w:eastAsia="Arial" w:hAnsi="Arial"/>
          <w:sz w:val="22"/>
          <w:szCs w:val="22"/>
        </w:rPr>
        <w:t xml:space="preserve">O întâlnire la sediul nostru sau al dumneavoastră, în care să vă arăt aplicația funcționând.</w:t>
      </w:r>
    </w:p>
    <w:p>
      <w:pPr>
        <w:pStyle w:val="ListParagraph"/>
        <w:numPr>
          <w:ilvl w:val="0"/>
          <w:numId w:val="2"/>
        </w:numPr>
        <w:spacing w:after="80" w:line="280"/>
        <w:jc w:val="both"/>
      </w:pPr>
      <w:r>
        <w:rPr>
          <w:rFonts w:ascii="Arial" w:cs="Arial" w:eastAsia="Arial" w:hAnsi="Arial"/>
          <w:sz w:val="22"/>
          <w:szCs w:val="22"/>
        </w:rPr>
        <w:t xml:space="preserve">Recrutarea a 4–6 membri ai asociației dumneavoastră ca testeri plătiți (consultanți remunerați, nu voluntari neretribuiti).</w:t>
      </w:r>
    </w:p>
    <w:p>
      <w:pPr>
        <w:pStyle w:val="ListParagraph"/>
        <w:numPr>
          <w:ilvl w:val="0"/>
          <w:numId w:val="2"/>
        </w:numPr>
        <w:spacing w:after="80" w:line="280"/>
        <w:jc w:val="both"/>
      </w:pPr>
      <w:r>
        <w:rPr>
          <w:rFonts w:ascii="Arial" w:cs="Arial" w:eastAsia="Arial" w:hAnsi="Arial"/>
          <w:sz w:val="22"/>
          <w:szCs w:val="22"/>
        </w:rPr>
        <w:t xml:space="preserve">Sesiuni de validare UX trimestriale, în care feedback-ul lor schimbă efectiv produsul.</w:t>
      </w:r>
    </w:p>
    <w:p>
      <w:pPr>
        <w:pStyle w:val="ListParagraph"/>
        <w:numPr>
          <w:ilvl w:val="0"/>
          <w:numId w:val="2"/>
        </w:numPr>
        <w:spacing w:after="80" w:line="280"/>
        <w:jc w:val="both"/>
      </w:pPr>
      <w:r>
        <w:rPr>
          <w:rFonts w:ascii="Arial" w:cs="Arial" w:eastAsia="Arial" w:hAnsi="Arial"/>
          <w:sz w:val="22"/>
          <w:szCs w:val="22"/>
        </w:rPr>
        <w:t xml:space="preserve">Co-publicarea unui studiu despre experiența utilizatorilor cu deficiențe vizuale cu tehnologii mesh — primul de acest gen, după știința mea.</w:t>
      </w:r>
    </w:p>
    <w:p>
      <w:pPr>
        <w:spacing w:after="160" w:line="300"/>
        <w:jc w:val="both"/>
      </w:pPr>
      <w:r>
        <w:rPr>
          <w:rFonts w:ascii="Arial" w:cs="Arial" w:eastAsia="Arial" w:hAnsi="Arial"/>
          <w:b/>
          <w:bCs/>
          <w:i w:val="false"/>
          <w:iCs w:val="false"/>
          <w:color w:val="000000"/>
          <w:sz w:val="22"/>
          <w:szCs w:val="22"/>
        </w:rPr>
        <w:t xml:space="preserve">Ce vă cer:</w:t>
      </w:r>
    </w:p>
    <w:p>
      <w:pPr>
        <w:pStyle w:val="ListParagraph"/>
        <w:numPr>
          <w:ilvl w:val="0"/>
          <w:numId w:val="2"/>
        </w:numPr>
        <w:spacing w:after="80" w:line="280"/>
        <w:jc w:val="both"/>
      </w:pPr>
      <w:r>
        <w:rPr>
          <w:rFonts w:ascii="Arial" w:cs="Arial" w:eastAsia="Arial" w:hAnsi="Arial"/>
          <w:sz w:val="22"/>
          <w:szCs w:val="22"/>
        </w:rPr>
        <w:t xml:space="preserve">Acces la rețeaua dumneavoastră de membri și sprijin în recrutarea testerilor.</w:t>
      </w:r>
    </w:p>
    <w:p>
      <w:pPr>
        <w:pStyle w:val="ListParagraph"/>
        <w:numPr>
          <w:ilvl w:val="0"/>
          <w:numId w:val="2"/>
        </w:numPr>
        <w:spacing w:after="80" w:line="280"/>
        <w:jc w:val="both"/>
      </w:pPr>
      <w:r>
        <w:rPr>
          <w:rFonts w:ascii="Arial" w:cs="Arial" w:eastAsia="Arial" w:hAnsi="Arial"/>
          <w:sz w:val="22"/>
          <w:szCs w:val="22"/>
        </w:rPr>
        <w:t xml:space="preserve">Numele asociației dumneavoastră ca partener pe materialele de comunicare ale proiectului (cu acordul vostru explicit la fiecare publicare).</w:t>
      </w:r>
    </w:p>
    <w:p>
      <w:pPr>
        <w:pStyle w:val="ListParagraph"/>
        <w:numPr>
          <w:ilvl w:val="0"/>
          <w:numId w:val="2"/>
        </w:numPr>
        <w:spacing w:after="80" w:line="280"/>
        <w:jc w:val="both"/>
      </w:pPr>
      <w:r>
        <w:rPr>
          <w:rFonts w:ascii="Arial" w:cs="Arial" w:eastAsia="Arial" w:hAnsi="Arial"/>
          <w:sz w:val="22"/>
          <w:szCs w:val="22"/>
        </w:rPr>
        <w:t xml:space="preserve">Onestitatea brutală pe care o știu că o aveți cu privire la ce funcționează și ce nu.</w:t>
      </w:r>
    </w:p>
    <w:p>
      <w:pPr>
        <w:spacing w:after="160" w:line="300"/>
        <w:jc w:val="both"/>
      </w:pPr>
      <w:r>
        <w:rPr>
          <w:rFonts w:ascii="Arial" w:cs="Arial" w:eastAsia="Arial" w:hAnsi="Arial"/>
          <w:b w:val="false"/>
          <w:bCs w:val="false"/>
          <w:i/>
          <w:iCs/>
          <w:color w:val="000000"/>
          <w:sz w:val="22"/>
          <w:szCs w:val="22"/>
        </w:rPr>
        <w:t xml:space="preserve">Vă spun direct: pentru proiect, parteneriatul cu dumneavoastră nu este un "caz de utilizare". Este verificarea că nu ne mințim singuri când spunem că proiectul e accessibility-native. Dacă oamenii dumneavoastră îl folosesc cu plăcere, înseamnă că am construit ce am promis. Dacă nu, înseamnă că trebuie să refacem.</w:t>
      </w:r>
    </w:p>
    <w:p>
      <w:pPr>
        <w:spacing w:after="160" w:line="300"/>
        <w:jc w:val="both"/>
      </w:pPr>
      <w:r>
        <w:rPr>
          <w:rFonts w:ascii="Arial" w:cs="Arial" w:eastAsia="Arial" w:hAnsi="Arial"/>
          <w:b w:val="false"/>
          <w:bCs w:val="false"/>
          <w:i w:val="false"/>
          <w:iCs w:val="false"/>
          <w:color w:val="000000"/>
          <w:sz w:val="22"/>
          <w:szCs w:val="22"/>
        </w:rPr>
        <w:t xml:space="preserve">Sunt disponibil să trec pe la sediu oricând în următoarele săptămâni. Adăugat la această scrisoare găsiți un memoriu mai tehnic, dar mi-ar plăcea mai mult să discutăm direct, peste o cafea, cu echipa voastră.</w:t>
      </w:r>
    </w:p>
    <w:p>
      <w:pPr>
        <w:spacing w:after="160" w:line="300"/>
        <w:jc w:val="both"/>
      </w:pPr>
      <w:r>
        <w:rPr>
          <w:rFonts w:ascii="Arial" w:cs="Arial" w:eastAsia="Arial" w:hAnsi="Arial"/>
          <w:b w:val="false"/>
          <w:bCs w:val="false"/>
          <w:i w:val="false"/>
          <w:iCs w:val="false"/>
          <w:color w:val="000000"/>
          <w:sz w:val="22"/>
          <w:szCs w:val="22"/>
        </w:rPr>
        <w:t xml:space="preserve">Cu drag și considerație colegială,</w:t>
      </w:r>
    </w:p>
    <w:p>
      <w:pPr>
        <w:spacing w:after="160" w:line="300"/>
        <w:jc w:val="both"/>
      </w:pPr>
      <w:r>
        <w:rPr>
          <w:rFonts w:ascii="Arial" w:cs="Arial" w:eastAsia="Arial" w:hAnsi="Arial"/>
          <w:b/>
          <w:bCs/>
          <w:i w:val="false"/>
          <w:iCs w:val="false"/>
          <w:color w:val="000000"/>
          <w:sz w:val="22"/>
          <w:szCs w:val="22"/>
        </w:rPr>
        <w:t xml:space="preserve">[Nume, Prenume]</w:t>
      </w:r>
    </w:p>
    <w:p>
      <w:pPr>
        <w:spacing w:after="160" w:line="300"/>
        <w:jc w:val="both"/>
      </w:pPr>
      <w:r>
        <w:rPr>
          <w:rFonts w:ascii="Arial" w:cs="Arial" w:eastAsia="Arial" w:hAnsi="Arial"/>
          <w:b w:val="false"/>
          <w:bCs w:val="false"/>
          <w:i w:val="false"/>
          <w:iCs w:val="false"/>
          <w:color w:val="000000"/>
          <w:sz w:val="22"/>
          <w:szCs w:val="22"/>
        </w:rPr>
        <w:t xml:space="preserve">Asociația [denumire]</w:t>
      </w:r>
    </w:p>
    <w:p>
      <w:pPr>
        <w:spacing w:after="160" w:line="300"/>
        <w:jc w:val="both"/>
      </w:pPr>
      <w:r>
        <w:rPr>
          <w:rFonts w:ascii="Arial" w:cs="Arial" w:eastAsia="Arial" w:hAnsi="Arial"/>
          <w:b w:val="false"/>
          <w:bCs w:val="false"/>
          <w:i w:val="false"/>
          <w:iCs w:val="false"/>
          <w:color w:val="595959"/>
          <w:sz w:val="22"/>
          <w:szCs w:val="22"/>
        </w:rPr>
        <w:t xml:space="preserve">[Telefon] | [email]</w:t>
      </w:r>
    </w:p>
    <w:p>
      <w:pPr>
        <w:spacing w:after="160" w:line="300"/>
        <w:jc w:val="both"/>
      </w:pPr>
      <w:r>
        <w:rPr>
          <w:rFonts w:ascii="Arial" w:cs="Arial" w:eastAsia="Arial" w:hAnsi="Arial"/>
          <w:b w:val="false"/>
          <w:bCs w:val="false"/>
          <w:i/>
          <w:iCs/>
          <w:color w:val="595959"/>
          <w:sz w:val="22"/>
          <w:szCs w:val="22"/>
        </w:rPr>
        <w:t xml:space="preserve">Atașament: Memoriu de fundamentare Signal For All Faza a II-a — disponibil și în format audio și Braille la cerere</w:t>
      </w:r>
    </w:p>
    <w:p>
      <w:r>
        <w:br w:type="page"/>
      </w:r>
    </w:p>
    <w:p>
      <w:pPr>
        <w:spacing w:after="240" w:before="200"/>
        <w:jc w:val="center"/>
      </w:pPr>
      <w:r>
        <w:rPr>
          <w:rFonts w:ascii="Arial" w:cs="Arial" w:eastAsia="Arial" w:hAnsi="Arial"/>
          <w:b/>
          <w:bCs/>
          <w:color w:val="1F4E79"/>
          <w:sz w:val="26"/>
          <w:szCs w:val="26"/>
        </w:rPr>
        <w:t xml:space="preserve">Model 4 — Generic (administrație arie protejată, organizator evenimente, ONG SAR)</w:t>
      </w:r>
    </w:p>
    <w:p>
      <w:pPr>
        <w:spacing w:after="60" w:line="280"/>
        <w:jc w:val="left"/>
      </w:pPr>
      <w:r>
        <w:rPr>
          <w:rFonts w:ascii="Arial" w:cs="Arial" w:eastAsia="Arial" w:hAnsi="Arial"/>
          <w:b w:val="false"/>
          <w:bCs w:val="false"/>
          <w:color w:val="595959"/>
          <w:sz w:val="20"/>
          <w:szCs w:val="20"/>
        </w:rPr>
        <w:t xml:space="preserve">Antet asociație: [denumire asociație, CIF, adresă, telefon, email, website]</w:t>
      </w:r>
    </w:p>
    <w:p>
      <w:pPr>
        <w:spacing w:after="60" w:line="280"/>
        <w:jc w:val="left"/>
      </w:pPr>
      <w:r>
        <w:rPr>
          <w:rFonts w:ascii="Arial" w:cs="Arial" w:eastAsia="Arial" w:hAnsi="Arial"/>
          <w:b w:val="false"/>
          <w:bCs w:val="false"/>
          <w:color w:val="595959"/>
          <w:sz w:val="20"/>
          <w:szCs w:val="20"/>
        </w:rPr>
        <w:t xml:space="preserve"/>
      </w:r>
    </w:p>
    <w:p>
      <w:pPr>
        <w:spacing w:after="60" w:line="280"/>
        <w:jc w:val="left"/>
      </w:pPr>
      <w:r>
        <w:rPr>
          <w:rFonts w:ascii="Arial" w:cs="Arial" w:eastAsia="Arial" w:hAnsi="Arial"/>
          <w:b w:val="false"/>
          <w:bCs w:val="false"/>
          <w:color w:val="595959"/>
          <w:sz w:val="20"/>
          <w:szCs w:val="20"/>
        </w:rPr>
        <w:t xml:space="preserve">[Localitate], [Data]</w:t>
      </w:r>
    </w:p>
    <w:p>
      <w:pPr>
        <w:spacing w:after="60" w:line="280"/>
        <w:jc w:val="left"/>
      </w:pPr>
      <w:r>
        <w:rPr>
          <w:rFonts w:ascii="Arial" w:cs="Arial" w:eastAsia="Arial" w:hAnsi="Arial"/>
          <w:b w:val="false"/>
          <w:bCs w:val="false"/>
          <w:color w:val="595959"/>
          <w:sz w:val="20"/>
          <w:szCs w:val="20"/>
        </w:rPr>
        <w:t xml:space="preserve"/>
      </w:r>
    </w:p>
    <w:p>
      <w:pPr>
        <w:spacing w:after="60" w:line="280"/>
        <w:jc w:val="left"/>
      </w:pPr>
      <w:r>
        <w:rPr>
          <w:rFonts w:ascii="Arial" w:cs="Arial" w:eastAsia="Arial" w:hAnsi="Arial"/>
          <w:b/>
          <w:bCs/>
          <w:color w:val="595959"/>
          <w:sz w:val="20"/>
          <w:szCs w:val="20"/>
        </w:rPr>
        <w:t xml:space="preserve">Către:</w:t>
      </w:r>
    </w:p>
    <w:p>
      <w:pPr>
        <w:spacing w:after="60" w:line="280"/>
        <w:jc w:val="left"/>
      </w:pPr>
      <w:r>
        <w:rPr>
          <w:rFonts w:ascii="Arial" w:cs="Arial" w:eastAsia="Arial" w:hAnsi="Arial"/>
          <w:b w:val="false"/>
          <w:bCs w:val="false"/>
          <w:color w:val="595959"/>
          <w:sz w:val="20"/>
          <w:szCs w:val="20"/>
        </w:rPr>
        <w:t xml:space="preserve">[Denumire organizație]</w:t>
      </w:r>
    </w:p>
    <w:p>
      <w:pPr>
        <w:spacing w:after="60" w:line="280"/>
        <w:jc w:val="left"/>
      </w:pPr>
      <w:r>
        <w:rPr>
          <w:rFonts w:ascii="Arial" w:cs="Arial" w:eastAsia="Arial" w:hAnsi="Arial"/>
          <w:b w:val="false"/>
          <w:bCs w:val="false"/>
          <w:color w:val="595959"/>
          <w:sz w:val="20"/>
          <w:szCs w:val="20"/>
        </w:rPr>
        <w:t xml:space="preserve">În atenția: [Nume, funcție]</w:t>
      </w:r>
    </w:p>
    <w:p>
      <w:pPr>
        <w:spacing w:after="60" w:line="280"/>
        <w:jc w:val="left"/>
      </w:pPr>
      <w:r>
        <w:rPr>
          <w:rFonts w:ascii="Arial" w:cs="Arial" w:eastAsia="Arial" w:hAnsi="Arial"/>
          <w:b w:val="false"/>
          <w:bCs w:val="false"/>
          <w:color w:val="595959"/>
          <w:sz w:val="20"/>
          <w:szCs w:val="20"/>
        </w:rPr>
        <w:t xml:space="preserve"/>
      </w:r>
    </w:p>
    <w:p>
      <w:pPr>
        <w:spacing w:after="160" w:line="300"/>
        <w:jc w:val="both"/>
      </w:pPr>
      <w:r>
        <w:rPr>
          <w:rFonts w:ascii="Arial" w:cs="Arial" w:eastAsia="Arial" w:hAnsi="Arial"/>
          <w:b/>
          <w:bCs/>
          <w:i w:val="false"/>
          <w:iCs w:val="false"/>
          <w:color w:val="000000"/>
          <w:sz w:val="22"/>
          <w:szCs w:val="22"/>
        </w:rPr>
        <w:t xml:space="preserve">Stimate domn / Stimată doamnă [Nume],</w:t>
      </w:r>
    </w:p>
    <w:p>
      <w:pPr>
        <w:spacing w:after="160" w:line="300"/>
        <w:jc w:val="both"/>
      </w:pPr>
      <w:r>
        <w:rPr>
          <w:rFonts w:ascii="Arial" w:cs="Arial" w:eastAsia="Arial" w:hAnsi="Arial"/>
          <w:b w:val="false"/>
          <w:bCs w:val="false"/>
          <w:i w:val="false"/>
          <w:iCs w:val="false"/>
          <w:color w:val="000000"/>
          <w:sz w:val="22"/>
          <w:szCs w:val="22"/>
        </w:rPr>
        <w:t xml:space="preserve">Asociația [denumire] caută parteneri pentru un proiect-pilot 2027 finanțat prin programul european NGI, iar [denumire organizație] se încadrează exact în profilul de organizație pentru care tehnologia noastră este gândită: activitate de teren regulată, nevoie de coordonare în zone cu acoperire mobilă inconsistentă, echipă receptivă la instrumente noi.</w:t>
      </w:r>
    </w:p>
    <w:p>
      <w:pPr>
        <w:spacing w:after="160" w:line="300"/>
        <w:jc w:val="both"/>
      </w:pPr>
      <w:r>
        <w:rPr>
          <w:rFonts w:ascii="Arial" w:cs="Arial" w:eastAsia="Arial" w:hAnsi="Arial"/>
          <w:b w:val="false"/>
          <w:bCs w:val="false"/>
          <w:i w:val="false"/>
          <w:iCs w:val="false"/>
          <w:color w:val="000000"/>
          <w:sz w:val="22"/>
          <w:szCs w:val="22"/>
        </w:rPr>
        <w:t xml:space="preserve">Pe scurt: Signal For All este o aplicație Android + radiouri mesh LoRa care permit comunicare prin voce în zone fără semnal celular. Funcționează hands-free (vorbiți, sistemul trimite text; primiți, vi se citește cu voce). Este un sistem complementar pentru coordonare auxiliară — NU înlocuiește comunicațiile profesionale și nu este un sistem de urgență.</w:t>
      </w:r>
    </w:p>
    <w:p>
      <w:pPr>
        <w:spacing w:after="160" w:line="300"/>
        <w:jc w:val="both"/>
      </w:pPr>
      <w:r>
        <w:rPr>
          <w:rFonts w:ascii="Arial" w:cs="Arial" w:eastAsia="Arial" w:hAnsi="Arial"/>
          <w:b w:val="false"/>
          <w:bCs w:val="false"/>
          <w:i w:val="false"/>
          <w:iCs w:val="false"/>
          <w:color w:val="000000"/>
          <w:sz w:val="22"/>
          <w:szCs w:val="22"/>
        </w:rPr>
        <w:t xml:space="preserve">Pentru [denumire organizație], aplicabilitatea ar putea include: [adaptați aici — de exemplu: patrule rangers în arii protejate, coordonare voluntari în evenimente outdoor, comunicare între posturi avansate în SAR, etc.].</w:t>
      </w:r>
    </w:p>
    <w:p>
      <w:pPr>
        <w:spacing w:after="160" w:line="300"/>
        <w:jc w:val="both"/>
      </w:pPr>
      <w:r>
        <w:rPr>
          <w:rFonts w:ascii="Arial" w:cs="Arial" w:eastAsia="Arial" w:hAnsi="Arial"/>
          <w:b/>
          <w:bCs/>
          <w:i w:val="false"/>
          <w:iCs w:val="false"/>
          <w:color w:val="000000"/>
          <w:sz w:val="22"/>
          <w:szCs w:val="22"/>
        </w:rPr>
        <w:t xml:space="preserve">Propunere:</w:t>
      </w:r>
    </w:p>
    <w:p>
      <w:pPr>
        <w:pStyle w:val="ListParagraph"/>
        <w:numPr>
          <w:ilvl w:val="0"/>
          <w:numId w:val="2"/>
        </w:numPr>
        <w:spacing w:after="80" w:line="280"/>
        <w:jc w:val="both"/>
      </w:pPr>
      <w:r>
        <w:rPr>
          <w:rFonts w:ascii="Arial" w:cs="Arial" w:eastAsia="Arial" w:hAnsi="Arial"/>
          <w:sz w:val="22"/>
          <w:szCs w:val="22"/>
        </w:rPr>
        <w:t xml:space="preserve">Întâlnire exploratorie de 60–90 minute (la sediul dumneavoastră sau online).</w:t>
      </w:r>
    </w:p>
    <w:p>
      <w:pPr>
        <w:pStyle w:val="ListParagraph"/>
        <w:numPr>
          <w:ilvl w:val="0"/>
          <w:numId w:val="2"/>
        </w:numPr>
        <w:spacing w:after="80" w:line="280"/>
        <w:jc w:val="both"/>
      </w:pPr>
      <w:r>
        <w:rPr>
          <w:rFonts w:ascii="Arial" w:cs="Arial" w:eastAsia="Arial" w:hAnsi="Arial"/>
          <w:sz w:val="22"/>
          <w:szCs w:val="22"/>
        </w:rPr>
        <w:t xml:space="preserve">Demo practică în teren la cererea dumneavoastră.</w:t>
      </w:r>
    </w:p>
    <w:p>
      <w:pPr>
        <w:pStyle w:val="ListParagraph"/>
        <w:numPr>
          <w:ilvl w:val="0"/>
          <w:numId w:val="2"/>
        </w:numPr>
        <w:spacing w:after="80" w:line="280"/>
        <w:jc w:val="both"/>
      </w:pPr>
      <w:r>
        <w:rPr>
          <w:rFonts w:ascii="Arial" w:cs="Arial" w:eastAsia="Arial" w:hAnsi="Arial"/>
          <w:sz w:val="22"/>
          <w:szCs w:val="22"/>
        </w:rPr>
        <w:t xml:space="preserve">Pilot de 6–12 luni cu hardware furnizat gratuit, instruire, suport tehnic activ.</w:t>
      </w:r>
    </w:p>
    <w:p>
      <w:pPr>
        <w:pStyle w:val="ListParagraph"/>
        <w:numPr>
          <w:ilvl w:val="0"/>
          <w:numId w:val="2"/>
        </w:numPr>
        <w:spacing w:after="80" w:line="280"/>
        <w:jc w:val="both"/>
      </w:pPr>
      <w:r>
        <w:rPr>
          <w:rFonts w:ascii="Arial" w:cs="Arial" w:eastAsia="Arial" w:hAnsi="Arial"/>
          <w:sz w:val="22"/>
          <w:szCs w:val="22"/>
        </w:rPr>
        <w:t xml:space="preserve">La final: hardware rămâne la dumneavoastră, lecțiile învățate sunt publicate în acord cu dumneavoastră.</w:t>
      </w:r>
    </w:p>
    <w:p>
      <w:pPr>
        <w:spacing w:after="160" w:line="300"/>
        <w:jc w:val="both"/>
      </w:pPr>
      <w:r>
        <w:rPr>
          <w:rFonts w:ascii="Arial" w:cs="Arial" w:eastAsia="Arial" w:hAnsi="Arial"/>
          <w:b w:val="false"/>
          <w:bCs w:val="false"/>
          <w:i w:val="false"/>
          <w:iCs w:val="false"/>
          <w:color w:val="000000"/>
          <w:sz w:val="22"/>
          <w:szCs w:val="22"/>
        </w:rPr>
        <w:t xml:space="preserve">Aș aprecia un răspuns scurt în următoarele 2–3 săptămâni, indiferent dacă este pozitiv sau nu. Dacă acum nu este momentul potrivit, vă mulțumesc pentru timp și păstrăm legătura pentru viitor.</w:t>
      </w:r>
    </w:p>
    <w:p>
      <w:pPr>
        <w:spacing w:after="160" w:line="300"/>
        <w:jc w:val="both"/>
      </w:pPr>
      <w:r>
        <w:rPr>
          <w:rFonts w:ascii="Arial" w:cs="Arial" w:eastAsia="Arial" w:hAnsi="Arial"/>
          <w:b w:val="false"/>
          <w:bCs w:val="false"/>
          <w:i w:val="false"/>
          <w:iCs w:val="false"/>
          <w:color w:val="000000"/>
          <w:sz w:val="22"/>
          <w:szCs w:val="22"/>
        </w:rPr>
        <w:t xml:space="preserve">Memoriul de fundamentare cu toate detaliile tehnice, juridice și de implementare este atașat. Sunt la dispoziția dumneavoastră pentru orice clarificare.</w:t>
      </w:r>
    </w:p>
    <w:p>
      <w:pPr>
        <w:spacing w:after="160" w:line="300"/>
        <w:jc w:val="both"/>
      </w:pPr>
      <w:r>
        <w:rPr>
          <w:rFonts w:ascii="Arial" w:cs="Arial" w:eastAsia="Arial" w:hAnsi="Arial"/>
          <w:b w:val="false"/>
          <w:bCs w:val="false"/>
          <w:i w:val="false"/>
          <w:iCs w:val="false"/>
          <w:color w:val="000000"/>
          <w:sz w:val="22"/>
          <w:szCs w:val="22"/>
        </w:rPr>
        <w:t xml:space="preserve">Cu respect,</w:t>
      </w:r>
    </w:p>
    <w:p>
      <w:pPr>
        <w:spacing w:after="160" w:line="300"/>
        <w:jc w:val="both"/>
      </w:pPr>
      <w:r>
        <w:rPr>
          <w:rFonts w:ascii="Arial" w:cs="Arial" w:eastAsia="Arial" w:hAnsi="Arial"/>
          <w:b/>
          <w:bCs/>
          <w:i w:val="false"/>
          <w:iCs w:val="false"/>
          <w:color w:val="000000"/>
          <w:sz w:val="22"/>
          <w:szCs w:val="22"/>
        </w:rPr>
        <w:t xml:space="preserve">[Nume, Prenume]</w:t>
      </w:r>
    </w:p>
    <w:p>
      <w:pPr>
        <w:spacing w:after="160" w:line="300"/>
        <w:jc w:val="both"/>
      </w:pPr>
      <w:r>
        <w:rPr>
          <w:rFonts w:ascii="Arial" w:cs="Arial" w:eastAsia="Arial" w:hAnsi="Arial"/>
          <w:b w:val="false"/>
          <w:bCs w:val="false"/>
          <w:i w:val="false"/>
          <w:iCs w:val="false"/>
          <w:color w:val="000000"/>
          <w:sz w:val="22"/>
          <w:szCs w:val="22"/>
        </w:rPr>
        <w:t xml:space="preserve">[Funcție] | Asociația [denumire]</w:t>
      </w:r>
    </w:p>
    <w:p>
      <w:pPr>
        <w:spacing w:after="160" w:line="300"/>
        <w:jc w:val="both"/>
      </w:pPr>
      <w:r>
        <w:rPr>
          <w:rFonts w:ascii="Arial" w:cs="Arial" w:eastAsia="Arial" w:hAnsi="Arial"/>
          <w:b w:val="false"/>
          <w:bCs w:val="false"/>
          <w:i w:val="false"/>
          <w:iCs w:val="false"/>
          <w:color w:val="595959"/>
          <w:sz w:val="22"/>
          <w:szCs w:val="22"/>
        </w:rPr>
        <w:t xml:space="preserve">[Telefon] | [email]</w:t>
      </w:r>
    </w:p>
    <w:p>
      <w:pPr>
        <w:spacing w:after="160" w:line="300"/>
        <w:jc w:val="both"/>
      </w:pPr>
      <w:r>
        <w:rPr>
          <w:rFonts w:ascii="Arial" w:cs="Arial" w:eastAsia="Arial" w:hAnsi="Arial"/>
          <w:b w:val="false"/>
          <w:bCs w:val="false"/>
          <w:i/>
          <w:iCs/>
          <w:color w:val="595959"/>
          <w:sz w:val="22"/>
          <w:szCs w:val="22"/>
        </w:rPr>
        <w:t xml:space="preserve">Anexă: Memoriu de fundamentare Signal For All Faza a II-a (v2)</w:t>
      </w:r>
    </w:p>
    <w:p>
      <w:r>
        <w:br w:type="page"/>
      </w:r>
    </w:p>
    <w:p>
      <w:pPr>
        <w:pStyle w:val="Heading2"/>
        <w:spacing w:after="160" w:before="280"/>
      </w:pPr>
      <w:r>
        <w:rPr>
          <w:rFonts w:ascii="Arial" w:cs="Arial" w:eastAsia="Arial" w:hAnsi="Arial"/>
          <w:b/>
          <w:bCs/>
          <w:color w:val="2E75B6"/>
          <w:sz w:val="26"/>
          <w:szCs w:val="26"/>
        </w:rPr>
        <w:t xml:space="preserve">Checklist de follow-up după trimiterea scrisorii</w:t>
      </w:r>
    </w:p>
    <w:p>
      <w:pPr>
        <w:spacing w:after="120" w:line="300"/>
        <w:jc w:val="both"/>
      </w:pPr>
      <w:r>
        <w:rPr>
          <w:rFonts w:ascii="Arial" w:cs="Arial" w:eastAsia="Arial" w:hAnsi="Arial"/>
          <w:sz w:val="22"/>
          <w:szCs w:val="22"/>
        </w:rPr>
        <w:t xml:space="preserve">Pentru fiecare prospect contactat, urmați acest proces: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4680"/>
        <w:gridCol w:w="3360"/>
      </w:tblGrid>
      <w:tr>
        <w:trPr>
          <w:tblHeader/>
        </w:trPr>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Zi</w:t>
            </w:r>
          </w:p>
        </w:tc>
        <w:tc>
          <w:tcPr>
            <w:tcW w:type="dxa" w:w="4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Acțiune</w:t>
            </w:r>
          </w:p>
        </w:tc>
        <w:tc>
          <w:tcPr>
            <w:tcW w:type="dxa" w:w="33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Output așteptat</w:t>
            </w:r>
          </w:p>
        </w:tc>
      </w:tr>
      <w:tr>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Z+0</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Trimitere scrisoare prin email și/sau poștă cu confirmare de primire</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Confirmare livrare</w:t>
            </w:r>
          </w:p>
        </w:tc>
      </w:tr>
      <w:tr>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Z+5</w:t>
            </w:r>
          </w:p>
        </w:tc>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Telefon scurt — verificare primire, ofertă de a răspunde la întrebări</w:t>
            </w:r>
          </w:p>
        </w:tc>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Notă în CRM despre ton și interes</w:t>
            </w:r>
          </w:p>
        </w:tc>
      </w:tr>
      <w:tr>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Z+14</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Email de follow-up dacă nu există răspuns — un singur reminder, scurt</w:t>
            </w:r>
          </w:p>
        </w:tc>
        <w:tc>
          <w:tcPr>
            <w:tcW w:type="dxa" w:w="33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Răspuns sau no-go</w:t>
            </w:r>
          </w:p>
        </w:tc>
      </w:tr>
      <w:tr>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i w:val="false"/>
                <w:iCs w:val="false"/>
                <w:color w:val="000000"/>
                <w:sz w:val="20"/>
                <w:szCs w:val="20"/>
              </w:rPr>
              <w:t xml:space="preserve">Z+30</w:t>
            </w:r>
          </w:p>
        </w:tc>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Decizie internă: prospect activ / pasiv / închis</w:t>
            </w:r>
          </w:p>
        </w:tc>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Status final</w:t>
            </w:r>
          </w:p>
        </w:tc>
      </w:tr>
    </w:tbl>
    <w:p>
      <w:pPr>
        <w:pBdr>
          <w:left w:val="single" w:color="2E75B6" w:sz="24" w:space="12"/>
        </w:pBdr>
        <w:spacing w:after="160" w:before="160" w:line="300"/>
        <w:ind w:left="240"/>
        <w:jc w:val="both"/>
      </w:pPr>
      <w:r>
        <w:rPr>
          <w:rFonts w:ascii="Arial" w:cs="Arial" w:eastAsia="Arial" w:hAnsi="Arial"/>
          <w:i/>
          <w:iCs/>
          <w:color w:val="595959"/>
          <w:sz w:val="22"/>
          <w:szCs w:val="22"/>
        </w:rPr>
        <w:t xml:space="preserve">Regula de aur: nu insistați mai mult de un follow-up. Tăcerea după primul reminder este un răspuns. Lista scurtă conține mai mulți prospecți decât parteneri necesari, exact pentru că rata de conversie este realistă, nu optimistă. Dacă din 6 prospecți obțineți 2 parteneri activi, este un succes.</w:t>
      </w:r>
    </w:p>
    <w:p>
      <w:r>
        <w:br w:type="page"/>
      </w:r>
    </w:p>
    <w:p>
      <w:pPr>
        <w:pStyle w:val="Heading1"/>
        <w:spacing w:after="200" w:before="360"/>
      </w:pPr>
      <w:r>
        <w:rPr>
          <w:rFonts w:ascii="Arial" w:cs="Arial" w:eastAsia="Arial" w:hAnsi="Arial"/>
          <w:b/>
          <w:bCs/>
          <w:color w:val="1F4E79"/>
          <w:sz w:val="32"/>
          <w:szCs w:val="32"/>
        </w:rPr>
        <w:t xml:space="preserve">A3. Annex — Executive Summary (English)</w:t>
      </w:r>
    </w:p>
    <w:p>
      <w:pPr>
        <w:spacing w:after="120" w:line="300"/>
        <w:jc w:val="both"/>
      </w:pPr>
      <w:r>
        <w:rPr>
          <w:rFonts w:ascii="Arial" w:cs="Arial" w:eastAsia="Arial" w:hAnsi="Arial"/>
          <w:i/>
          <w:iCs/>
          <w:color w:val="595959"/>
          <w:sz w:val="22"/>
          <w:szCs w:val="22"/>
        </w:rPr>
        <w:t xml:space="preserve">This annex contains a 2-page executive summary in English, intended for direct inclusion in grant applications (NGI0 Core, NLnet, Erasmus+ KA2, CERV, Horizon Europe). It can be extracted as a standalone document.</w:t>
      </w:r>
    </w:p>
    <w:p>
      <w:pPr>
        <w:pBdr>
          <w:bottom w:val="single" w:color="1F4E79" w:sz="12" w:space="6"/>
        </w:pBdr>
        <w:spacing w:after="240" w:before="400"/>
        <w:jc w:val="center"/>
      </w:pPr>
      <w:r>
        <w:rPr>
          <w:rFonts w:ascii="Arial" w:cs="Arial" w:eastAsia="Arial" w:hAnsi="Arial"/>
          <w:b/>
          <w:bCs/>
          <w:color w:val="1F4E79"/>
          <w:sz w:val="32"/>
          <w:szCs w:val="32"/>
        </w:rPr>
        <w:t xml:space="preserve">SIGNAL FOR ALL — PHASE II</w:t>
      </w:r>
    </w:p>
    <w:p>
      <w:pPr>
        <w:spacing w:after="200"/>
        <w:jc w:val="center"/>
      </w:pPr>
      <w:r>
        <w:rPr>
          <w:rFonts w:ascii="Arial" w:cs="Arial" w:eastAsia="Arial" w:hAnsi="Arial"/>
          <w:color w:val="2E75B6"/>
          <w:sz w:val="26"/>
          <w:szCs w:val="26"/>
        </w:rPr>
        <w:t xml:space="preserve">Institutional Pilot &amp; Public Sector Validation</w:t>
      </w:r>
    </w:p>
    <w:p>
      <w:pPr>
        <w:spacing w:after="360"/>
        <w:jc w:val="center"/>
      </w:pPr>
      <w:r>
        <w:rPr>
          <w:rFonts w:ascii="Arial" w:cs="Arial" w:eastAsia="Arial" w:hAnsi="Arial"/>
          <w:i/>
          <w:iCs/>
          <w:color w:val="595959"/>
          <w:sz w:val="22"/>
          <w:szCs w:val="22"/>
        </w:rPr>
        <w:t xml:space="preserve">Executive Summary — Grant Application Annex</w:t>
      </w:r>
    </w:p>
    <w:p>
      <w:pPr>
        <w:pStyle w:val="Heading3"/>
        <w:spacing w:after="120" w:before="200"/>
      </w:pPr>
      <w:r>
        <w:rPr>
          <w:rFonts w:ascii="Arial" w:cs="Arial" w:eastAsia="Arial" w:hAnsi="Arial"/>
          <w:b/>
          <w:bCs/>
          <w:color w:val="1F4E79"/>
          <w:sz w:val="23"/>
          <w:szCs w:val="23"/>
        </w:rPr>
        <w:t xml:space="preserve">Project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Project name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Signal For All — Phase II: Institutional Pilot &amp; Public Sector Validation</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Lead organisation</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[Association name], Romania</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Duration</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24 months (January 2027 — December 2028)</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Budget requested</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EUR 185,878 (Scenario B — balanced)</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Co-funding (in-kind)</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 EUR 42,000 (volunteer time, hardware donations, pro-bono services)</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Geographic focus</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Romania, with replicable framework for EU member states</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License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Software: open-source (existing); Framework documents: Creative Commons BY-SA 4.0</w:t>
            </w:r>
          </w:p>
        </w:tc>
      </w:tr>
    </w:tbl>
    <w:p>
      <w:pPr>
        <w:pStyle w:val="Heading3"/>
        <w:spacing w:after="120" w:before="200"/>
      </w:pPr>
      <w:r>
        <w:rPr>
          <w:rFonts w:ascii="Arial" w:cs="Arial" w:eastAsia="Arial" w:hAnsi="Arial"/>
          <w:b/>
          <w:bCs/>
          <w:color w:val="1F4E79"/>
          <w:sz w:val="23"/>
          <w:szCs w:val="23"/>
        </w:rPr>
        <w:t xml:space="preserve">Context and rationale</w:t>
      </w:r>
    </w:p>
    <w:p>
      <w:pPr>
        <w:spacing w:after="120" w:line="300"/>
        <w:jc w:val="both"/>
      </w:pPr>
      <w:r>
        <w:rPr>
          <w:rFonts w:ascii="Arial" w:cs="Arial" w:eastAsia="Arial" w:hAnsi="Arial"/>
          <w:sz w:val="22"/>
          <w:szCs w:val="22"/>
        </w:rPr>
        <w:t xml:space="preserve">Signal For All is an accessibility-native decentralized communication layer built on Meshtastic mesh radios, integrated with an Android application that performs on-device speech-to-text before transmission and text-to-speech upon reception. Phase I (2026) delivers the working technology, real-hardware validation, and public documentation. Phase II takes this technical foundation and tests it where it matters most: in the hands of real organisations operating in infrastructure-constrained environments.</w:t>
      </w:r>
    </w:p>
    <w:p>
      <w:pPr>
        <w:spacing w:after="120" w:line="300"/>
        <w:jc w:val="both"/>
      </w:pPr>
      <w:r>
        <w:rPr>
          <w:rFonts w:ascii="Arial" w:cs="Arial" w:eastAsia="Arial" w:hAnsi="Arial"/>
          <w:sz w:val="22"/>
          <w:szCs w:val="22"/>
        </w:rPr>
        <w:t xml:space="preserve">The project addresses two interlocking public-interest challenges: (1) digital exclusion of users with visual and motor impairments from off-grid communication tools, and (2) civic resilience gaps in regions where commercial mobile networks are unreliable, absent, or overwhelmed during disruption. Crucially, both challenges share the same underlying design requirement: communication that remains usable when conventional interaction patterns fail.</w:t>
      </w:r>
    </w:p>
    <w:p>
      <w:pPr>
        <w:pBdr>
          <w:left w:val="single" w:color="BF8F00" w:sz="24" w:space="12"/>
        </w:pBdr>
        <w:spacing w:after="160" w:before="160" w:line="300"/>
        <w:ind w:left="240"/>
        <w:jc w:val="both"/>
      </w:pPr>
      <w:r>
        <w:rPr>
          <w:rFonts w:ascii="Arial" w:cs="Arial" w:eastAsia="Arial" w:hAnsi="Arial"/>
          <w:i/>
          <w:iCs/>
          <w:color w:val="595959"/>
          <w:sz w:val="22"/>
          <w:szCs w:val="22"/>
        </w:rPr>
        <w:t xml:space="preserve">Phase II is NOT positioned as an emergency communications system, does not seek to replace licensed public-safety infrastructure (TETRA, STS, 112), and explicitly avoids regulatory and reputational risk associated with mission-critical claims. The project targets supplementary, auxiliary, and pre-critical communication contexts only.</w:t>
      </w:r>
    </w:p>
    <w:p>
      <w:pPr>
        <w:pStyle w:val="Heading3"/>
        <w:spacing w:after="120" w:before="200"/>
      </w:pPr>
      <w:r>
        <w:rPr>
          <w:rFonts w:ascii="Arial" w:cs="Arial" w:eastAsia="Arial" w:hAnsi="Arial"/>
          <w:b/>
          <w:bCs/>
          <w:color w:val="1F4E79"/>
          <w:sz w:val="23"/>
          <w:szCs w:val="23"/>
        </w:rPr>
        <w:t xml:space="preserve">Phase II objectives</w:t>
      </w:r>
    </w:p>
    <w:p>
      <w:pPr>
        <w:spacing w:after="120" w:line="300"/>
        <w:jc w:val="both"/>
      </w:pPr>
      <w:r>
        <w:rPr>
          <w:rFonts w:ascii="Arial" w:cs="Arial" w:eastAsia="Arial" w:hAnsi="Arial"/>
          <w:sz w:val="22"/>
          <w:szCs w:val="22"/>
        </w:rPr>
        <w:t xml:space="preserve">Phase II operationalises three concrete objectives:</w:t>
      </w:r>
    </w:p>
    <w:p>
      <w:pPr>
        <w:pStyle w:val="ListParagraph"/>
        <w:numPr>
          <w:ilvl w:val="0"/>
          <w:numId w:val="2"/>
        </w:numPr>
        <w:spacing w:after="80" w:line="280"/>
        <w:jc w:val="both"/>
      </w:pPr>
      <w:r>
        <w:rPr>
          <w:rFonts w:ascii="Arial" w:cs="Arial" w:eastAsia="Arial" w:hAnsi="Arial"/>
          <w:b/>
          <w:bCs/>
          <w:sz w:val="22"/>
          <w:szCs w:val="22"/>
        </w:rPr>
        <w:t xml:space="preserve">Real-world validation: </w:t>
      </w:r>
      <w:r>
        <w:rPr>
          <w:rFonts w:ascii="Arial" w:cs="Arial" w:eastAsia="Arial" w:hAnsi="Arial"/>
          <w:sz w:val="22"/>
          <w:szCs w:val="22"/>
        </w:rPr>
        <w:t xml:space="preserve">Deploy the system with at least three Tier 1 partner organisations (local mountain rescue, accessibility NGO, rural municipality or protected area administration) for a minimum of 9 months of operational use.</w:t>
      </w:r>
    </w:p>
    <w:p>
      <w:pPr>
        <w:pStyle w:val="ListParagraph"/>
        <w:numPr>
          <w:ilvl w:val="0"/>
          <w:numId w:val="2"/>
        </w:numPr>
        <w:spacing w:after="80" w:line="280"/>
        <w:jc w:val="both"/>
      </w:pPr>
      <w:r>
        <w:rPr>
          <w:rFonts w:ascii="Arial" w:cs="Arial" w:eastAsia="Arial" w:hAnsi="Arial"/>
          <w:b/>
          <w:bCs/>
          <w:sz w:val="22"/>
          <w:szCs w:val="22"/>
        </w:rPr>
        <w:t xml:space="preserve">Public adoption framework: </w:t>
      </w:r>
      <w:r>
        <w:rPr>
          <w:rFonts w:ascii="Arial" w:cs="Arial" w:eastAsia="Arial" w:hAnsi="Arial"/>
          <w:sz w:val="22"/>
          <w:szCs w:val="22"/>
        </w:rPr>
        <w:t xml:space="preserve">Produce and publish under Creative Commons an Institutional Adoption Framework for Community Mesh Communications — covering legal analysis (Romanian / EU), procurement guidance, technical deployment blueprints, acceptable use boundaries, spectrum density planning, and operational best practices.</w:t>
      </w:r>
    </w:p>
    <w:p>
      <w:pPr>
        <w:pStyle w:val="ListParagraph"/>
        <w:numPr>
          <w:ilvl w:val="0"/>
          <w:numId w:val="2"/>
        </w:numPr>
        <w:spacing w:after="80" w:line="280"/>
        <w:jc w:val="both"/>
      </w:pPr>
      <w:r>
        <w:rPr>
          <w:rFonts w:ascii="Arial" w:cs="Arial" w:eastAsia="Arial" w:hAnsi="Arial"/>
          <w:b/>
          <w:bCs/>
          <w:sz w:val="22"/>
          <w:szCs w:val="22"/>
        </w:rPr>
        <w:t xml:space="preserve">Knowledge dissemination: </w:t>
      </w:r>
      <w:r>
        <w:rPr>
          <w:rFonts w:ascii="Arial" w:cs="Arial" w:eastAsia="Arial" w:hAnsi="Arial"/>
          <w:sz w:val="22"/>
          <w:szCs w:val="22"/>
        </w:rPr>
        <w:t xml:space="preserve">Publish at least one peer-relevant applied study on deployment density and accessibility ergonomics, present at minimum 3 international and 4 national venues, host webinars in Romanian for civic organisations across the country.</w:t>
      </w:r>
    </w:p>
    <w:p>
      <w:r>
        <w:br w:type="page"/>
      </w:r>
    </w:p>
    <w:p>
      <w:pPr>
        <w:pStyle w:val="Heading3"/>
        <w:spacing w:after="120" w:before="200"/>
      </w:pPr>
      <w:r>
        <w:rPr>
          <w:rFonts w:ascii="Arial" w:cs="Arial" w:eastAsia="Arial" w:hAnsi="Arial"/>
          <w:b/>
          <w:bCs/>
          <w:color w:val="1F4E79"/>
          <w:sz w:val="23"/>
          <w:szCs w:val="23"/>
        </w:rPr>
        <w:t xml:space="preserve">Methodology and tier-based engagement</w:t>
      </w:r>
    </w:p>
    <w:p>
      <w:pPr>
        <w:spacing w:after="120" w:line="300"/>
        <w:jc w:val="both"/>
      </w:pPr>
      <w:r>
        <w:rPr>
          <w:rFonts w:ascii="Arial" w:cs="Arial" w:eastAsia="Arial" w:hAnsi="Arial"/>
          <w:sz w:val="22"/>
          <w:szCs w:val="22"/>
        </w:rPr>
        <w:t xml:space="preserve">Phase II uses a tiered approach to institutional engagement that explicitly avoids overreach. Tier 1 organisations (Salvamont local branches, accessibility NGOs, rural municipalities, protected area administrations, outdoor event coordinators) are the active pilot partners — these have low procurement barriers, operational autonomy, and genuine need. Tier 2 organisations (county-level emergency services, mountain gendarmerie) are not direct adoption targets; their engagement happens informally through Tier 1 partners they already collaborate with. Tier 3 (national security infrastructure, ministry-level structures) is explicitly out of scope.</w:t>
      </w:r>
    </w:p>
    <w:p>
      <w:pPr>
        <w:spacing w:after="120" w:line="300"/>
        <w:jc w:val="both"/>
      </w:pPr>
      <w:r>
        <w:rPr>
          <w:rFonts w:ascii="Arial" w:cs="Arial" w:eastAsia="Arial" w:hAnsi="Arial"/>
          <w:sz w:val="22"/>
          <w:szCs w:val="22"/>
        </w:rPr>
        <w:t xml:space="preserve">This approach is not a limitation — it is a feature. By avoiding Tier 3, the project remains free of certification overhead and political bottlenecks that would otherwise consume resources without producing measurable impact. It also preserves the project's identity as community-driven infrastructure, not government technology.</w:t>
      </w:r>
    </w:p>
    <w:p>
      <w:pPr>
        <w:pStyle w:val="Heading3"/>
        <w:spacing w:after="120" w:before="200"/>
      </w:pPr>
      <w:r>
        <w:rPr>
          <w:rFonts w:ascii="Arial" w:cs="Arial" w:eastAsia="Arial" w:hAnsi="Arial"/>
          <w:b/>
          <w:bCs/>
          <w:color w:val="1F4E79"/>
          <w:sz w:val="23"/>
          <w:szCs w:val="23"/>
        </w:rPr>
        <w:t xml:space="preserve">Expected impact</w:t>
      </w:r>
    </w:p>
    <w:p>
      <w:pPr>
        <w:pStyle w:val="ListParagraph"/>
        <w:numPr>
          <w:ilvl w:val="0"/>
          <w:numId w:val="2"/>
        </w:numPr>
        <w:spacing w:after="80" w:line="280"/>
        <w:jc w:val="both"/>
      </w:pPr>
      <w:r>
        <w:rPr>
          <w:rFonts w:ascii="Arial" w:cs="Arial" w:eastAsia="Arial" w:hAnsi="Arial"/>
          <w:b/>
          <w:bCs/>
          <w:sz w:val="22"/>
          <w:szCs w:val="22"/>
        </w:rPr>
        <w:t xml:space="preserve">Direct beneficiaries: </w:t>
      </w:r>
      <w:r>
        <w:rPr>
          <w:rFonts w:ascii="Arial" w:cs="Arial" w:eastAsia="Arial" w:hAnsi="Arial"/>
          <w:sz w:val="22"/>
          <w:szCs w:val="22"/>
        </w:rPr>
        <w:t xml:space="preserve">30+ field operators trained, 5,000+ real messages exchanged, 18+ organisation-months of operational data.</w:t>
      </w:r>
    </w:p>
    <w:p>
      <w:pPr>
        <w:pStyle w:val="ListParagraph"/>
        <w:numPr>
          <w:ilvl w:val="0"/>
          <w:numId w:val="2"/>
        </w:numPr>
        <w:spacing w:after="80" w:line="280"/>
        <w:jc w:val="both"/>
      </w:pPr>
      <w:r>
        <w:rPr>
          <w:rFonts w:ascii="Arial" w:cs="Arial" w:eastAsia="Arial" w:hAnsi="Arial"/>
          <w:b/>
          <w:bCs/>
          <w:sz w:val="22"/>
          <w:szCs w:val="22"/>
        </w:rPr>
        <w:t xml:space="preserve">Indirect beneficiaries: </w:t>
      </w:r>
      <w:r>
        <w:rPr>
          <w:rFonts w:ascii="Arial" w:cs="Arial" w:eastAsia="Arial" w:hAnsi="Arial"/>
          <w:sz w:val="22"/>
          <w:szCs w:val="22"/>
        </w:rPr>
        <w:t xml:space="preserve">Romanian and European civic organisations gain access to a documented, replicable adoption pathway; users with visual impairments gain an off-grid communication tool designed for them, not adapted to them.</w:t>
      </w:r>
    </w:p>
    <w:p>
      <w:pPr>
        <w:pStyle w:val="ListParagraph"/>
        <w:numPr>
          <w:ilvl w:val="0"/>
          <w:numId w:val="2"/>
        </w:numPr>
        <w:spacing w:after="80" w:line="280"/>
        <w:jc w:val="both"/>
      </w:pPr>
      <w:r>
        <w:rPr>
          <w:rFonts w:ascii="Arial" w:cs="Arial" w:eastAsia="Arial" w:hAnsi="Arial"/>
          <w:b/>
          <w:bCs/>
          <w:sz w:val="22"/>
          <w:szCs w:val="22"/>
        </w:rPr>
        <w:t xml:space="preserve">Policy and ecosystem impact: </w:t>
      </w:r>
      <w:r>
        <w:rPr>
          <w:rFonts w:ascii="Arial" w:cs="Arial" w:eastAsia="Arial" w:hAnsi="Arial"/>
          <w:sz w:val="22"/>
          <w:szCs w:val="22"/>
        </w:rPr>
        <w:t xml:space="preserve">Framework cited in adjacent civic tech and accessibility projects; baseline established for spectrum efficiency in real-world community mesh deployments; precedent set for accessibility-first decentralised infrastructure.</w:t>
      </w:r>
    </w:p>
    <w:p>
      <w:pPr>
        <w:pStyle w:val="Heading3"/>
        <w:spacing w:after="120" w:before="200"/>
      </w:pPr>
      <w:r>
        <w:rPr>
          <w:rFonts w:ascii="Arial" w:cs="Arial" w:eastAsia="Arial" w:hAnsi="Arial"/>
          <w:b/>
          <w:bCs/>
          <w:color w:val="1F4E79"/>
          <w:sz w:val="23"/>
          <w:szCs w:val="23"/>
        </w:rPr>
        <w:t xml:space="preserve">Risk profile and mitigation</w:t>
      </w:r>
    </w:p>
    <w:p>
      <w:pPr>
        <w:spacing w:after="120" w:line="300"/>
        <w:jc w:val="both"/>
      </w:pPr>
      <w:r>
        <w:rPr>
          <w:rFonts w:ascii="Arial" w:cs="Arial" w:eastAsia="Arial" w:hAnsi="Arial"/>
          <w:sz w:val="22"/>
          <w:szCs w:val="22"/>
        </w:rPr>
        <w:t xml:space="preserve">The principal identified risks are: (a) inverse reputational risk if users improperly deploy the system in genuine emergencies — mitigated through explicit Acceptable Use Policy, mandatory training, and consistent public communication; (b) regulatory friction with national spectrum authority (ANCOM) — mitigated through formal early consultation in Stage 1; (c) GDPR exposure via speech-to-text — mitigated through on-device STT (local Whisper) and consensual, anonymised telemetry. None of these risks is novel; all are addressed in the work plan with named responsible parties and concrete mitigation actions.</w:t>
      </w:r>
    </w:p>
    <w:p>
      <w:pPr>
        <w:pStyle w:val="Heading3"/>
        <w:spacing w:after="120" w:before="200"/>
      </w:pPr>
      <w:r>
        <w:rPr>
          <w:rFonts w:ascii="Arial" w:cs="Arial" w:eastAsia="Arial" w:hAnsi="Arial"/>
          <w:b/>
          <w:bCs/>
          <w:color w:val="1F4E79"/>
          <w:sz w:val="23"/>
          <w:szCs w:val="23"/>
        </w:rPr>
        <w:t xml:space="preserve">Why this project, why now, why this team</w:t>
      </w:r>
    </w:p>
    <w:p>
      <w:pPr>
        <w:spacing w:after="120" w:line="300"/>
        <w:jc w:val="both"/>
      </w:pPr>
      <w:r>
        <w:rPr>
          <w:rFonts w:ascii="Arial" w:cs="Arial" w:eastAsia="Arial" w:hAnsi="Arial"/>
          <w:sz w:val="22"/>
          <w:szCs w:val="22"/>
        </w:rPr>
        <w:t xml:space="preserve">Decentralised community communication is moving rapidly from hobbyist experimentation to production deployment in mountain rescue services, civic resilience networks, and disaster preparedness across the European Alpine region and the Pyrenees. Romania has comparable geography, comparable infrastructure gaps, and a strong civic-tech ecosystem ready to absorb this technology — but lacks the documented adoption framework that would let organisations deploy responsibly without reinventing every pilot from scratch. Phase II produces exactly this framework, anchored in real Romanian deployments, written from the ground up to be replicable across the EU.</w:t>
      </w:r>
    </w:p>
    <w:p>
      <w:pPr>
        <w:spacing w:after="120" w:line="300"/>
        <w:jc w:val="both"/>
      </w:pPr>
      <w:r>
        <w:rPr>
          <w:rFonts w:ascii="Arial" w:cs="Arial" w:eastAsia="Arial" w:hAnsi="Arial"/>
          <w:sz w:val="22"/>
          <w:szCs w:val="22"/>
        </w:rPr>
        <w:t xml:space="preserve">[Association name] brings the technical foundation built in Phase I (working software, validated hardware integration, accessibility-native architecture), an existing relationship with the Meshtastic and NGI ecosystems, and demonstrated capacity to manage open-source civic infrastructure projects. The team includes accessibility specialists, open-source software developers, and field-experienced volunteers from the Romanian outdoor and accessibility communities. Phase II builds on validated Phase I outputs — it is not speculative work, but the natural and necessary next step toward measurable real-world impact.</w:t>
      </w:r>
    </w:p>
    <w:p>
      <w:pPr>
        <w:pStyle w:val="Heading3"/>
        <w:spacing w:after="120" w:before="200"/>
      </w:pPr>
      <w:r>
        <w:rPr>
          <w:rFonts w:ascii="Arial" w:cs="Arial" w:eastAsia="Arial" w:hAnsi="Arial"/>
          <w:b/>
          <w:bCs/>
          <w:color w:val="1F4E79"/>
          <w:sz w:val="23"/>
          <w:szCs w:val="23"/>
        </w:rPr>
        <w:t xml:space="preserve">Deliverables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520"/>
        <w:gridCol w:w="4560"/>
      </w:tblGrid>
      <w:tr>
        <w:trPr>
          <w:tblHeader/>
        </w:trPr>
        <w:tc>
          <w:tcPr>
            <w:tcW w:type="dxa" w:w="22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Quarter</w:t>
            </w:r>
          </w:p>
        </w:tc>
        <w:tc>
          <w:tcPr>
            <w:tcW w:type="dxa" w:w="25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Stage</w:t>
            </w:r>
          </w:p>
        </w:tc>
        <w:tc>
          <w:tcPr>
            <w:tcW w:type="dxa" w:w="45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Key deliverable</w:t>
            </w:r>
          </w:p>
        </w:tc>
      </w:tr>
      <w:tr>
        <w:tc>
          <w:tcPr>
            <w:tcW w:type="dxa" w:w="22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Q1 2027</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Stage 1 — Preparation</w:t>
            </w:r>
          </w:p>
        </w:tc>
        <w:tc>
          <w:tcPr>
            <w:tcW w:type="dxa" w:w="4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Legal package, partner shortlist, ANCOM consultation</w:t>
            </w:r>
          </w:p>
        </w:tc>
      </w:tr>
      <w:tr>
        <w:tc>
          <w:tcPr>
            <w:tcW w:type="dxa" w:w="22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Q2 2027</w:t>
            </w:r>
          </w:p>
        </w:tc>
        <w:tc>
          <w:tcPr>
            <w:tcW w:type="dxa" w:w="25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Stage 2 — Onboarding</w:t>
            </w:r>
          </w:p>
        </w:tc>
        <w:tc>
          <w:tcPr>
            <w:tcW w:type="dxa" w:w="45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Signed pilot agreements, hardware deployed, teams trained</w:t>
            </w:r>
          </w:p>
        </w:tc>
      </w:tr>
      <w:tr>
        <w:tc>
          <w:tcPr>
            <w:tcW w:type="dxa" w:w="22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Q3 2027 – Q1 2028</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Stage 3 — Operation</w:t>
            </w:r>
          </w:p>
        </w:tc>
        <w:tc>
          <w:tcPr>
            <w:tcW w:type="dxa" w:w="4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9 months of real operation, monthly public journal, 2 software releases</w:t>
            </w:r>
          </w:p>
        </w:tc>
      </w:tr>
      <w:tr>
        <w:tc>
          <w:tcPr>
            <w:tcW w:type="dxa" w:w="22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Q3 2027 – Q1 2028</w:t>
            </w:r>
          </w:p>
        </w:tc>
        <w:tc>
          <w:tcPr>
            <w:tcW w:type="dxa" w:w="25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Stage 4 — Framework</w:t>
            </w:r>
          </w:p>
        </w:tc>
        <w:tc>
          <w:tcPr>
            <w:tcW w:type="dxa" w:w="45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Institutional Adoption Framework published (RO + EN, CC BY-SA)</w:t>
            </w:r>
          </w:p>
        </w:tc>
      </w:tr>
      <w:tr>
        <w:tc>
          <w:tcPr>
            <w:tcW w:type="dxa" w:w="22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Q1–Q2 2028</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Stage 5 — Dissemination</w:t>
            </w:r>
          </w:p>
        </w:tc>
        <w:tc>
          <w:tcPr>
            <w:tcW w:type="dxa" w:w="4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Applied study, conference presentations, public webinars</w:t>
            </w:r>
          </w:p>
        </w:tc>
      </w:tr>
      <w:tr>
        <w:tc>
          <w:tcPr>
            <w:tcW w:type="dxa" w:w="22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bCs/>
                <w:i w:val="false"/>
                <w:iCs w:val="false"/>
                <w:color w:val="000000"/>
                <w:sz w:val="20"/>
                <w:szCs w:val="20"/>
              </w:rPr>
              <w:t xml:space="preserve">Q3–Q4 2028</w:t>
            </w:r>
          </w:p>
        </w:tc>
        <w:tc>
          <w:tcPr>
            <w:tcW w:type="dxa" w:w="25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Stage 6 — Evaluation</w:t>
            </w:r>
          </w:p>
        </w:tc>
        <w:tc>
          <w:tcPr>
            <w:tcW w:type="dxa" w:w="45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000000"/>
                <w:sz w:val="20"/>
                <w:szCs w:val="20"/>
              </w:rPr>
              <w:t xml:space="preserve">Final evaluation report, independent audit, Phase III roadmap</w:t>
            </w:r>
          </w:p>
        </w:tc>
      </w:tr>
    </w:tbl>
    <w:p>
      <w:pPr>
        <w:pStyle w:val="Heading3"/>
        <w:spacing w:after="120" w:before="200"/>
      </w:pPr>
      <w:r>
        <w:rPr>
          <w:rFonts w:ascii="Arial" w:cs="Arial" w:eastAsia="Arial" w:hAnsi="Arial"/>
          <w:b/>
          <w:bCs/>
          <w:color w:val="1F4E79"/>
          <w:sz w:val="23"/>
          <w:szCs w:val="23"/>
        </w:rPr>
        <w:t xml:space="preserve">Contact</w:t>
      </w:r>
    </w:p>
    <w:p>
      <w:pPr>
        <w:spacing w:after="120" w:line="300"/>
        <w:jc w:val="both"/>
      </w:pPr>
      <w:r>
        <w:rPr>
          <w:rFonts w:ascii="Arial" w:cs="Arial" w:eastAsia="Arial" w:hAnsi="Arial"/>
          <w:sz w:val="22"/>
          <w:szCs w:val="22"/>
        </w:rPr>
        <w:t xml:space="preserve">[Name, Surname] — Project Lead, [Association name]</w:t>
      </w:r>
    </w:p>
    <w:p>
      <w:pPr>
        <w:spacing w:after="120" w:line="300"/>
        <w:jc w:val="both"/>
      </w:pPr>
      <w:r>
        <w:rPr>
          <w:rFonts w:ascii="Arial" w:cs="Arial" w:eastAsia="Arial" w:hAnsi="Arial"/>
          <w:sz w:val="22"/>
          <w:szCs w:val="22"/>
        </w:rPr>
        <w:t xml:space="preserve">Email: [email] | Phone: [phone] | Project page: [URL]</w:t>
      </w:r>
    </w:p>
    <w:p>
      <w:pPr>
        <w:pBdr>
          <w:left w:val="single" w:color="1F4E79" w:sz="24" w:space="12"/>
        </w:pBdr>
        <w:spacing w:after="160" w:before="160" w:line="300"/>
        <w:ind w:left="240"/>
        <w:jc w:val="both"/>
      </w:pPr>
      <w:r>
        <w:rPr>
          <w:rFonts w:ascii="Arial" w:cs="Arial" w:eastAsia="Arial" w:hAnsi="Arial"/>
          <w:i/>
          <w:iCs/>
          <w:color w:val="595959"/>
          <w:sz w:val="22"/>
          <w:szCs w:val="22"/>
        </w:rPr>
        <w:t xml:space="preserve">Signal For All Phase II is the bridge between a working open-source artefact and durable, documented, replicable civic infrastructure. Funding this phase converts an interesting demo into a public good that other organisations across Europe can adopt with confidence.</w:t>
      </w:r>
    </w:p>
    <w:p>
      <w:pPr>
        <w:spacing w:before="600"/>
        <w:jc w:val="center"/>
      </w:pPr>
      <w:r>
        <w:rPr>
          <w:rFonts w:ascii="Arial" w:cs="Arial" w:eastAsia="Arial" w:hAnsi="Arial"/>
          <w:i/>
          <w:iCs/>
          <w:color w:val="595959"/>
          <w:sz w:val="22"/>
          <w:szCs w:val="22"/>
        </w:rPr>
        <w:t xml:space="preserve">— End of Annex —</w:t>
      </w:r>
    </w:p>
    <w:p>
      <w:pPr>
        <w:spacing w:before="800"/>
        <w:jc w:val="center"/>
      </w:pPr>
      <w:r>
        <w:rPr>
          <w:rFonts w:ascii="Arial" w:cs="Arial" w:eastAsia="Arial" w:hAnsi="Arial"/>
          <w:i/>
          <w:iCs/>
          <w:color w:val="595959"/>
          <w:sz w:val="22"/>
          <w:szCs w:val="22"/>
        </w:rPr>
        <w:t xml:space="preserve">— Sfârșit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din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bCs/>
        <w:color w:val="1F4E79"/>
        <w:sz w:val="16"/>
        <w:szCs w:val="16"/>
      </w:rPr>
      <w:t xml:space="preserve">SIGNAL FOR ALL  </w:t>
    </w:r>
    <w:r>
      <w:rPr>
        <w:rFonts w:ascii="Arial" w:cs="Arial" w:eastAsia="Arial" w:hAnsi="Arial"/>
        <w:color w:val="595959"/>
        <w:sz w:val="16"/>
        <w:szCs w:val="16"/>
      </w:rPr>
      <w:t xml:space="preserve">·  Foaie de parcurs Faza a II-a  ·  2027–2028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Foaie de parcurs Faza II - Pilot institutional 2027-2028 (versiune integrata)</dc:title>
  <dc:creator>Signal For All</dc:creator>
  <dc:description>Plan strategic Signal For All Faza II cu buget detaliat, modele scrisori si executive summary</dc:description>
  <cp:lastModifiedBy>Un-named</cp:lastModifiedBy>
  <cp:revision>1</cp:revision>
  <dcterms:created xsi:type="dcterms:W3CDTF">2026-04-25T08:54:41.046Z</dcterms:created>
  <dcterms:modified xsi:type="dcterms:W3CDTF">2026-04-25T08:54:41.047Z</dcterms:modified>
</cp:coreProperties>
</file>

<file path=docProps/custom.xml><?xml version="1.0" encoding="utf-8"?>
<Properties xmlns="http://schemas.openxmlformats.org/officeDocument/2006/custom-properties" xmlns:vt="http://schemas.openxmlformats.org/officeDocument/2006/docPropsVTypes"/>
</file>