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ticle-information"/>
    <w:p>
      <w:pPr>
        <w:pStyle w:val="Heading1"/>
      </w:pPr>
      <w:r>
        <w:t xml:space="preserve">Article information</w:t>
      </w:r>
    </w:p>
    <w:bookmarkStart w:id="20" w:name="article-title"/>
    <w:p>
      <w:pPr>
        <w:pStyle w:val="Heading2"/>
      </w:pPr>
      <w:r>
        <w:t xml:space="preserve">Article title</w:t>
      </w:r>
    </w:p>
    <w:p>
      <w:pPr>
        <w:pStyle w:val="FirstParagraph"/>
      </w:pPr>
      <w:r>
        <w:t xml:space="preserve">Environmental DNA sequencing dataset from Lake Erie algal blooms using Oxford Nanopore MinION</w:t>
      </w:r>
    </w:p>
    <w:bookmarkEnd w:id="20"/>
    <w:bookmarkStart w:id="21" w:name="authors"/>
    <w:p>
      <w:pPr>
        <w:pStyle w:val="Heading2"/>
      </w:pPr>
      <w:r>
        <w:t xml:space="preserve">Authors</w:t>
      </w:r>
    </w:p>
    <w:p>
      <w:pPr>
        <w:pStyle w:val="FirstParagraph"/>
      </w:pPr>
      <w:r>
        <w:t xml:space="preserve">Alexander F. Koeppel</w:t>
      </w:r>
      <w:r>
        <w:rPr>
          <w:vertAlign w:val="superscript"/>
        </w:rPr>
        <w:t xml:space="preserve">1,2</w:t>
      </w:r>
      <w:r>
        <w:t xml:space="preserve">, Will Goodrum</w:t>
      </w:r>
      <w:r>
        <w:rPr>
          <w:vertAlign w:val="superscript"/>
        </w:rPr>
        <w:t xml:space="preserve">2</w:t>
      </w:r>
      <w:r>
        <w:t xml:space="preserve">, Morgan Steffen</w:t>
      </w:r>
      <w:r>
        <w:rPr>
          <w:vertAlign w:val="superscript"/>
        </w:rPr>
        <w:t xml:space="preserve">3</w:t>
      </w:r>
      <w:r>
        <w:t xml:space="preserve">, Louie Wurch</w:t>
      </w:r>
      <w:r>
        <w:rPr>
          <w:vertAlign w:val="superscript"/>
        </w:rPr>
        <w:t xml:space="preserve">3</w:t>
      </w:r>
      <w:r>
        <w:t xml:space="preserve">, Stephen D. Turner</w:t>
      </w:r>
      <w:r>
        <w:rPr>
          <w:vertAlign w:val="superscript"/>
        </w:rPr>
        <w:t xml:space="preserve">1</w:t>
      </w:r>
      <w:r>
        <w:t xml:space="preserve">*</w:t>
      </w:r>
    </w:p>
    <w:bookmarkEnd w:id="21"/>
    <w:bookmarkStart w:id="22" w:name="affiliations"/>
    <w:p>
      <w:pPr>
        <w:pStyle w:val="Heading2"/>
      </w:pPr>
      <w:r>
        <w:t xml:space="preserve">Affiliations</w:t>
      </w:r>
    </w:p>
    <w:p>
      <w:pPr>
        <w:numPr>
          <w:ilvl w:val="0"/>
          <w:numId w:val="1001"/>
        </w:numPr>
        <w:pStyle w:val="Compact"/>
      </w:pPr>
      <w:r>
        <w:t xml:space="preserve">Signature Science, LLC: 8329 N. Mopac Expressway, Austin, TX 78759.</w:t>
      </w:r>
    </w:p>
    <w:p>
      <w:pPr>
        <w:numPr>
          <w:ilvl w:val="0"/>
          <w:numId w:val="1001"/>
        </w:numPr>
        <w:pStyle w:val="Compact"/>
      </w:pPr>
      <w:r>
        <w:t xml:space="preserve">Elder Research: 300 W Main St STE 301, Charlottesville, VA 22903.</w:t>
      </w:r>
    </w:p>
    <w:p>
      <w:pPr>
        <w:numPr>
          <w:ilvl w:val="0"/>
          <w:numId w:val="1001"/>
        </w:numPr>
        <w:pStyle w:val="Compact"/>
      </w:pPr>
      <w:r>
        <w:t xml:space="preserve">James Madison University: Bioscience Building, MSC 7801, 951 Carrier Drive, Room 2001, Harrisonburg, Virginia 22807.</w:t>
      </w:r>
    </w:p>
    <w:bookmarkEnd w:id="22"/>
    <w:bookmarkStart w:id="24" w:name="Xa38f16a7f7b7c81da1d208e4cedd5f3ef365570"/>
    <w:p>
      <w:pPr>
        <w:pStyle w:val="Heading2"/>
      </w:pPr>
      <w:r>
        <w:t xml:space="preserve">Corresponding author’s email address and Twitter handle</w:t>
      </w:r>
    </w:p>
    <w:p>
      <w:pPr>
        <w:numPr>
          <w:ilvl w:val="0"/>
          <w:numId w:val="1002"/>
        </w:numPr>
        <w:pStyle w:val="Compact"/>
      </w:pPr>
      <w:r>
        <w:t xml:space="preserve">Email:</w:t>
      </w:r>
      <w:r>
        <w:t xml:space="preserve"> </w:t>
      </w:r>
      <w:hyperlink r:id="rId23">
        <w:r>
          <w:rPr>
            <w:rStyle w:val="Hyperlink"/>
          </w:rPr>
          <w:t xml:space="preserve">sturner@signaturescience.com</w:t>
        </w:r>
      </w:hyperlink>
    </w:p>
    <w:p>
      <w:pPr>
        <w:numPr>
          <w:ilvl w:val="0"/>
          <w:numId w:val="1002"/>
        </w:numPr>
        <w:pStyle w:val="Compact"/>
      </w:pPr>
      <w:r>
        <w:t xml:space="preserve">Twitter: @strnr</w:t>
      </w:r>
    </w:p>
    <w:bookmarkEnd w:id="24"/>
    <w:bookmarkStart w:id="25" w:name="keywords"/>
    <w:p>
      <w:pPr>
        <w:pStyle w:val="Heading2"/>
      </w:pPr>
      <w:r>
        <w:t xml:space="preserve">Keywords</w:t>
      </w:r>
    </w:p>
    <w:p>
      <w:pPr>
        <w:numPr>
          <w:ilvl w:val="0"/>
          <w:numId w:val="1003"/>
        </w:numPr>
        <w:pStyle w:val="Compact"/>
      </w:pPr>
      <w:r>
        <w:t xml:space="preserve">MinION</w:t>
      </w:r>
    </w:p>
    <w:p>
      <w:pPr>
        <w:numPr>
          <w:ilvl w:val="0"/>
          <w:numId w:val="1003"/>
        </w:numPr>
        <w:pStyle w:val="Compact"/>
      </w:pPr>
      <w:r>
        <w:t xml:space="preserve">Nanopore</w:t>
      </w:r>
    </w:p>
    <w:p>
      <w:pPr>
        <w:numPr>
          <w:ilvl w:val="0"/>
          <w:numId w:val="1003"/>
        </w:numPr>
        <w:pStyle w:val="Compact"/>
      </w:pPr>
      <w:r>
        <w:t xml:space="preserve">eDNA</w:t>
      </w:r>
    </w:p>
    <w:p>
      <w:pPr>
        <w:numPr>
          <w:ilvl w:val="0"/>
          <w:numId w:val="1003"/>
        </w:numPr>
        <w:pStyle w:val="Compact"/>
      </w:pPr>
      <w:r>
        <w:t xml:space="preserve">Harmful algal blooms</w:t>
      </w:r>
    </w:p>
    <w:p>
      <w:pPr>
        <w:numPr>
          <w:ilvl w:val="0"/>
          <w:numId w:val="1003"/>
        </w:numPr>
        <w:pStyle w:val="Compact"/>
      </w:pPr>
      <w:r>
        <w:t xml:space="preserve">Freshwater ecology</w:t>
      </w:r>
    </w:p>
    <w:bookmarkEnd w:id="25"/>
    <w:bookmarkStart w:id="26" w:name="abstract"/>
    <w:p>
      <w:pPr>
        <w:pStyle w:val="Heading2"/>
      </w:pPr>
      <w:r>
        <w:t xml:space="preserve">Abstract</w:t>
      </w:r>
    </w:p>
    <w:p>
      <w:pPr>
        <w:pStyle w:val="FirstParagraph"/>
      </w:pPr>
      <w:r>
        <w:t xml:space="preserve">Here we describe a publicly available environmental DNA (eDNA) sequence dataset, consisting of samples collected from a National Oceanic and Atmospheric Administration (NOAA) Great Lakes Environmental Research Laboratory (GLERL) on Lake Erie. We sequenced samples drawn from before, during, and after a 2019</w:t>
      </w:r>
      <w:r>
        <w:t xml:space="preserve"> </w:t>
      </w:r>
      <w:r>
        <w:rPr>
          <w:iCs/>
          <w:i/>
        </w:rPr>
        <w:t xml:space="preserve">Microcystis</w:t>
      </w:r>
      <w:r>
        <w:t xml:space="preserve"> </w:t>
      </w:r>
      <w:r>
        <w:t xml:space="preserve">bloom using 3rd generation sequencing with the Oxford Nanopore MinION device. We classified the eDNA reads taxonomically, and estimated the abundances of all taxa in each sample. While the taxonomic data showed evidence of significant human and</w:t>
      </w:r>
      <w:r>
        <w:t xml:space="preserve"> </w:t>
      </w:r>
      <w:r>
        <w:rPr>
          <w:iCs/>
          <w:i/>
        </w:rPr>
        <w:t xml:space="preserve">E. coli</w:t>
      </w:r>
      <w:r>
        <w:t xml:space="preserve"> </w:t>
      </w:r>
      <w:r>
        <w:t xml:space="preserve">contamination, we found abundant</w:t>
      </w:r>
      <w:r>
        <w:t xml:space="preserve"> </w:t>
      </w:r>
      <w:r>
        <w:rPr>
          <w:iCs/>
          <w:i/>
        </w:rPr>
        <w:t xml:space="preserve">Mycrocystis</w:t>
      </w:r>
      <w:r>
        <w:t xml:space="preserve">, especially in the samples drawn from bloom environments. The raw sequence data are available in the Sequence Read Archive (SRA) under accession number PRJNA812770. HABs pose a significant and increasing risk, both to human health and to the Blue Economy, and genomic approaches to early detection promise to help mitigate these risks. As such, this dataset could be of interest to freshwater ecology research teams, or any stakeholders interested in the detection and mitigation of HABs.</w:t>
      </w:r>
    </w:p>
    <w:bookmarkEnd w:id="26"/>
    <w:bookmarkEnd w:id="27"/>
    <w:bookmarkStart w:id="29" w:name="specifications-table"/>
    <w:p>
      <w:pPr>
        <w:pStyle w:val="Heading1"/>
      </w:pPr>
      <w:r>
        <w:t xml:space="preserve">Specifications table</w:t>
      </w:r>
    </w:p>
    <w:tbl>
      <w:tblPr>
        <w:tblStyle w:val="Table"/>
        <w:tblW w:type="pct" w:w="5000.0"/>
        <w:tblLook w:firstRow="0" w:lastRow="0" w:firstColumn="0" w:lastColumn="0" w:noHBand="0" w:noVBand="0" w:val="0000"/>
      </w:tblPr>
      <w:tblGrid>
        <w:gridCol w:w="1163"/>
        <w:gridCol w:w="6756"/>
      </w:tblGrid>
      <w:tr>
        <w:tc>
          <w:p>
            <w:pPr>
              <w:pStyle w:val="Compact"/>
              <w:jc w:val="left"/>
            </w:pPr>
            <w:r>
              <w:t xml:space="preserve">Subject</w:t>
            </w:r>
          </w:p>
        </w:tc>
        <w:tc>
          <w:p>
            <w:pPr>
              <w:pStyle w:val="Compact"/>
              <w:jc w:val="left"/>
            </w:pPr>
            <w:r>
              <w:t xml:space="preserve">Environmental Genomics and Metagenomics</w:t>
            </w:r>
          </w:p>
        </w:tc>
      </w:tr>
      <w:tr>
        <w:tc>
          <w:p>
            <w:pPr>
              <w:pStyle w:val="Compact"/>
              <w:jc w:val="left"/>
            </w:pPr>
            <w:r>
              <w:t xml:space="preserve">Specific subject area</w:t>
            </w:r>
          </w:p>
        </w:tc>
        <w:tc>
          <w:p>
            <w:pPr>
              <w:pStyle w:val="Compact"/>
              <w:jc w:val="left"/>
            </w:pPr>
            <w:r>
              <w:t xml:space="preserve">Metagenomic analysis of freshwater microbes associated with harmful algal blooms</w:t>
            </w:r>
          </w:p>
        </w:tc>
      </w:tr>
      <w:tr>
        <w:tc>
          <w:p>
            <w:pPr>
              <w:pStyle w:val="Compact"/>
              <w:jc w:val="left"/>
            </w:pPr>
            <w:r>
              <w:t xml:space="preserve">Type of data</w:t>
            </w:r>
          </w:p>
        </w:tc>
        <w:tc>
          <w:p>
            <w:pPr>
              <w:pStyle w:val="Compact"/>
              <w:jc w:val="left"/>
            </w:pPr>
            <w:r>
              <w:t xml:space="preserve">Raw Metagenomic Data; Metadata Table; Figure</w:t>
            </w:r>
          </w:p>
        </w:tc>
      </w:tr>
      <w:tr>
        <w:tc>
          <w:p>
            <w:pPr>
              <w:pStyle w:val="Compact"/>
              <w:jc w:val="left"/>
            </w:pPr>
            <w:r>
              <w:t xml:space="preserve">How the data were acquired</w:t>
            </w:r>
          </w:p>
        </w:tc>
        <w:tc>
          <w:p>
            <w:pPr>
              <w:pStyle w:val="Compact"/>
              <w:jc w:val="left"/>
            </w:pPr>
            <w:r>
              <w:t xml:space="preserve">Freshwater eDNA samples collected from Lake Erie GLERL</w:t>
            </w:r>
          </w:p>
        </w:tc>
      </w:tr>
      <w:tr>
        <w:tc>
          <w:p>
            <w:pPr>
              <w:pStyle w:val="Compact"/>
              <w:jc w:val="left"/>
            </w:pPr>
            <w:r>
              <w:t xml:space="preserve">Data format</w:t>
            </w:r>
          </w:p>
        </w:tc>
        <w:tc>
          <w:p>
            <w:pPr>
              <w:pStyle w:val="Compact"/>
              <w:jc w:val="left"/>
            </w:pPr>
            <w:r>
              <w:t xml:space="preserve">Raw data (fastq.gz.file)</w:t>
            </w:r>
          </w:p>
        </w:tc>
      </w:tr>
      <w:tr>
        <w:tc>
          <w:p>
            <w:pPr>
              <w:pStyle w:val="Compact"/>
              <w:jc w:val="left"/>
            </w:pPr>
            <w:r>
              <w:t xml:space="preserve">Description of data collection</w:t>
            </w:r>
          </w:p>
        </w:tc>
        <w:tc>
          <w:p>
            <w:pPr>
              <w:pStyle w:val="Compact"/>
              <w:jc w:val="left"/>
            </w:pPr>
            <w:r>
              <w:t xml:space="preserve">DNeasy PowerWater® isolation kit was used to extract DNA from the water samples. DNA was then sequenced using the Oxford Nanopore MinION® device.</w:t>
            </w:r>
          </w:p>
        </w:tc>
      </w:tr>
      <w:tr>
        <w:tc>
          <w:p>
            <w:pPr>
              <w:pStyle w:val="Compact"/>
              <w:jc w:val="left"/>
            </w:pPr>
            <w:r>
              <w:t xml:space="preserve">Data source location</w:t>
            </w:r>
          </w:p>
        </w:tc>
        <w:tc>
          <w:p>
            <w:pPr>
              <w:pStyle w:val="Compact"/>
              <w:jc w:val="left"/>
            </w:pPr>
            <w:r>
              <w:t xml:space="preserve">Lake Erie NOAA GLERL stations WE13 and WE02. Latitude (approx.) 42.07 N Longitude (approx.) 81.34 W.</w:t>
            </w:r>
          </w:p>
        </w:tc>
      </w:tr>
      <w:tr>
        <w:tc>
          <w:p>
            <w:pPr>
              <w:pStyle w:val="Compact"/>
              <w:jc w:val="left"/>
            </w:pPr>
            <w:r>
              <w:t xml:space="preserve">Data accessibility</w:t>
            </w:r>
          </w:p>
        </w:tc>
        <w:tc>
          <w:p>
            <w:pPr>
              <w:pStyle w:val="Compact"/>
              <w:jc w:val="left"/>
            </w:pPr>
            <w:r>
              <w:t xml:space="preserve">We have deposited the raw sequences in the NCBI Sequence Read Archive (SRA) under accession number PRJNA812770, accessible at</w:t>
            </w:r>
            <w:r>
              <w:t xml:space="preserve"> </w:t>
            </w:r>
            <w:hyperlink r:id="rId28">
              <w:r>
                <w:rPr>
                  <w:rStyle w:val="Hyperlink"/>
                </w:rPr>
                <w:t xml:space="preserve">https://www.ncbi.nlm.nih.gov/bioproject/PRJNA812770/</w:t>
              </w:r>
            </w:hyperlink>
            <w:r>
              <w:t xml:space="preserve">.</w:t>
            </w:r>
          </w:p>
        </w:tc>
      </w:tr>
    </w:tbl>
    <w:bookmarkEnd w:id="29"/>
    <w:bookmarkStart w:id="30" w:name="value-of-the-data"/>
    <w:p>
      <w:pPr>
        <w:pStyle w:val="Heading1"/>
      </w:pPr>
      <w:r>
        <w:t xml:space="preserve">Value of the data</w:t>
      </w:r>
    </w:p>
    <w:p>
      <w:pPr>
        <w:numPr>
          <w:ilvl w:val="0"/>
          <w:numId w:val="1004"/>
        </w:numPr>
        <w:pStyle w:val="Compact"/>
      </w:pPr>
      <w:r>
        <w:t xml:space="preserve">The data provide a snapshot of the microbiota present before and during a</w:t>
      </w:r>
      <w:r>
        <w:t xml:space="preserve"> </w:t>
      </w:r>
      <w:r>
        <w:rPr>
          <w:iCs/>
          <w:i/>
        </w:rPr>
        <w:t xml:space="preserve">Microcystis</w:t>
      </w:r>
      <w:r>
        <w:t xml:space="preserve"> </w:t>
      </w:r>
      <w:r>
        <w:t xml:space="preserve">bloom.</w:t>
      </w:r>
    </w:p>
    <w:p>
      <w:pPr>
        <w:numPr>
          <w:ilvl w:val="0"/>
          <w:numId w:val="1004"/>
        </w:numPr>
        <w:pStyle w:val="Compact"/>
      </w:pPr>
      <w:r>
        <w:t xml:space="preserve">Harmful algal blooms, including</w:t>
      </w:r>
      <w:r>
        <w:t xml:space="preserve"> </w:t>
      </w:r>
      <w:r>
        <w:rPr>
          <w:iCs/>
          <w:i/>
        </w:rPr>
        <w:t xml:space="preserve">Microcystis</w:t>
      </w:r>
      <w:r>
        <w:t xml:space="preserve"> </w:t>
      </w:r>
      <w:r>
        <w:t xml:space="preserve">cause significant harm to human health and local economies.</w:t>
      </w:r>
    </w:p>
    <w:p>
      <w:pPr>
        <w:numPr>
          <w:ilvl w:val="0"/>
          <w:numId w:val="1004"/>
        </w:numPr>
        <w:pStyle w:val="Compact"/>
      </w:pPr>
      <w:r>
        <w:t xml:space="preserve">Understanding the taxonomic makeup of the freshwater microbiome can provide insights into the dynamics of bloom formation.</w:t>
      </w:r>
    </w:p>
    <w:p>
      <w:pPr>
        <w:numPr>
          <w:ilvl w:val="0"/>
          <w:numId w:val="1004"/>
        </w:numPr>
        <w:pStyle w:val="Compact"/>
      </w:pPr>
      <w:r>
        <w:t xml:space="preserve">Any stakeholders interested in the dynamics of HABs in general, and</w:t>
      </w:r>
      <w:r>
        <w:t xml:space="preserve"> </w:t>
      </w:r>
      <w:r>
        <w:rPr>
          <w:iCs/>
          <w:i/>
        </w:rPr>
        <w:t xml:space="preserve">Microcystis</w:t>
      </w:r>
      <w:r>
        <w:t xml:space="preserve"> </w:t>
      </w:r>
      <w:r>
        <w:t xml:space="preserve">blooms specifically may find these data to be of value.</w:t>
      </w:r>
    </w:p>
    <w:bookmarkEnd w:id="30"/>
    <w:bookmarkStart w:id="32" w:name="data-description"/>
    <w:p>
      <w:pPr>
        <w:pStyle w:val="Heading1"/>
      </w:pPr>
      <w:r>
        <w:t xml:space="preserve">Data Description</w:t>
      </w:r>
    </w:p>
    <w:p>
      <w:pPr>
        <w:pStyle w:val="FirstParagraph"/>
      </w:pPr>
      <w:r>
        <w:t xml:space="preserve">This dataset consists of raw environmental DNA (eDNA) reads from before and during a</w:t>
      </w:r>
      <w:r>
        <w:t xml:space="preserve"> </w:t>
      </w:r>
      <w:r>
        <w:rPr>
          <w:iCs/>
          <w:i/>
        </w:rPr>
        <w:t xml:space="preserve">Microcystis</w:t>
      </w:r>
      <w:r>
        <w:t xml:space="preserve"> </w:t>
      </w:r>
      <w:r>
        <w:t xml:space="preserve">bloom. We sequenced the DNA using the ONT MinION, and classified them taxonomically using the ONT What’s In My Pot (WIMP) pipeline. The complete dataset (all reads passing MinION QC) numbered 1,607,129 reads. Of these, 975,123 were successfully taxonomically classified.</w:t>
      </w:r>
      <w:r>
        <w:t xml:space="preserve"> </w:t>
      </w:r>
      <w:r>
        <w:t xml:space="preserve">Table 1 provides a subset of the metadata associated with these samples, including the GLERL from which the sample was drawn, the date of sampling, bloom condition at the time of sampling, and DNA concentration. Because we sequenced some samples as a single run, and others as part of a multiplexed run, the multiplexing information is also included. The complete metadata is available on the SRA BioProject page.</w:t>
      </w:r>
    </w:p>
    <w:p>
      <w:pPr>
        <w:pStyle w:val="TableCaption"/>
      </w:pPr>
      <w:r>
        <w:t xml:space="preserve">Subset of the available metadata about samples sequenced in this study, available at SRA accession number PRJNA812770.</w:t>
      </w:r>
    </w:p>
    <w:tbl>
      <w:tblPr>
        <w:tblStyle w:val="Table"/>
        <w:tblW w:type="pct" w:w="0.0"/>
        <w:tblLook w:firstRow="1" w:lastRow="0" w:firstColumn="0" w:lastColumn="0" w:noHBand="0" w:noVBand="0" w:val="0020"/>
        <w:tblCaption w:val="Subset of the available metadata about samples sequenced in this study, available at SRA accession number PRJNA812770."/>
      </w:tblPr>
      <w:tblGrid/>
      <w:tr>
        <w:tc>
          <w:p>
            <w:pPr>
              <w:pStyle w:val="Compact"/>
              <w:jc w:val="left"/>
            </w:pPr>
            <w:r>
              <w:t xml:space="preserve">Sample</w:t>
            </w:r>
          </w:p>
        </w:tc>
        <w:tc>
          <w:p>
            <w:pPr>
              <w:pStyle w:val="Compact"/>
              <w:jc w:val="left"/>
            </w:pPr>
            <w:r>
              <w:t xml:space="preserve">Run date</w:t>
            </w:r>
          </w:p>
        </w:tc>
        <w:tc>
          <w:p>
            <w:pPr>
              <w:pStyle w:val="Compact"/>
              <w:jc w:val="left"/>
            </w:pPr>
            <w:r>
              <w:t xml:space="preserve">GLERL</w:t>
            </w:r>
          </w:p>
        </w:tc>
        <w:tc>
          <w:p>
            <w:pPr>
              <w:pStyle w:val="Compact"/>
              <w:jc w:val="left"/>
            </w:pPr>
            <w:r>
              <w:t xml:space="preserve">Condition</w:t>
            </w:r>
          </w:p>
        </w:tc>
        <w:tc>
          <w:p>
            <w:pPr>
              <w:pStyle w:val="Compact"/>
              <w:jc w:val="left"/>
            </w:pPr>
            <w:r>
              <w:t xml:space="preserve">Input (ng/uL)</w:t>
            </w:r>
          </w:p>
        </w:tc>
        <w:tc>
          <w:p>
            <w:pPr>
              <w:pStyle w:val="Compact"/>
              <w:jc w:val="left"/>
            </w:pPr>
            <w:r>
              <w:t xml:space="preserve">Run type</w:t>
            </w:r>
          </w:p>
        </w:tc>
        <w:tc>
          <w:p>
            <w:pPr>
              <w:pStyle w:val="Compact"/>
              <w:jc w:val="right"/>
            </w:pPr>
            <w:r>
              <w:t xml:space="preserve">Reads (passing QC)</w:t>
            </w:r>
          </w:p>
        </w:tc>
      </w:tr>
      <w:tr>
        <w:tc>
          <w:p>
            <w:pPr>
              <w:pStyle w:val="Compact"/>
              <w:jc w:val="left"/>
            </w:pPr>
            <w:r>
              <w:t xml:space="preserve">MP1_WE02_B1</w:t>
            </w:r>
          </w:p>
        </w:tc>
        <w:tc>
          <w:p>
            <w:pPr>
              <w:pStyle w:val="Compact"/>
              <w:jc w:val="left"/>
            </w:pPr>
            <w:r>
              <w:t xml:space="preserve">2022-01-26</w:t>
            </w:r>
          </w:p>
        </w:tc>
        <w:tc>
          <w:p>
            <w:pPr>
              <w:pStyle w:val="Compact"/>
              <w:jc w:val="left"/>
            </w:pPr>
            <w:r>
              <w:t xml:space="preserve">WE02</w:t>
            </w:r>
          </w:p>
        </w:tc>
        <w:tc>
          <w:p>
            <w:pPr>
              <w:pStyle w:val="Compact"/>
              <w:jc w:val="left"/>
            </w:pPr>
            <w:r>
              <w:t xml:space="preserve">Bloom</w:t>
            </w:r>
          </w:p>
        </w:tc>
        <w:tc>
          <w:p>
            <w:pPr>
              <w:pStyle w:val="Compact"/>
              <w:jc w:val="left"/>
            </w:pPr>
            <w:r>
              <w:t xml:space="preserve">22.9</w:t>
            </w:r>
          </w:p>
        </w:tc>
        <w:tc>
          <w:p>
            <w:pPr>
              <w:pStyle w:val="Compact"/>
              <w:jc w:val="left"/>
            </w:pPr>
            <w:r>
              <w:t xml:space="preserve">Multiplexed</w:t>
            </w:r>
          </w:p>
        </w:tc>
        <w:tc>
          <w:p>
            <w:pPr>
              <w:pStyle w:val="Compact"/>
              <w:jc w:val="right"/>
            </w:pPr>
            <w:r>
              <w:t xml:space="preserve">165800</w:t>
            </w:r>
          </w:p>
        </w:tc>
      </w:tr>
      <w:tr>
        <w:tc>
          <w:p>
            <w:pPr>
              <w:pStyle w:val="Compact"/>
              <w:jc w:val="left"/>
            </w:pPr>
            <w:r>
              <w:t xml:space="preserve">MP1_WE13_B1</w:t>
            </w:r>
          </w:p>
        </w:tc>
        <w:tc>
          <w:p>
            <w:pPr>
              <w:pStyle w:val="Compact"/>
              <w:jc w:val="left"/>
            </w:pPr>
            <w:r>
              <w:t xml:space="preserve">2022-01-26</w:t>
            </w:r>
          </w:p>
        </w:tc>
        <w:tc>
          <w:p>
            <w:pPr>
              <w:pStyle w:val="Compact"/>
              <w:jc w:val="left"/>
            </w:pPr>
            <w:r>
              <w:t xml:space="preserve">WE13</w:t>
            </w:r>
          </w:p>
        </w:tc>
        <w:tc>
          <w:p>
            <w:pPr>
              <w:pStyle w:val="Compact"/>
              <w:jc w:val="left"/>
            </w:pPr>
            <w:r>
              <w:t xml:space="preserve">Bloom</w:t>
            </w:r>
          </w:p>
        </w:tc>
        <w:tc>
          <w:p>
            <w:pPr>
              <w:pStyle w:val="Compact"/>
              <w:jc w:val="left"/>
            </w:pPr>
            <w:r>
              <w:t xml:space="preserve">12.4</w:t>
            </w:r>
          </w:p>
        </w:tc>
        <w:tc>
          <w:p>
            <w:pPr>
              <w:pStyle w:val="Compact"/>
              <w:jc w:val="left"/>
            </w:pPr>
            <w:r>
              <w:t xml:space="preserve">Multiplexed</w:t>
            </w:r>
          </w:p>
        </w:tc>
        <w:tc>
          <w:p>
            <w:pPr>
              <w:pStyle w:val="Compact"/>
              <w:jc w:val="right"/>
            </w:pPr>
            <w:r>
              <w:t xml:space="preserve">131684</w:t>
            </w:r>
          </w:p>
        </w:tc>
      </w:tr>
      <w:tr>
        <w:tc>
          <w:p>
            <w:pPr>
              <w:pStyle w:val="Compact"/>
              <w:jc w:val="left"/>
            </w:pPr>
            <w:r>
              <w:t xml:space="preserve">MP2_WE02_B2</w:t>
            </w:r>
          </w:p>
        </w:tc>
        <w:tc>
          <w:p>
            <w:pPr>
              <w:pStyle w:val="Compact"/>
              <w:jc w:val="left"/>
            </w:pPr>
            <w:r>
              <w:t xml:space="preserve">2022-02-16</w:t>
            </w:r>
          </w:p>
        </w:tc>
        <w:tc>
          <w:p>
            <w:pPr>
              <w:pStyle w:val="Compact"/>
              <w:jc w:val="left"/>
            </w:pPr>
            <w:r>
              <w:t xml:space="preserve">WE02</w:t>
            </w:r>
          </w:p>
        </w:tc>
        <w:tc>
          <w:p>
            <w:pPr>
              <w:pStyle w:val="Compact"/>
              <w:jc w:val="left"/>
            </w:pPr>
            <w:r>
              <w:t xml:space="preserve">Bloom</w:t>
            </w:r>
          </w:p>
        </w:tc>
        <w:tc>
          <w:p>
            <w:pPr>
              <w:pStyle w:val="Compact"/>
              <w:jc w:val="left"/>
            </w:pPr>
            <w:r>
              <w:t xml:space="preserve">6.16</w:t>
            </w:r>
          </w:p>
        </w:tc>
        <w:tc>
          <w:p>
            <w:pPr>
              <w:pStyle w:val="Compact"/>
              <w:jc w:val="left"/>
            </w:pPr>
            <w:r>
              <w:t xml:space="preserve">Multiplexed</w:t>
            </w:r>
          </w:p>
        </w:tc>
        <w:tc>
          <w:p>
            <w:pPr>
              <w:pStyle w:val="Compact"/>
              <w:jc w:val="right"/>
            </w:pPr>
            <w:r>
              <w:t xml:space="preserve">133788</w:t>
            </w:r>
          </w:p>
        </w:tc>
      </w:tr>
      <w:tr>
        <w:tc>
          <w:p>
            <w:pPr>
              <w:pStyle w:val="Compact"/>
              <w:jc w:val="left"/>
            </w:pPr>
            <w:r>
              <w:t xml:space="preserve">MP2_WE13_B2</w:t>
            </w:r>
          </w:p>
        </w:tc>
        <w:tc>
          <w:p>
            <w:pPr>
              <w:pStyle w:val="Compact"/>
              <w:jc w:val="left"/>
            </w:pPr>
            <w:r>
              <w:t xml:space="preserve">2022-02-16</w:t>
            </w:r>
          </w:p>
        </w:tc>
        <w:tc>
          <w:p>
            <w:pPr>
              <w:pStyle w:val="Compact"/>
              <w:jc w:val="left"/>
            </w:pPr>
            <w:r>
              <w:t xml:space="preserve">WE13</w:t>
            </w:r>
          </w:p>
        </w:tc>
        <w:tc>
          <w:p>
            <w:pPr>
              <w:pStyle w:val="Compact"/>
              <w:jc w:val="left"/>
            </w:pPr>
            <w:r>
              <w:t xml:space="preserve">Bloom</w:t>
            </w:r>
          </w:p>
        </w:tc>
        <w:tc>
          <w:p>
            <w:pPr>
              <w:pStyle w:val="Compact"/>
              <w:jc w:val="left"/>
            </w:pPr>
            <w:r>
              <w:t xml:space="preserve">10.8</w:t>
            </w:r>
          </w:p>
        </w:tc>
        <w:tc>
          <w:p>
            <w:pPr>
              <w:pStyle w:val="Compact"/>
              <w:jc w:val="left"/>
            </w:pPr>
            <w:r>
              <w:t xml:space="preserve">Multiplexed</w:t>
            </w:r>
          </w:p>
        </w:tc>
        <w:tc>
          <w:p>
            <w:pPr>
              <w:pStyle w:val="Compact"/>
              <w:jc w:val="right"/>
            </w:pPr>
            <w:r>
              <w:t xml:space="preserve">164230</w:t>
            </w:r>
          </w:p>
        </w:tc>
      </w:tr>
      <w:tr>
        <w:tc>
          <w:p>
            <w:pPr>
              <w:pStyle w:val="Compact"/>
              <w:jc w:val="left"/>
            </w:pPr>
            <w:r>
              <w:t xml:space="preserve">MP2_NC1</w:t>
            </w:r>
          </w:p>
        </w:tc>
        <w:tc>
          <w:p>
            <w:pPr>
              <w:pStyle w:val="Compact"/>
              <w:jc w:val="left"/>
            </w:pPr>
            <w:r>
              <w:t xml:space="preserve">2022-02-16</w:t>
            </w:r>
          </w:p>
        </w:tc>
        <w:tc>
          <w:p>
            <w:pPr>
              <w:pStyle w:val="Compact"/>
              <w:jc w:val="left"/>
            </w:pPr>
            <w:r>
              <w:t xml:space="preserve">NA</w:t>
            </w:r>
          </w:p>
        </w:tc>
        <w:tc>
          <w:p>
            <w:pPr>
              <w:pStyle w:val="Compact"/>
              <w:jc w:val="left"/>
            </w:pPr>
            <w:r>
              <w:t xml:space="preserve">Negative control</w:t>
            </w:r>
          </w:p>
        </w:tc>
        <w:tc>
          <w:p>
            <w:pPr>
              <w:pStyle w:val="Compact"/>
              <w:jc w:val="left"/>
            </w:pPr>
            <w:r>
              <w:t xml:space="preserve">LOW</w:t>
            </w:r>
          </w:p>
        </w:tc>
        <w:tc>
          <w:p>
            <w:pPr>
              <w:pStyle w:val="Compact"/>
              <w:jc w:val="left"/>
            </w:pPr>
            <w:r>
              <w:t xml:space="preserve">Multiplexed</w:t>
            </w:r>
          </w:p>
        </w:tc>
        <w:tc>
          <w:p>
            <w:pPr>
              <w:pStyle w:val="Compact"/>
              <w:jc w:val="right"/>
            </w:pPr>
            <w:r>
              <w:t xml:space="preserve">10156</w:t>
            </w:r>
          </w:p>
        </w:tc>
      </w:tr>
      <w:tr>
        <w:tc>
          <w:p>
            <w:pPr>
              <w:pStyle w:val="Compact"/>
              <w:jc w:val="left"/>
            </w:pPr>
            <w:r>
              <w:t xml:space="preserve">FR1_WE13_PB6</w:t>
            </w:r>
          </w:p>
        </w:tc>
        <w:tc>
          <w:p>
            <w:pPr>
              <w:pStyle w:val="Compact"/>
              <w:jc w:val="left"/>
            </w:pPr>
            <w:r>
              <w:t xml:space="preserve">2021-10-07</w:t>
            </w:r>
          </w:p>
        </w:tc>
        <w:tc>
          <w:p>
            <w:pPr>
              <w:pStyle w:val="Compact"/>
              <w:jc w:val="left"/>
            </w:pPr>
            <w:r>
              <w:t xml:space="preserve">WE13</w:t>
            </w:r>
          </w:p>
        </w:tc>
        <w:tc>
          <w:p>
            <w:pPr>
              <w:pStyle w:val="Compact"/>
              <w:jc w:val="left"/>
            </w:pPr>
            <w:r>
              <w:t xml:space="preserve">Pre-bloom</w:t>
            </w:r>
          </w:p>
        </w:tc>
        <w:tc>
          <w:p>
            <w:pPr>
              <w:pStyle w:val="Compact"/>
              <w:jc w:val="left"/>
            </w:pPr>
            <w:r>
              <w:t xml:space="preserve">7.98</w:t>
            </w:r>
          </w:p>
        </w:tc>
        <w:tc>
          <w:p>
            <w:pPr>
              <w:pStyle w:val="Compact"/>
              <w:jc w:val="left"/>
            </w:pPr>
            <w:r>
              <w:t xml:space="preserve">Single sample</w:t>
            </w:r>
          </w:p>
        </w:tc>
        <w:tc>
          <w:p>
            <w:pPr>
              <w:pStyle w:val="Compact"/>
              <w:jc w:val="right"/>
            </w:pPr>
            <w:r>
              <w:t xml:space="preserve">609113</w:t>
            </w:r>
          </w:p>
        </w:tc>
      </w:tr>
      <w:tr>
        <w:tc>
          <w:p>
            <w:pPr>
              <w:pStyle w:val="Compact"/>
              <w:jc w:val="left"/>
            </w:pPr>
            <w:r>
              <w:t xml:space="preserve">FR2_WE02_PB2</w:t>
            </w:r>
          </w:p>
        </w:tc>
        <w:tc>
          <w:p>
            <w:pPr>
              <w:pStyle w:val="Compact"/>
              <w:jc w:val="left"/>
            </w:pPr>
            <w:r>
              <w:t xml:space="preserve">2021-11-08</w:t>
            </w:r>
          </w:p>
        </w:tc>
        <w:tc>
          <w:p>
            <w:pPr>
              <w:pStyle w:val="Compact"/>
              <w:jc w:val="left"/>
            </w:pPr>
            <w:r>
              <w:t xml:space="preserve">WE02</w:t>
            </w:r>
          </w:p>
        </w:tc>
        <w:tc>
          <w:p>
            <w:pPr>
              <w:pStyle w:val="Compact"/>
              <w:jc w:val="left"/>
            </w:pPr>
            <w:r>
              <w:t xml:space="preserve">Pre-bloom</w:t>
            </w:r>
          </w:p>
        </w:tc>
        <w:tc>
          <w:p>
            <w:pPr>
              <w:pStyle w:val="Compact"/>
              <w:jc w:val="left"/>
            </w:pPr>
            <w:r>
              <w:t xml:space="preserve">0.353</w:t>
            </w:r>
          </w:p>
        </w:tc>
        <w:tc>
          <w:p>
            <w:pPr>
              <w:pStyle w:val="Compact"/>
              <w:jc w:val="left"/>
            </w:pPr>
            <w:r>
              <w:t xml:space="preserve">Single sample</w:t>
            </w:r>
          </w:p>
        </w:tc>
        <w:tc>
          <w:p>
            <w:pPr>
              <w:pStyle w:val="Compact"/>
              <w:jc w:val="right"/>
            </w:pPr>
            <w:r>
              <w:t xml:space="preserve">332514</w:t>
            </w:r>
          </w:p>
        </w:tc>
      </w:tr>
      <w:tr>
        <w:tc>
          <w:p>
            <w:pPr>
              <w:pStyle w:val="Compact"/>
              <w:jc w:val="left"/>
            </w:pPr>
            <w:r>
              <w:t xml:space="preserve">MP1_WE02_PB1</w:t>
            </w:r>
          </w:p>
        </w:tc>
        <w:tc>
          <w:p>
            <w:pPr>
              <w:pStyle w:val="Compact"/>
              <w:jc w:val="left"/>
            </w:pPr>
            <w:r>
              <w:t xml:space="preserve">2022-01-26</w:t>
            </w:r>
          </w:p>
        </w:tc>
        <w:tc>
          <w:p>
            <w:pPr>
              <w:pStyle w:val="Compact"/>
              <w:jc w:val="left"/>
            </w:pPr>
            <w:r>
              <w:t xml:space="preserve">WE02</w:t>
            </w:r>
          </w:p>
        </w:tc>
        <w:tc>
          <w:p>
            <w:pPr>
              <w:pStyle w:val="Compact"/>
              <w:jc w:val="left"/>
            </w:pPr>
            <w:r>
              <w:t xml:space="preserve">Pre-bloom</w:t>
            </w:r>
          </w:p>
        </w:tc>
        <w:tc>
          <w:p>
            <w:pPr>
              <w:pStyle w:val="Compact"/>
              <w:jc w:val="left"/>
            </w:pPr>
            <w:r>
              <w:t xml:space="preserve">0.264</w:t>
            </w:r>
          </w:p>
        </w:tc>
        <w:tc>
          <w:p>
            <w:pPr>
              <w:pStyle w:val="Compact"/>
              <w:jc w:val="left"/>
            </w:pPr>
            <w:r>
              <w:t xml:space="preserve">Multiplexed</w:t>
            </w:r>
          </w:p>
        </w:tc>
        <w:tc>
          <w:p>
            <w:pPr>
              <w:pStyle w:val="Compact"/>
              <w:jc w:val="right"/>
            </w:pPr>
            <w:r>
              <w:t xml:space="preserve">10051</w:t>
            </w:r>
          </w:p>
        </w:tc>
      </w:tr>
      <w:tr>
        <w:tc>
          <w:p>
            <w:pPr>
              <w:pStyle w:val="Compact"/>
              <w:jc w:val="left"/>
            </w:pPr>
            <w:r>
              <w:t xml:space="preserve">MP1_WE13_PB1</w:t>
            </w:r>
          </w:p>
        </w:tc>
        <w:tc>
          <w:p>
            <w:pPr>
              <w:pStyle w:val="Compact"/>
              <w:jc w:val="left"/>
            </w:pPr>
            <w:r>
              <w:t xml:space="preserve">2022-01-26</w:t>
            </w:r>
          </w:p>
        </w:tc>
        <w:tc>
          <w:p>
            <w:pPr>
              <w:pStyle w:val="Compact"/>
              <w:jc w:val="left"/>
            </w:pPr>
            <w:r>
              <w:t xml:space="preserve">WE13</w:t>
            </w:r>
          </w:p>
        </w:tc>
        <w:tc>
          <w:p>
            <w:pPr>
              <w:pStyle w:val="Compact"/>
              <w:jc w:val="left"/>
            </w:pPr>
            <w:r>
              <w:t xml:space="preserve">Pre-bloom</w:t>
            </w:r>
          </w:p>
        </w:tc>
        <w:tc>
          <w:p>
            <w:pPr>
              <w:pStyle w:val="Compact"/>
              <w:jc w:val="left"/>
            </w:pPr>
            <w:r>
              <w:t xml:space="preserve">0.053</w:t>
            </w:r>
          </w:p>
        </w:tc>
        <w:tc>
          <w:p>
            <w:pPr>
              <w:pStyle w:val="Compact"/>
              <w:jc w:val="left"/>
            </w:pPr>
            <w:r>
              <w:t xml:space="preserve">Multiplexed</w:t>
            </w:r>
          </w:p>
        </w:tc>
        <w:tc>
          <w:p>
            <w:pPr>
              <w:pStyle w:val="Compact"/>
              <w:jc w:val="right"/>
            </w:pPr>
            <w:r>
              <w:t xml:space="preserve">13004</w:t>
            </w:r>
          </w:p>
        </w:tc>
      </w:tr>
      <w:tr>
        <w:tc>
          <w:p>
            <w:pPr>
              <w:pStyle w:val="Compact"/>
              <w:jc w:val="left"/>
            </w:pPr>
            <w:r>
              <w:t xml:space="preserve">MP2_WE02_PB2</w:t>
            </w:r>
          </w:p>
        </w:tc>
        <w:tc>
          <w:p>
            <w:pPr>
              <w:pStyle w:val="Compact"/>
              <w:jc w:val="left"/>
            </w:pPr>
            <w:r>
              <w:t xml:space="preserve">2022-02-16</w:t>
            </w:r>
          </w:p>
        </w:tc>
        <w:tc>
          <w:p>
            <w:pPr>
              <w:pStyle w:val="Compact"/>
              <w:jc w:val="left"/>
            </w:pPr>
            <w:r>
              <w:t xml:space="preserve">WE02</w:t>
            </w:r>
          </w:p>
        </w:tc>
        <w:tc>
          <w:p>
            <w:pPr>
              <w:pStyle w:val="Compact"/>
              <w:jc w:val="left"/>
            </w:pPr>
            <w:r>
              <w:t xml:space="preserve">Pre-bloom</w:t>
            </w:r>
          </w:p>
        </w:tc>
        <w:tc>
          <w:p>
            <w:pPr>
              <w:pStyle w:val="Compact"/>
              <w:jc w:val="left"/>
            </w:pPr>
            <w:r>
              <w:t xml:space="preserve">0.159</w:t>
            </w:r>
          </w:p>
        </w:tc>
        <w:tc>
          <w:p>
            <w:pPr>
              <w:pStyle w:val="Compact"/>
              <w:jc w:val="left"/>
            </w:pPr>
            <w:r>
              <w:t xml:space="preserve">Multiplexed</w:t>
            </w:r>
          </w:p>
        </w:tc>
        <w:tc>
          <w:p>
            <w:pPr>
              <w:pStyle w:val="Compact"/>
              <w:jc w:val="right"/>
            </w:pPr>
            <w:r>
              <w:t xml:space="preserve">12447</w:t>
            </w:r>
          </w:p>
        </w:tc>
      </w:tr>
      <w:tr>
        <w:tc>
          <w:p>
            <w:pPr>
              <w:pStyle w:val="Compact"/>
              <w:jc w:val="left"/>
            </w:pPr>
            <w:r>
              <w:t xml:space="preserve">MP2_WE13_PB2</w:t>
            </w:r>
          </w:p>
        </w:tc>
        <w:tc>
          <w:p>
            <w:pPr>
              <w:pStyle w:val="Compact"/>
              <w:jc w:val="left"/>
            </w:pPr>
            <w:r>
              <w:t xml:space="preserve">2022-02-16</w:t>
            </w:r>
          </w:p>
        </w:tc>
        <w:tc>
          <w:p>
            <w:pPr>
              <w:pStyle w:val="Compact"/>
              <w:jc w:val="left"/>
            </w:pPr>
            <w:r>
              <w:t xml:space="preserve">WE13</w:t>
            </w:r>
          </w:p>
        </w:tc>
        <w:tc>
          <w:p>
            <w:pPr>
              <w:pStyle w:val="Compact"/>
              <w:jc w:val="left"/>
            </w:pPr>
            <w:r>
              <w:t xml:space="preserve">Pre-bloom</w:t>
            </w:r>
          </w:p>
        </w:tc>
        <w:tc>
          <w:p>
            <w:pPr>
              <w:pStyle w:val="Compact"/>
              <w:jc w:val="left"/>
            </w:pPr>
            <w:r>
              <w:t xml:space="preserve">LOW</w:t>
            </w:r>
          </w:p>
        </w:tc>
        <w:tc>
          <w:p>
            <w:pPr>
              <w:pStyle w:val="Compact"/>
              <w:jc w:val="left"/>
            </w:pPr>
            <w:r>
              <w:t xml:space="preserve">Multiplexed</w:t>
            </w:r>
          </w:p>
        </w:tc>
        <w:tc>
          <w:p>
            <w:pPr>
              <w:pStyle w:val="Compact"/>
              <w:jc w:val="right"/>
            </w:pPr>
            <w:r>
              <w:t xml:space="preserve">12221</w:t>
            </w:r>
          </w:p>
        </w:tc>
      </w:tr>
      <w:tr>
        <w:tc>
          <w:p>
            <w:pPr>
              <w:pStyle w:val="Compact"/>
              <w:jc w:val="left"/>
            </w:pPr>
            <w:r>
              <w:t xml:space="preserve">MP1_RB1</w:t>
            </w:r>
          </w:p>
        </w:tc>
        <w:tc>
          <w:p>
            <w:pPr>
              <w:pStyle w:val="Compact"/>
              <w:jc w:val="left"/>
            </w:pPr>
            <w:r>
              <w:t xml:space="preserve">2022-01-26</w:t>
            </w:r>
          </w:p>
        </w:tc>
        <w:tc>
          <w:p>
            <w:pPr>
              <w:pStyle w:val="Compact"/>
              <w:jc w:val="left"/>
            </w:pPr>
            <w:r>
              <w:t xml:space="preserve">NA</w:t>
            </w:r>
          </w:p>
        </w:tc>
        <w:tc>
          <w:p>
            <w:pPr>
              <w:pStyle w:val="Compact"/>
              <w:jc w:val="left"/>
            </w:pPr>
            <w:r>
              <w:t xml:space="preserve">Reagent blank</w:t>
            </w:r>
          </w:p>
        </w:tc>
        <w:tc>
          <w:p>
            <w:pPr>
              <w:pStyle w:val="Compact"/>
              <w:jc w:val="left"/>
            </w:pPr>
            <w:r>
              <w:t xml:space="preserve">LOW</w:t>
            </w:r>
          </w:p>
        </w:tc>
        <w:tc>
          <w:p>
            <w:pPr>
              <w:pStyle w:val="Compact"/>
              <w:jc w:val="left"/>
            </w:pPr>
            <w:r>
              <w:t xml:space="preserve">Multiplexed</w:t>
            </w:r>
          </w:p>
        </w:tc>
        <w:tc>
          <w:p>
            <w:pPr>
              <w:pStyle w:val="Compact"/>
              <w:jc w:val="right"/>
            </w:pPr>
            <w:r>
              <w:t xml:space="preserve">5568</w:t>
            </w:r>
          </w:p>
        </w:tc>
      </w:tr>
      <w:tr>
        <w:tc>
          <w:p>
            <w:pPr>
              <w:pStyle w:val="Compact"/>
              <w:jc w:val="left"/>
            </w:pPr>
            <w:r>
              <w:t xml:space="preserve">MP2_RB1</w:t>
            </w:r>
          </w:p>
        </w:tc>
        <w:tc>
          <w:p>
            <w:pPr>
              <w:pStyle w:val="Compact"/>
              <w:jc w:val="left"/>
            </w:pPr>
            <w:r>
              <w:t xml:space="preserve">2022-02-16</w:t>
            </w:r>
          </w:p>
        </w:tc>
        <w:tc>
          <w:p>
            <w:pPr>
              <w:pStyle w:val="Compact"/>
              <w:jc w:val="left"/>
            </w:pPr>
            <w:r>
              <w:t xml:space="preserve">NA</w:t>
            </w:r>
          </w:p>
        </w:tc>
        <w:tc>
          <w:p>
            <w:pPr>
              <w:pStyle w:val="Compact"/>
              <w:jc w:val="left"/>
            </w:pPr>
            <w:r>
              <w:t xml:space="preserve">Reagent blank</w:t>
            </w:r>
          </w:p>
        </w:tc>
        <w:tc>
          <w:p>
            <w:pPr>
              <w:pStyle w:val="Compact"/>
              <w:jc w:val="left"/>
            </w:pPr>
            <w:r>
              <w:t xml:space="preserve">LOW</w:t>
            </w:r>
          </w:p>
        </w:tc>
        <w:tc>
          <w:p>
            <w:pPr>
              <w:pStyle w:val="Compact"/>
              <w:jc w:val="left"/>
            </w:pPr>
            <w:r>
              <w:t xml:space="preserve">Multiplexed</w:t>
            </w:r>
          </w:p>
        </w:tc>
        <w:tc>
          <w:p>
            <w:pPr>
              <w:pStyle w:val="Compact"/>
              <w:jc w:val="right"/>
            </w:pPr>
            <w:r>
              <w:t xml:space="preserve">6553</w:t>
            </w:r>
          </w:p>
        </w:tc>
      </w:tr>
    </w:tbl>
    <w:p>
      <w:pPr>
        <w:pStyle w:val="BodyText"/>
      </w:pPr>
      <w:r>
        <w:t xml:space="preserve">The results of the taxonomic classification are presented in figure</w:t>
      </w:r>
      <w:r>
        <w:t xml:space="preserve"> </w:t>
      </w:r>
      <w:r>
        <w:t xml:space="preserve">. There was notable human and</w:t>
      </w:r>
      <w:r>
        <w:t xml:space="preserve"> </w:t>
      </w:r>
      <w:r>
        <w:rPr>
          <w:iCs/>
          <w:i/>
        </w:rPr>
        <w:t xml:space="preserve">E. coli</w:t>
      </w:r>
      <w:r>
        <w:t xml:space="preserve"> </w:t>
      </w:r>
      <w:r>
        <w:t xml:space="preserve">contamination present in several samples that was not revealed until taxonomic classification. While we took steps to track down and eliminate the contamination for later samples, we were unable to conclusively discover the source. Based on the quantities observed in the negative controls and reagent blanks, these included at minimum, 1,400 to several thousand reads classifying as</w:t>
      </w:r>
      <w:r>
        <w:t xml:space="preserve"> </w:t>
      </w:r>
      <w:r>
        <w:rPr>
          <w:iCs/>
          <w:i/>
        </w:rPr>
        <w:t xml:space="preserve">E. coli</w:t>
      </w:r>
      <w:r>
        <w:t xml:space="preserve">, and from 50 to several hundred reads classifying as</w:t>
      </w:r>
      <w:r>
        <w:t xml:space="preserve"> </w:t>
      </w:r>
      <w:r>
        <w:rPr>
          <w:iCs/>
          <w:i/>
        </w:rPr>
        <w:t xml:space="preserve">H. sapiens</w:t>
      </w:r>
      <w:r>
        <w:t xml:space="preserve">, and hundreds more classifying to other taxa, including</w:t>
      </w:r>
      <w:r>
        <w:t xml:space="preserve"> </w:t>
      </w:r>
      <w:r>
        <w:rPr>
          <w:iCs/>
          <w:i/>
        </w:rPr>
        <w:t xml:space="preserve">Shigella</w:t>
      </w:r>
      <w:r>
        <w:t xml:space="preserve">,</w:t>
      </w:r>
      <w:r>
        <w:t xml:space="preserve"> </w:t>
      </w:r>
      <w:r>
        <w:rPr>
          <w:iCs/>
          <w:i/>
        </w:rPr>
        <w:t xml:space="preserve">Acinetobacter</w:t>
      </w:r>
      <w:r>
        <w:t xml:space="preserve">, and</w:t>
      </w:r>
      <w:r>
        <w:t xml:space="preserve"> </w:t>
      </w:r>
      <w:r>
        <w:rPr>
          <w:iCs/>
          <w:i/>
        </w:rPr>
        <w:t xml:space="preserve">Microcystis</w:t>
      </w:r>
      <w:r>
        <w:t xml:space="preserve"> </w:t>
      </w:r>
      <w:r>
        <w:t xml:space="preserve">(though never more than 10 reads in any of the blanks or negative control). In some of the bloom-drawn samples (those from GLERL WE13) the abundance of</w:t>
      </w:r>
      <w:r>
        <w:t xml:space="preserve"> </w:t>
      </w:r>
      <w:r>
        <w:rPr>
          <w:iCs/>
          <w:i/>
        </w:rPr>
        <w:t xml:space="preserve">E. coli</w:t>
      </w:r>
      <w:r>
        <w:t xml:space="preserve"> </w:t>
      </w:r>
      <w:r>
        <w:t xml:space="preserve">was greater than that of</w:t>
      </w:r>
      <w:r>
        <w:t xml:space="preserve"> </w:t>
      </w:r>
      <w:r>
        <w:rPr>
          <w:iCs/>
          <w:i/>
        </w:rPr>
        <w:t xml:space="preserve">Microcystis</w:t>
      </w:r>
      <w:r>
        <w:t xml:space="preserve"> </w:t>
      </w:r>
      <w:r>
        <w:t xml:space="preserve">despite the fact that these were</w:t>
      </w:r>
      <w:r>
        <w:t xml:space="preserve"> </w:t>
      </w:r>
      <w:r>
        <w:rPr>
          <w:iCs/>
          <w:i/>
        </w:rPr>
        <w:t xml:space="preserve">Microcystis</w:t>
      </w:r>
      <w:r>
        <w:t xml:space="preserve"> </w:t>
      </w:r>
      <w:r>
        <w:t xml:space="preserve">blooms. These contaminants could therefore have had a skewing effect on the abundance results.</w:t>
      </w:r>
    </w:p>
    <w:p>
      <w:pPr>
        <w:pStyle w:val="CaptionedFigure"/>
      </w:pPr>
      <w:r>
        <w:drawing>
          <wp:inline>
            <wp:extent cx="5334000" cy="4267200"/>
            <wp:effectExtent b="0" l="0" r="0" t="0"/>
            <wp:docPr descr="Stacked bar charts of relative taxon abundance (genus level) for all samples in the dataset. Top 10 most abundant genera across all samples are displayed. All other genera were classed as ‘Other.’ Sample names are the GLERL from which the sample was drawn, the condition (Bloom or Pre-bloom) and the replicate number. Reagent blank and negative control results are also inlcuded (right 3 columns). Note the presence of  and  classified reads (putative contamination) across all samples." title="" id="1" name="Picture"/>
            <a:graphic>
              <a:graphicData uri="http://schemas.openxmlformats.org/drawingml/2006/picture">
                <pic:pic>
                  <pic:nvPicPr>
                    <pic:cNvPr descr="habbsed-dibformat-word-ms_files/figure-docx/taxa-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Stacked bar charts of relative taxon abundance (genus level) for all samples in the dataset. Top 10 most abundant genera across all samples are displayed. All other genera were classed as</w:t>
      </w:r>
      <w:r>
        <w:t xml:space="preserve"> </w:t>
      </w:r>
      <w:r>
        <w:t xml:space="preserve">‘</w:t>
      </w:r>
      <w:r>
        <w:t xml:space="preserve">Other.</w:t>
      </w:r>
      <w:r>
        <w:t xml:space="preserve">’</w:t>
      </w:r>
      <w:r>
        <w:t xml:space="preserve"> </w:t>
      </w:r>
      <w:r>
        <w:t xml:space="preserve">Sample names are the GLERL from which the sample was drawn, the condition (Bloom or Pre-bloom) and the replicate number. Reagent blank and negative control results are also inlcuded (right 3 columns). Note the presence of</w:t>
      </w:r>
      <w:r>
        <w:t xml:space="preserve"> </w:t>
      </w:r>
      <w:r>
        <w:t xml:space="preserve"> </w:t>
      </w:r>
      <w:r>
        <w:t xml:space="preserve">and</w:t>
      </w:r>
      <w:r>
        <w:t xml:space="preserve"> </w:t>
      </w:r>
      <w:r>
        <w:t xml:space="preserve"> </w:t>
      </w:r>
      <w:r>
        <w:t xml:space="preserve">classified reads (putative contamination) across all samples.</w:t>
      </w:r>
    </w:p>
    <w:bookmarkEnd w:id="32"/>
    <w:bookmarkStart w:id="35" w:name="X57982f2d6b4bc6b0055467d1afed94228c4b0d5"/>
    <w:p>
      <w:pPr>
        <w:pStyle w:val="Heading1"/>
      </w:pPr>
      <w:r>
        <w:t xml:space="preserve">Experimental design, materials and methods</w:t>
      </w:r>
    </w:p>
    <w:p>
      <w:pPr>
        <w:pStyle w:val="FirstParagraph"/>
      </w:pPr>
      <w:r>
        <w:t xml:space="preserve">We sequenced water samples collected from NOAA GLERL stations WE02 and WE13 during a 2019</w:t>
      </w:r>
      <w:r>
        <w:t xml:space="preserve"> </w:t>
      </w:r>
      <w:r>
        <w:rPr>
          <w:iCs/>
          <w:i/>
        </w:rPr>
        <w:t xml:space="preserve">Mycrocystis</w:t>
      </w:r>
      <w:r>
        <w:t xml:space="preserve"> </w:t>
      </w:r>
      <w:r>
        <w:t xml:space="preserve">bloom in Lake Erie. Sampling excursions from these NOAA GLERL stations in the 2019 bloom season took place during pre-, peak, and post-bloom conditions. The samples were drawn using standard collection protocols</w:t>
      </w:r>
      <w:r>
        <w:t xml:space="preserve"> </w:t>
      </w:r>
      <w:r>
        <w:t xml:space="preserve">(Steffen et al. 2017)</w:t>
      </w:r>
      <w:r>
        <w:t xml:space="preserve"> </w:t>
      </w:r>
      <w:r>
        <w:t xml:space="preserve">at a water depth of 0.5m-1.5m. Metadata on the physical and chemical properties of the water at the time of sampling were also collected</w:t>
      </w:r>
      <w:r>
        <w:t xml:space="preserve"> </w:t>
      </w:r>
      <w:r>
        <w:t xml:space="preserve">(Boedecker et al. 2020)</w:t>
      </w:r>
      <w:r>
        <w:t xml:space="preserve">. Collection sites are show in the map in Figure</w:t>
      </w:r>
      <w:r>
        <w:t xml:space="preserve"> </w:t>
      </w:r>
      <w:r>
        <w:t xml:space="preserve"> </w:t>
      </w:r>
      <w:r>
        <w:t xml:space="preserve">(adapted from www.glerl.noaa.gov).</w:t>
      </w:r>
    </w:p>
    <w:p>
      <w:pPr>
        <w:pStyle w:val="CaptionedFigure"/>
      </w:pPr>
      <w:r>
        <w:drawing>
          <wp:inline>
            <wp:extent cx="5334000" cy="4053840"/>
            <wp:effectExtent b="0" l="0" r="0" t="0"/>
            <wp:docPr descr="GLERL sites WE02 and WE13 from which water samples sequenced here were collected (adapted from https://www.glerl.noaa.gov/)." title="" id="1" name="Picture"/>
            <a:graphic>
              <a:graphicData uri="http://schemas.openxmlformats.org/drawingml/2006/picture">
                <pic:pic>
                  <pic:nvPicPr>
                    <pic:cNvPr descr="figures/map2.jpg" id="0" name="Picture"/>
                    <pic:cNvPicPr>
                      <a:picLocks noChangeArrowheads="1" noChangeAspect="1"/>
                    </pic:cNvPicPr>
                  </pic:nvPicPr>
                  <pic:blipFill>
                    <a:blip r:embed="rId33"/>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GLERL sites WE02 and WE13 from which water samples sequenced here were collected (adapted from</w:t>
      </w:r>
      <w:r>
        <w:t xml:space="preserve"> </w:t>
      </w:r>
      <w:hyperlink r:id="rId34">
        <w:r>
          <w:rPr>
            <w:rStyle w:val="Hyperlink"/>
          </w:rPr>
          <w:t xml:space="preserve">https://www.glerl.noaa.gov/</w:t>
        </w:r>
      </w:hyperlink>
      <w:r>
        <w:t xml:space="preserve">).</w:t>
      </w:r>
    </w:p>
    <w:p>
      <w:pPr>
        <w:pStyle w:val="BodyText"/>
      </w:pPr>
      <w:r>
        <w:t xml:space="preserve">Biomass was collected onto 0.2 um Sterivex filters and kept on ice until they were returned to the lab where they were stored at -80C until extraction. We extracted the DNA from the samples, following a protocol adapted according to</w:t>
      </w:r>
      <w:r>
        <w:t xml:space="preserve"> </w:t>
      </w:r>
      <w:r>
        <w:t xml:space="preserve">(Cruaud et al. 2017)</w:t>
      </w:r>
      <w:r>
        <w:t xml:space="preserve">. We then prepared the libraries for MinION sequencing using Oxford Nanopore Technologies (ONT) sequencing kit (initially the Rapid Sequencing Kit (SQK-RAD004) but transitioning to the Rapid Barcoding Kit 96 (SQK-RBK110.96) for later runs). We estimated DNA concentrations for each sample using a Qbit analyzer. We sequenced the eDNA from those samples using the ONT MinION Mk1C device, and performed base-calling and quality filtering using ONT’s embedded MinKNOW software under the default settings. We then performed taxonomic classification using the ONT What’s In My Pot (WIMP) pipeline. We computed relative abundance of taxa by dividing these genus-specific read counts by the total number of reads passing the QC filters for the same samples.</w:t>
      </w:r>
    </w:p>
    <w:bookmarkEnd w:id="35"/>
    <w:bookmarkStart w:id="36" w:name="ethics-statements"/>
    <w:p>
      <w:pPr>
        <w:pStyle w:val="Heading1"/>
      </w:pPr>
      <w:r>
        <w:t xml:space="preserve">Ethics Statements</w:t>
      </w:r>
    </w:p>
    <w:p>
      <w:pPr>
        <w:pStyle w:val="FirstParagraph"/>
      </w:pPr>
      <w:r>
        <w:t xml:space="preserve">AK and ST are employees of Signature Science, LLC. AK and WG were employees of Elder Research at the time this research were conducted. MS and LW are employees of James Madison University.</w:t>
      </w:r>
    </w:p>
    <w:bookmarkEnd w:id="36"/>
    <w:bookmarkStart w:id="37" w:name="credit-author-statement"/>
    <w:p>
      <w:pPr>
        <w:pStyle w:val="Heading1"/>
      </w:pPr>
      <w:r>
        <w:t xml:space="preserve">CRediT author statement</w:t>
      </w:r>
    </w:p>
    <w:p>
      <w:pPr>
        <w:pStyle w:val="FirstParagraph"/>
      </w:pPr>
      <w:r>
        <w:rPr>
          <w:bCs/>
          <w:b/>
        </w:rPr>
        <w:t xml:space="preserve">Alex Koeppel</w:t>
      </w:r>
      <w:r>
        <w:t xml:space="preserve">: Conceptualization, methodology, software, formal analysis, investigation, data curation, writing – original draft, writing – review and editing, visualization, funding acquisition.</w:t>
      </w:r>
      <w:r>
        <w:t xml:space="preserve"> </w:t>
      </w:r>
      <w:r>
        <w:rPr>
          <w:bCs/>
          <w:b/>
        </w:rPr>
        <w:t xml:space="preserve">Will Goodrum</w:t>
      </w:r>
      <w:r>
        <w:t xml:space="preserve">: Project administration.</w:t>
      </w:r>
      <w:r>
        <w:t xml:space="preserve"> </w:t>
      </w:r>
      <w:r>
        <w:rPr>
          <w:bCs/>
          <w:b/>
        </w:rPr>
        <w:t xml:space="preserve">Morgan Steffen</w:t>
      </w:r>
      <w:r>
        <w:t xml:space="preserve">: Conceptualization, methodology, investigation, writing – review and editing. ,</w:t>
      </w:r>
      <w:r>
        <w:t xml:space="preserve"> </w:t>
      </w:r>
      <w:r>
        <w:rPr>
          <w:bCs/>
          <w:b/>
        </w:rPr>
        <w:t xml:space="preserve">Louie Wurch</w:t>
      </w:r>
      <w:r>
        <w:t xml:space="preserve">: Conceptualization, methodology, investigation, writing – review and editing.</w:t>
      </w:r>
      <w:r>
        <w:t xml:space="preserve"> </w:t>
      </w:r>
      <w:r>
        <w:rPr>
          <w:bCs/>
          <w:b/>
        </w:rPr>
        <w:t xml:space="preserve">Stephen D. Turner</w:t>
      </w:r>
      <w:r>
        <w:t xml:space="preserve">: Conceptualization, methodology, investigation, data curation, writing – review and editing, supervision, funding acquisition.</w:t>
      </w:r>
    </w:p>
    <w:bookmarkEnd w:id="37"/>
    <w:bookmarkStart w:id="38" w:name="acknowledgements"/>
    <w:p>
      <w:pPr>
        <w:pStyle w:val="Heading1"/>
      </w:pPr>
      <w:r>
        <w:t xml:space="preserve">Acknowledgements</w:t>
      </w:r>
    </w:p>
    <w:p>
      <w:pPr>
        <w:pStyle w:val="FirstParagraph"/>
      </w:pPr>
      <w:r>
        <w:t xml:space="preserve">The authors would like to express sincere gratitude and acknowledge Jessica Bouchet, David Russell, and Hunter Baylous for assisting with laboratory work on this project, and Dr. Stephanie Guertin for consultation on design and execution.</w:t>
      </w:r>
    </w:p>
    <w:p>
      <w:pPr>
        <w:pStyle w:val="BodyText"/>
      </w:pPr>
      <w:r>
        <w:t xml:space="preserve">This material is based upon work supported by the SBIR Program within the NOAA Technology Partnerships Office under Grant No. NA21OAR0210481.</w:t>
      </w:r>
    </w:p>
    <w:bookmarkEnd w:id="38"/>
    <w:bookmarkStart w:id="39" w:name="declaration-of-interests"/>
    <w:p>
      <w:pPr>
        <w:pStyle w:val="Heading1"/>
      </w:pPr>
      <w:r>
        <w:t xml:space="preserve">Declaration of interests</w:t>
      </w:r>
    </w:p>
    <w:p>
      <w:pPr>
        <w:pStyle w:val="FirstParagraph"/>
      </w:pPr>
      <w:r>
        <w:t xml:space="preserve">The authors declare the following financial interests/personal relationships which may be considered as potential competing interests: Stephen Turner and Alex Koeppel are employees of Signature Science, LLC (SigSci). SigSci is a subawardee recipient of funding from the NOAA SBIR grant noted above, which supported a proof of concept study to establish the technical merit, feasibility, and commercial potential of a technology.</w:t>
      </w:r>
    </w:p>
    <w:bookmarkEnd w:id="39"/>
    <w:bookmarkStart w:id="47" w:name="references"/>
    <w:p>
      <w:pPr>
        <w:pStyle w:val="Heading1"/>
      </w:pPr>
      <w:r>
        <w:t xml:space="preserve">References</w:t>
      </w:r>
    </w:p>
    <w:bookmarkStart w:id="46" w:name="refs"/>
    <w:bookmarkStart w:id="41" w:name="ref-boedecker2020"/>
    <w:p>
      <w:pPr>
        <w:pStyle w:val="Bibliography"/>
      </w:pPr>
      <w:r>
        <w:t xml:space="preserve">Boedecker, Ashlynn R., Desi N. Niewinski, Silvia E. Newell, Justin D. Chaffin, and Mark J. McCarthy. 2020.</w:t>
      </w:r>
      <w:r>
        <w:t xml:space="preserve"> </w:t>
      </w:r>
      <w:r>
        <w:t xml:space="preserve">“Evaluating Sediments as an Ecosystem Service in Western</w:t>
      </w:r>
      <w:r>
        <w:t xml:space="preserve"> </w:t>
      </w:r>
      <w:r>
        <w:t xml:space="preserve">Lake Erie</w:t>
      </w:r>
      <w:r>
        <w:t xml:space="preserve"> </w:t>
      </w:r>
      <w:r>
        <w:t xml:space="preserve">via Quantification of Nutrient Cycling Pathways and Selected Gene Abundances.”</w:t>
      </w:r>
      <w:r>
        <w:t xml:space="preserve"> </w:t>
      </w:r>
      <w:r>
        <w:rPr>
          <w:iCs/>
          <w:i/>
        </w:rPr>
        <w:t xml:space="preserve">Journal of Great Lakes Research</w:t>
      </w:r>
      <w:r>
        <w:t xml:space="preserve"> </w:t>
      </w:r>
      <w:r>
        <w:t xml:space="preserve">46 (4): 920–32.</w:t>
      </w:r>
      <w:r>
        <w:t xml:space="preserve"> </w:t>
      </w:r>
      <w:hyperlink r:id="rId40">
        <w:r>
          <w:rPr>
            <w:rStyle w:val="Hyperlink"/>
          </w:rPr>
          <w:t xml:space="preserve">https://doi.org/10.1016/j.jglr.2020.04.010</w:t>
        </w:r>
      </w:hyperlink>
      <w:r>
        <w:t xml:space="preserve">.</w:t>
      </w:r>
    </w:p>
    <w:bookmarkEnd w:id="41"/>
    <w:bookmarkStart w:id="43" w:name="ref-cruaud2017"/>
    <w:p>
      <w:pPr>
        <w:pStyle w:val="Bibliography"/>
      </w:pPr>
      <w:r>
        <w:t xml:space="preserve">Cruaud, Perrine, Adrien Vigneron, Marie-Stéphanie Fradette, Steve J. Charette, Manuel J. Rodriguez, Caetano C. Dorea, and Alexander I. Culley. 2017.</w:t>
      </w:r>
      <w:r>
        <w:t xml:space="preserve"> </w:t>
      </w:r>
      <w:r>
        <w:t xml:space="preserve">“Open the</w:t>
      </w:r>
      <w:r>
        <w:t xml:space="preserve"> </w:t>
      </w:r>
      <w:r>
        <w:t xml:space="preserve">Sterivex</w:t>
      </w:r>
      <w:r>
        <w:t xml:space="preserve"> </w:t>
      </w:r>
      <w:r>
        <w:t xml:space="preserve">Casing:</w:t>
      </w:r>
      <w:r>
        <w:t xml:space="preserve"> </w:t>
      </w:r>
      <w:r>
        <w:t xml:space="preserve">An</w:t>
      </w:r>
      <w:r>
        <w:t xml:space="preserve"> </w:t>
      </w:r>
      <w:r>
        <w:t xml:space="preserve">Easy and Effective Way to Improve</w:t>
      </w:r>
      <w:r>
        <w:t xml:space="preserve"> </w:t>
      </w:r>
      <w:r>
        <w:t xml:space="preserve">DNA</w:t>
      </w:r>
      <w:r>
        <w:t xml:space="preserve"> </w:t>
      </w:r>
      <w:r>
        <w:t xml:space="preserve">Extraction Yields.”</w:t>
      </w:r>
      <w:r>
        <w:t xml:space="preserve"> </w:t>
      </w:r>
      <w:r>
        <w:rPr>
          <w:iCs/>
          <w:i/>
        </w:rPr>
        <w:t xml:space="preserve">Limnology and Oceanography: Methods</w:t>
      </w:r>
      <w:r>
        <w:t xml:space="preserve"> </w:t>
      </w:r>
      <w:r>
        <w:t xml:space="preserve">15 (12): 1015–20.</w:t>
      </w:r>
      <w:r>
        <w:t xml:space="preserve"> </w:t>
      </w:r>
      <w:hyperlink r:id="rId42">
        <w:r>
          <w:rPr>
            <w:rStyle w:val="Hyperlink"/>
          </w:rPr>
          <w:t xml:space="preserve">https://doi.org/10.1002/lom3.10221</w:t>
        </w:r>
      </w:hyperlink>
      <w:r>
        <w:t xml:space="preserve">.</w:t>
      </w:r>
    </w:p>
    <w:bookmarkEnd w:id="43"/>
    <w:bookmarkStart w:id="45" w:name="ref-steffen2017"/>
    <w:p>
      <w:pPr>
        <w:pStyle w:val="Bibliography"/>
      </w:pPr>
      <w:r>
        <w:t xml:space="preserve">Steffen, Morgan M., Timothy W. Davis, R. Michael L. McKay, George S. Bullerjahn, Lauren E. Krausfeldt, Joshua M. A. Stough, Michelle L. Neitzey, et al. 2017.</w:t>
      </w:r>
      <w:r>
        <w:t xml:space="preserve"> </w:t>
      </w:r>
      <w:r>
        <w:t xml:space="preserve">“Ecophysiological</w:t>
      </w:r>
      <w:r>
        <w:t xml:space="preserve"> </w:t>
      </w:r>
      <w:r>
        <w:t xml:space="preserve">Examination</w:t>
      </w:r>
      <w:r>
        <w:t xml:space="preserve"> </w:t>
      </w:r>
      <w:r>
        <w:t xml:space="preserve">of the</w:t>
      </w:r>
      <w:r>
        <w:t xml:space="preserve"> </w:t>
      </w:r>
      <w:r>
        <w:t xml:space="preserve">Lake Erie Microcystis Bloom</w:t>
      </w:r>
      <w:r>
        <w:t xml:space="preserve"> </w:t>
      </w:r>
      <w:r>
        <w:t xml:space="preserve">in 2014:</w:t>
      </w:r>
      <w:r>
        <w:t xml:space="preserve"> </w:t>
      </w:r>
      <w:r>
        <w:t xml:space="preserve">Linkages</w:t>
      </w:r>
      <w:r>
        <w:t xml:space="preserve"> </w:t>
      </w:r>
      <w:r>
        <w:t xml:space="preserve">Between</w:t>
      </w:r>
      <w:r>
        <w:t xml:space="preserve"> </w:t>
      </w:r>
      <w:r>
        <w:t xml:space="preserve">Biology</w:t>
      </w:r>
      <w:r>
        <w:t xml:space="preserve"> </w:t>
      </w:r>
      <w:r>
        <w:t xml:space="preserve">and the</w:t>
      </w:r>
      <w:r>
        <w:t xml:space="preserve"> </w:t>
      </w:r>
      <w:r>
        <w:t xml:space="preserve">Water Supply Shutdown</w:t>
      </w:r>
      <w:r>
        <w:t xml:space="preserve"> </w:t>
      </w:r>
      <w:r>
        <w:t xml:space="preserve">of</w:t>
      </w:r>
      <w:r>
        <w:t xml:space="preserve"> </w:t>
      </w:r>
      <w:r>
        <w:t xml:space="preserve">Toledo</w:t>
      </w:r>
      <w:r>
        <w:t xml:space="preserve">,</w:t>
      </w:r>
      <w:r>
        <w:t xml:space="preserve"> </w:t>
      </w:r>
      <w:r>
        <w:t xml:space="preserve">OH</w:t>
      </w:r>
      <w:r>
        <w:t xml:space="preserve">.”</w:t>
      </w:r>
      <w:r>
        <w:t xml:space="preserve"> </w:t>
      </w:r>
      <w:r>
        <w:rPr>
          <w:iCs/>
          <w:i/>
        </w:rPr>
        <w:t xml:space="preserve">Environmental Science &amp; Technology</w:t>
      </w:r>
      <w:r>
        <w:t xml:space="preserve"> </w:t>
      </w:r>
      <w:r>
        <w:t xml:space="preserve">51 (12): 6745–55.</w:t>
      </w:r>
      <w:r>
        <w:t xml:space="preserve"> </w:t>
      </w:r>
      <w:hyperlink r:id="rId44">
        <w:r>
          <w:rPr>
            <w:rStyle w:val="Hyperlink"/>
          </w:rPr>
          <w:t xml:space="preserve">https://doi.org/10.1021/acs.est.7b00856</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hyperlink" Id="rId42" Target="https://doi.org/10.1002/lom3.10221" TargetMode="External" /><Relationship Type="http://schemas.openxmlformats.org/officeDocument/2006/relationships/hyperlink" Id="rId40" Target="https://doi.org/10.1016/j.jglr.2020.04.010" TargetMode="External" /><Relationship Type="http://schemas.openxmlformats.org/officeDocument/2006/relationships/hyperlink" Id="rId44" Target="https://doi.org/10.1021/acs.est.7b00856" TargetMode="External" /><Relationship Type="http://schemas.openxmlformats.org/officeDocument/2006/relationships/hyperlink" Id="rId34" Target="https://www.glerl.noaa.gov/" TargetMode="External" /><Relationship Type="http://schemas.openxmlformats.org/officeDocument/2006/relationships/hyperlink" Id="rId28" Target="https://www.ncbi.nlm.nih.gov/bioproject/PRJNA812770/" TargetMode="External" /><Relationship Type="http://schemas.openxmlformats.org/officeDocument/2006/relationships/hyperlink" Id="rId23" Target="mailto:sturner@signaturescience.com"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02/lom3.10221" TargetMode="External" /><Relationship Type="http://schemas.openxmlformats.org/officeDocument/2006/relationships/hyperlink" Id="rId40" Target="https://doi.org/10.1016/j.jglr.2020.04.010" TargetMode="External" /><Relationship Type="http://schemas.openxmlformats.org/officeDocument/2006/relationships/hyperlink" Id="rId44" Target="https://doi.org/10.1021/acs.est.7b00856" TargetMode="External" /><Relationship Type="http://schemas.openxmlformats.org/officeDocument/2006/relationships/hyperlink" Id="rId34" Target="https://www.glerl.noaa.gov/" TargetMode="External" /><Relationship Type="http://schemas.openxmlformats.org/officeDocument/2006/relationships/hyperlink" Id="rId28" Target="https://www.ncbi.nlm.nih.gov/bioproject/PRJNA812770/" TargetMode="External" /><Relationship Type="http://schemas.openxmlformats.org/officeDocument/2006/relationships/hyperlink" Id="rId23" Target="mailto:sturner@signature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2022-07-14T18:48:20Z</dcterms:created>
  <dcterms:modified xsi:type="dcterms:W3CDTF">2022-07-14T18:48:20Z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unsrt</vt:lpwstr>
  </property>
  <property fmtid="{D5CDD505-2E9C-101B-9397-08002B2CF9AE}" pid="4" name="bibliography">
    <vt:lpwstr>references.bib</vt:lpwstr>
  </property>
  <property fmtid="{D5CDD505-2E9C-101B-9397-08002B2CF9AE}" pid="5" name="output">
    <vt:lpwstr/>
  </property>
</Properties>
</file>