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i w:val="0"/>
          <w:color w:val="2E3440"/>
          <w:sz w:val="40"/>
        </w:rPr>
        <w:t>SIGNiX Paid Media — Q2 2026 Performance Case</w:t>
      </w:r>
    </w:p>
    <w:tbl>
      <w:tblPr>
        <w:tblStyle w:val="TableGrid"/>
        <w:tblW w:type="auto" w:w="0"/>
        <w:tblLook w:firstColumn="1" w:firstRow="1" w:lastColumn="0" w:lastRow="0" w:noHBand="0" w:noVBand="1" w:val="04A0"/>
      </w:tblPr>
      <w:tblGrid>
        <w:gridCol w:w="4824"/>
        <w:gridCol w:w="4824"/>
      </w:tblGrid>
      <w:tr>
        <w:tc>
          <w:tcPr>
            <w:tcW w:type="dxa" w:w="1872"/>
            <w:shd w:val="clear" w:color="auto" w:fill="2e3440"/>
          </w:tcPr>
          <w:p>
            <w:r>
              <w:rPr>
                <w:rFonts w:ascii="Calibri" w:hAnsi="Calibri"/>
                <w:b/>
                <w:i w:val="0"/>
                <w:color w:val="FFFFFF"/>
                <w:sz w:val="18"/>
              </w:rPr>
              <w:t>Prepared for</w:t>
            </w:r>
          </w:p>
        </w:tc>
        <w:tc>
          <w:tcPr>
            <w:tcW w:type="dxa" w:w="4824"/>
            <w:shd w:val="clear" w:color="auto" w:fill="f8fafb"/>
          </w:tcPr>
          <w:p>
            <w:r>
              <w:rPr>
                <w:rFonts w:ascii="Calibri" w:hAnsi="Calibri"/>
                <w:b w:val="0"/>
                <w:i w:val="0"/>
                <w:color w:val="545454"/>
                <w:sz w:val="18"/>
              </w:rPr>
              <w:t>CFO / CRO — SIGNiX Executive Team</w:t>
            </w:r>
          </w:p>
        </w:tc>
      </w:tr>
      <w:tr>
        <w:tc>
          <w:tcPr>
            <w:tcW w:type="dxa" w:w="1872"/>
            <w:shd w:val="clear" w:color="auto" w:fill="2e3440"/>
          </w:tcPr>
          <w:p>
            <w:r>
              <w:rPr>
                <w:rFonts w:ascii="Calibri" w:hAnsi="Calibri"/>
                <w:b/>
                <w:i w:val="0"/>
                <w:color w:val="FFFFFF"/>
                <w:sz w:val="18"/>
              </w:rPr>
              <w:t>Prepared by</w:t>
            </w:r>
          </w:p>
        </w:tc>
        <w:tc>
          <w:tcPr>
            <w:tcW w:type="dxa" w:w="4824"/>
            <w:shd w:val="clear" w:color="auto" w:fill="f8fafb"/>
          </w:tcPr>
          <w:p>
            <w:r>
              <w:rPr>
                <w:rFonts w:ascii="Calibri" w:hAnsi="Calibri"/>
                <w:b w:val="0"/>
                <w:i w:val="0"/>
                <w:color w:val="545454"/>
                <w:sz w:val="18"/>
              </w:rPr>
              <w:t>Chris, Head of Growth and Marketing</w:t>
            </w:r>
          </w:p>
        </w:tc>
      </w:tr>
      <w:tr>
        <w:tc>
          <w:tcPr>
            <w:tcW w:type="dxa" w:w="1872"/>
            <w:shd w:val="clear" w:color="auto" w:fill="2e3440"/>
          </w:tcPr>
          <w:p>
            <w:r>
              <w:rPr>
                <w:rFonts w:ascii="Calibri" w:hAnsi="Calibri"/>
                <w:b/>
                <w:i w:val="0"/>
                <w:color w:val="FFFFFF"/>
                <w:sz w:val="18"/>
              </w:rPr>
              <w:t>Date</w:t>
            </w:r>
          </w:p>
        </w:tc>
        <w:tc>
          <w:tcPr>
            <w:tcW w:type="dxa" w:w="4824"/>
            <w:shd w:val="clear" w:color="auto" w:fill="f8fafb"/>
          </w:tcPr>
          <w:p>
            <w:r>
              <w:rPr>
                <w:rFonts w:ascii="Calibri" w:hAnsi="Calibri"/>
                <w:b w:val="0"/>
                <w:i w:val="0"/>
                <w:color w:val="545454"/>
                <w:sz w:val="18"/>
              </w:rPr>
              <w:t>April 6, 2026</w:t>
            </w:r>
          </w:p>
        </w:tc>
      </w:tr>
      <w:tr>
        <w:tc>
          <w:tcPr>
            <w:tcW w:type="dxa" w:w="1872"/>
            <w:shd w:val="clear" w:color="auto" w:fill="2e3440"/>
          </w:tcPr>
          <w:p>
            <w:r>
              <w:rPr>
                <w:rFonts w:ascii="Calibri" w:hAnsi="Calibri"/>
                <w:b/>
                <w:i w:val="0"/>
                <w:color w:val="FFFFFF"/>
                <w:sz w:val="18"/>
              </w:rPr>
              <w:t>Purpose</w:t>
            </w:r>
          </w:p>
        </w:tc>
        <w:tc>
          <w:tcPr>
            <w:tcW w:type="dxa" w:w="4824"/>
            <w:shd w:val="clear" w:color="auto" w:fill="f8fafb"/>
          </w:tcPr>
          <w:p>
            <w:r>
              <w:rPr>
                <w:rFonts w:ascii="Calibri" w:hAnsi="Calibri"/>
                <w:b w:val="0"/>
                <w:i w:val="0"/>
                <w:color w:val="545454"/>
                <w:sz w:val="18"/>
              </w:rPr>
              <w:t>Address the question: will this strategy generate enough leads to justify $3,000/month?</w:t>
            </w:r>
          </w:p>
        </w:tc>
      </w:tr>
    </w:tbl>
    <w:p>
      <w:pPr>
        <w:spacing w:after="40"/>
      </w:pPr>
    </w:p>
    <w:p>
      <w:pPr>
        <w:pBdr>
          <w:bottom w:val="single" w:sz="4" w:space="1" w:color="d8dee9"/>
        </w:pBdr>
        <w:spacing w:before="60" w:after="60"/>
      </w:pPr>
    </w:p>
    <w:p>
      <w:pPr>
        <w:spacing w:before="200" w:after="80"/>
        <w:pBdr>
          <w:bottom w:val="single" w:sz="6" w:space="4" w:color="6da34a"/>
        </w:pBdr>
      </w:pPr>
      <w:r>
        <w:rPr>
          <w:rFonts w:ascii="Calibri" w:hAnsi="Calibri"/>
          <w:b/>
          <w:i w:val="0"/>
          <w:color w:val="2E3440"/>
          <w:sz w:val="26"/>
        </w:rPr>
        <w:t>The Question</w:t>
      </w:r>
    </w:p>
    <w:p>
      <w:pPr>
        <w:spacing w:after="80"/>
      </w:pPr>
      <w:r>
        <w:rPr>
          <w:rFonts w:ascii="Calibri" w:hAnsi="Calibri"/>
          <w:b w:val="0"/>
          <w:i w:val="0"/>
          <w:color w:val="545454"/>
          <w:sz w:val="20"/>
        </w:rPr>
        <w:t>The CFO and CRO raised a valid concern: the keywords we're targeting have low search volume. Will the strategy produce enough leads to matter?</w:t>
      </w:r>
    </w:p>
    <w:p>
      <w:pPr>
        <w:spacing w:after="80"/>
      </w:pPr>
      <w:r>
        <w:rPr>
          <w:rFonts w:ascii="Calibri" w:hAnsi="Calibri"/>
          <w:b w:val="0"/>
          <w:i w:val="0"/>
          <w:color w:val="545454"/>
          <w:sz w:val="20"/>
        </w:rPr>
      </w:r>
      <w:r>
        <w:rPr>
          <w:rFonts w:ascii="Calibri" w:hAnsi="Calibri"/>
          <w:b/>
          <w:i w:val="0"/>
          <w:color w:val="2E3440"/>
          <w:sz w:val="20"/>
        </w:rPr>
        <w:t>Short answer:</w:t>
      </w:r>
      <w:r>
        <w:rPr>
          <w:rFonts w:ascii="Calibri" w:hAnsi="Calibri"/>
          <w:b w:val="0"/>
          <w:i w:val="0"/>
          <w:color w:val="545454"/>
          <w:sz w:val="20"/>
        </w:rPr>
        <w:t xml:space="preserve"> This is a precision strategy, not a volume strategy. That is the right approach for SIGNiX's buyer. Here's the math.</w:t>
      </w:r>
    </w:p>
    <w:p>
      <w:pPr>
        <w:pBdr>
          <w:bottom w:val="single" w:sz="4" w:space="1" w:color="d8dee9"/>
        </w:pBdr>
        <w:spacing w:before="60" w:after="60"/>
      </w:pPr>
    </w:p>
    <w:p>
      <w:pPr>
        <w:spacing w:before="200" w:after="80"/>
        <w:pBdr>
          <w:bottom w:val="single" w:sz="6" w:space="4" w:color="6da34a"/>
        </w:pBdr>
      </w:pPr>
      <w:r>
        <w:rPr>
          <w:rFonts w:ascii="Calibri" w:hAnsi="Calibri"/>
          <w:b/>
          <w:i w:val="0"/>
          <w:color w:val="2E3440"/>
          <w:sz w:val="26"/>
        </w:rPr>
        <w:t>What the Keyword Data Shows</w:t>
      </w:r>
    </w:p>
    <w:p>
      <w:pPr>
        <w:spacing w:after="80"/>
      </w:pPr>
      <w:r>
        <w:rPr>
          <w:rFonts w:ascii="Calibri" w:hAnsi="Calibri"/>
          <w:b w:val="0"/>
          <w:i w:val="0"/>
          <w:color w:val="545454"/>
          <w:sz w:val="20"/>
        </w:rPr>
        <w:t>We ran two rounds of Google Keyword Planner analysis in April 2026 covering 75+ keywords across all six planned buckets.</w:t>
      </w:r>
    </w:p>
    <w:tbl>
      <w:tblPr>
        <w:tblStyle w:val="TableGrid"/>
        <w:tblW w:type="auto" w:w="0"/>
        <w:tblLook w:firstColumn="1" w:firstRow="1" w:lastColumn="0" w:lastRow="0" w:noHBand="0" w:noVBand="1" w:val="04A0"/>
      </w:tblPr>
      <w:tblGrid>
        <w:gridCol w:w="4824"/>
        <w:gridCol w:w="4824"/>
      </w:tblGrid>
      <w:tr>
        <w:tc>
          <w:tcPr>
            <w:tcW w:type="dxa" w:w="3456"/>
            <w:shd w:val="clear" w:color="auto" w:fill="2e3440"/>
          </w:tcPr>
          <w:p>
            <w:r>
              <w:rPr>
                <w:rFonts w:ascii="Calibri" w:hAnsi="Calibri"/>
                <w:b/>
                <w:i w:val="0"/>
                <w:color w:val="FFFFFF"/>
                <w:sz w:val="18"/>
              </w:rPr>
              <w:t>Finding</w:t>
            </w:r>
          </w:p>
        </w:tc>
        <w:tc>
          <w:tcPr>
            <w:tcW w:type="dxa" w:w="6048"/>
            <w:shd w:val="clear" w:color="auto" w:fill="2e3440"/>
          </w:tcPr>
          <w:p>
            <w:r>
              <w:rPr>
                <w:rFonts w:ascii="Calibri" w:hAnsi="Calibri"/>
                <w:b/>
                <w:i w:val="0"/>
                <w:color w:val="FFFFFF"/>
                <w:sz w:val="18"/>
              </w:rPr>
              <w:t>Detail</w:t>
            </w:r>
          </w:p>
        </w:tc>
      </w:tr>
      <w:tr>
        <w:tc>
          <w:tcPr>
            <w:tcW w:type="dxa" w:w="3456"/>
            <w:shd w:val="clear" w:color="auto" w:fill="f8fafb"/>
          </w:tcPr>
          <w:p>
            <w:pPr>
              <w:spacing w:after="20"/>
            </w:pPr>
            <w:r>
              <w:rPr>
                <w:rFonts w:ascii="Calibri" w:hAnsi="Calibri"/>
                <w:b w:val="0"/>
                <w:i w:val="0"/>
                <w:color w:val="545454"/>
                <w:sz w:val="20"/>
              </w:rPr>
            </w:r>
            <w:r>
              <w:rPr>
                <w:rFonts w:ascii="Calibri" w:hAnsi="Calibri"/>
                <w:b/>
                <w:i w:val="0"/>
                <w:color w:val="2E3440"/>
                <w:sz w:val="20"/>
              </w:rPr>
              <w:t>15 keywords confirmed at zero volume</w:t>
            </w:r>
            <w:r>
              <w:rPr>
                <w:rFonts w:ascii="Calibri" w:hAnsi="Calibri"/>
                <w:b w:val="0"/>
                <w:i w:val="0"/>
                <w:color w:val="545454"/>
                <w:sz w:val="20"/>
              </w:rPr>
            </w:r>
          </w:p>
        </w:tc>
        <w:tc>
          <w:tcPr>
            <w:tcW w:type="dxa" w:w="6048"/>
            <w:shd w:val="clear" w:color="auto" w:fill="f8fafb"/>
          </w:tcPr>
          <w:p>
            <w:pPr>
              <w:spacing w:after="20"/>
            </w:pPr>
            <w:r>
              <w:rPr>
                <w:rFonts w:ascii="Calibri" w:hAnsi="Calibri"/>
                <w:b w:val="0"/>
                <w:i w:val="0"/>
                <w:color w:val="545454"/>
                <w:sz w:val="20"/>
              </w:rPr>
              <w:t>Removed from all active campaigns. Documented in the plan (Section 3a).</w:t>
            </w:r>
          </w:p>
        </w:tc>
      </w:tr>
      <w:tr>
        <w:tc>
          <w:tcPr>
            <w:tcW w:type="dxa" w:w="3456"/>
            <w:shd w:val="clear" w:color="auto" w:fill="ffffff"/>
          </w:tcPr>
          <w:p>
            <w:pPr>
              <w:spacing w:after="20"/>
            </w:pPr>
            <w:r>
              <w:rPr>
                <w:rFonts w:ascii="Calibri" w:hAnsi="Calibri"/>
                <w:b w:val="0"/>
                <w:i w:val="0"/>
                <w:color w:val="545454"/>
                <w:sz w:val="20"/>
              </w:rPr>
            </w:r>
            <w:r>
              <w:rPr>
                <w:rFonts w:ascii="Calibri" w:hAnsi="Calibri"/>
                <w:b/>
                <w:i w:val="0"/>
                <w:color w:val="2E3440"/>
                <w:sz w:val="20"/>
              </w:rPr>
              <w:t>4 keywords excluded — wrong buyer</w:t>
            </w:r>
            <w:r>
              <w:rPr>
                <w:rFonts w:ascii="Calibri" w:hAnsi="Calibri"/>
                <w:b w:val="0"/>
                <w:i w:val="0"/>
                <w:color w:val="545454"/>
                <w:sz w:val="20"/>
              </w:rPr>
            </w:r>
          </w:p>
        </w:tc>
        <w:tc>
          <w:tcPr>
            <w:tcW w:type="dxa" w:w="6048"/>
            <w:shd w:val="clear" w:color="auto" w:fill="ffffff"/>
          </w:tcPr>
          <w:p>
            <w:pPr>
              <w:spacing w:after="20"/>
            </w:pPr>
            <w:r>
              <w:rPr>
                <w:rFonts w:ascii="Calibri" w:hAnsi="Calibri"/>
                <w:b w:val="0"/>
                <w:i w:val="0"/>
                <w:color w:val="545454"/>
                <w:sz w:val="20"/>
              </w:rPr>
              <w:t>Free/cheap DocuSign variants get searches but attract price-sensitive buyers. Not SIGNiX's customer.</w:t>
            </w:r>
          </w:p>
        </w:tc>
      </w:tr>
      <w:tr>
        <w:tc>
          <w:tcPr>
            <w:tcW w:type="dxa" w:w="3456"/>
            <w:shd w:val="clear" w:color="auto" w:fill="f8fafb"/>
          </w:tcPr>
          <w:p>
            <w:pPr>
              <w:spacing w:after="20"/>
            </w:pPr>
            <w:r>
              <w:rPr>
                <w:rFonts w:ascii="Calibri" w:hAnsi="Calibri"/>
                <w:b w:val="0"/>
                <w:i w:val="0"/>
                <w:color w:val="545454"/>
                <w:sz w:val="20"/>
              </w:rPr>
            </w:r>
            <w:r>
              <w:rPr>
                <w:rFonts w:ascii="Calibri" w:hAnsi="Calibri"/>
                <w:b/>
                <w:i w:val="0"/>
                <w:color w:val="2E3440"/>
                <w:sz w:val="20"/>
              </w:rPr>
              <w:t>2 keywords validated with strong volume</w:t>
            </w:r>
            <w:r>
              <w:rPr>
                <w:rFonts w:ascii="Calibri" w:hAnsi="Calibri"/>
                <w:b w:val="0"/>
                <w:i w:val="0"/>
                <w:color w:val="545454"/>
                <w:sz w:val="20"/>
              </w:rPr>
            </w:r>
          </w:p>
        </w:tc>
        <w:tc>
          <w:tcPr>
            <w:tcW w:type="dxa" w:w="6048"/>
            <w:shd w:val="clear" w:color="auto" w:fill="f8fafb"/>
          </w:tcPr>
          <w:p>
            <w:pPr>
              <w:spacing w:after="20"/>
            </w:pPr>
            <w:r>
              <w:rPr>
                <w:rFonts w:ascii="Calibri" w:hAnsi="Calibri"/>
                <w:b w:val="0"/>
                <w:i w:val="0"/>
                <w:color w:val="545454"/>
                <w:sz w:val="20"/>
              </w:rPr>
              <w:t>beneficiary change form (390/mo, +50% YoY) and HIPAA compliant e-signature (210/mo, +191% in 3 months).</w:t>
            </w:r>
          </w:p>
        </w:tc>
      </w:tr>
      <w:tr>
        <w:tc>
          <w:tcPr>
            <w:tcW w:type="dxa" w:w="3456"/>
            <w:shd w:val="clear" w:color="auto" w:fill="ffffff"/>
          </w:tcPr>
          <w:p>
            <w:pPr>
              <w:spacing w:after="20"/>
            </w:pPr>
            <w:r>
              <w:rPr>
                <w:rFonts w:ascii="Calibri" w:hAnsi="Calibri"/>
                <w:b w:val="0"/>
                <w:i w:val="0"/>
                <w:color w:val="545454"/>
                <w:sz w:val="20"/>
              </w:rPr>
            </w:r>
            <w:r>
              <w:rPr>
                <w:rFonts w:ascii="Calibri" w:hAnsi="Calibri"/>
                <w:b/>
                <w:i w:val="0"/>
                <w:color w:val="2E3440"/>
                <w:sz w:val="20"/>
              </w:rPr>
              <w:t>1 keyword validated for competitor intent</w:t>
            </w:r>
            <w:r>
              <w:rPr>
                <w:rFonts w:ascii="Calibri" w:hAnsi="Calibri"/>
                <w:b w:val="0"/>
                <w:i w:val="0"/>
                <w:color w:val="545454"/>
                <w:sz w:val="20"/>
              </w:rPr>
            </w:r>
          </w:p>
        </w:tc>
        <w:tc>
          <w:tcPr>
            <w:tcW w:type="dxa" w:w="6048"/>
            <w:shd w:val="clear" w:color="auto" w:fill="ffffff"/>
          </w:tcPr>
          <w:p>
            <w:pPr>
              <w:spacing w:after="20"/>
            </w:pPr>
            <w:r>
              <w:rPr>
                <w:rFonts w:ascii="Calibri" w:hAnsi="Calibri"/>
                <w:b w:val="0"/>
                <w:i w:val="0"/>
                <w:color w:val="545454"/>
                <w:sz w:val="20"/>
              </w:rPr>
              <w:t>docusign competitors (1,000/mo) — best intent term in the displacement bucket. Already in account.</w:t>
            </w:r>
          </w:p>
        </w:tc>
      </w:tr>
      <w:tr>
        <w:tc>
          <w:tcPr>
            <w:tcW w:type="dxa" w:w="3456"/>
            <w:shd w:val="clear" w:color="auto" w:fill="f8fafb"/>
          </w:tcPr>
          <w:p>
            <w:pPr>
              <w:spacing w:after="20"/>
            </w:pPr>
            <w:r>
              <w:rPr>
                <w:rFonts w:ascii="Calibri" w:hAnsi="Calibri"/>
                <w:b w:val="0"/>
                <w:i w:val="0"/>
                <w:color w:val="545454"/>
                <w:sz w:val="20"/>
              </w:rPr>
            </w:r>
            <w:r>
              <w:rPr>
                <w:rFonts w:ascii="Calibri" w:hAnsi="Calibri"/>
                <w:b/>
                <w:i w:val="0"/>
                <w:color w:val="2E3440"/>
                <w:sz w:val="20"/>
              </w:rPr>
              <w:t>Total usable monthly search volume</w:t>
            </w:r>
            <w:r>
              <w:rPr>
                <w:rFonts w:ascii="Calibri" w:hAnsi="Calibri"/>
                <w:b w:val="0"/>
                <w:i w:val="0"/>
                <w:color w:val="545454"/>
                <w:sz w:val="20"/>
              </w:rPr>
            </w:r>
          </w:p>
        </w:tc>
        <w:tc>
          <w:tcPr>
            <w:tcW w:type="dxa" w:w="6048"/>
            <w:shd w:val="clear" w:color="auto" w:fill="f8fafb"/>
          </w:tcPr>
          <w:p>
            <w:pPr>
              <w:spacing w:after="20"/>
            </w:pPr>
            <w:r>
              <w:rPr>
                <w:rFonts w:ascii="Calibri" w:hAnsi="Calibri"/>
                <w:b w:val="0"/>
                <w:i w:val="0"/>
                <w:color w:val="545454"/>
                <w:sz w:val="20"/>
              </w:rPr>
              <w:t>Approximately 2,000–3,000 searches per month across all active keyword buckets.</w:t>
            </w:r>
          </w:p>
        </w:tc>
      </w:tr>
    </w:tbl>
    <w:p>
      <w:pPr>
        <w:spacing w:after="60"/>
      </w:pPr>
    </w:p>
    <w:p>
      <w:pPr>
        <w:pBdr>
          <w:bottom w:val="single" w:sz="4" w:space="1" w:color="d8dee9"/>
        </w:pBdr>
        <w:spacing w:before="60" w:after="60"/>
      </w:pPr>
    </w:p>
    <w:p>
      <w:pPr>
        <w:spacing w:before="200" w:after="80"/>
        <w:pBdr>
          <w:bottom w:val="single" w:sz="6" w:space="4" w:color="6da34a"/>
        </w:pBdr>
      </w:pPr>
      <w:r>
        <w:rPr>
          <w:rFonts w:ascii="Calibri" w:hAnsi="Calibri"/>
          <w:b/>
          <w:i w:val="0"/>
          <w:color w:val="2E3440"/>
          <w:sz w:val="26"/>
        </w:rPr>
        <w:t>The Math — What $3,000/Month Actually Buys</w:t>
      </w:r>
    </w:p>
    <w:p>
      <w:pPr>
        <w:spacing w:after="80"/>
      </w:pPr>
      <w:r>
        <w:rPr>
          <w:rFonts w:ascii="Calibri" w:hAnsi="Calibri"/>
          <w:b w:val="0"/>
          <w:i w:val="0"/>
          <w:color w:val="545454"/>
          <w:sz w:val="20"/>
        </w:rPr>
        <w:t>At 2,000–3,000 total monthly searches across active keywords:</w:t>
      </w:r>
    </w:p>
    <w:tbl>
      <w:tblPr>
        <w:tblStyle w:val="TableGrid"/>
        <w:tblW w:type="auto" w:w="0"/>
        <w:tblLook w:firstColumn="1" w:firstRow="1" w:lastColumn="0" w:lastRow="0" w:noHBand="0" w:noVBand="1" w:val="04A0"/>
      </w:tblPr>
      <w:tblGrid>
        <w:gridCol w:w="2412"/>
        <w:gridCol w:w="2412"/>
        <w:gridCol w:w="2412"/>
        <w:gridCol w:w="2412"/>
      </w:tblGrid>
      <w:tr>
        <w:tc>
          <w:tcPr>
            <w:tcW w:type="dxa" w:w="3024"/>
            <w:shd w:val="clear" w:color="auto" w:fill="2e3440"/>
          </w:tcPr>
          <w:p>
            <w:r>
              <w:rPr>
                <w:rFonts w:ascii="Calibri" w:hAnsi="Calibri"/>
                <w:b/>
                <w:i w:val="0"/>
                <w:color w:val="FFFFFF"/>
                <w:sz w:val="18"/>
              </w:rPr>
              <w:t>Metric</w:t>
            </w:r>
          </w:p>
        </w:tc>
        <w:tc>
          <w:tcPr>
            <w:tcW w:type="dxa" w:w="1584"/>
            <w:shd w:val="clear" w:color="auto" w:fill="2e3440"/>
          </w:tcPr>
          <w:p>
            <w:r>
              <w:rPr>
                <w:rFonts w:ascii="Calibri" w:hAnsi="Calibri"/>
                <w:b/>
                <w:i w:val="0"/>
                <w:color w:val="FFFFFF"/>
                <w:sz w:val="18"/>
              </w:rPr>
              <w:t>Conservative</w:t>
            </w:r>
          </w:p>
        </w:tc>
        <w:tc>
          <w:tcPr>
            <w:tcW w:type="dxa" w:w="1584"/>
            <w:shd w:val="clear" w:color="auto" w:fill="2e3440"/>
          </w:tcPr>
          <w:p>
            <w:r>
              <w:rPr>
                <w:rFonts w:ascii="Calibri" w:hAnsi="Calibri"/>
                <w:b/>
                <w:i w:val="0"/>
                <w:color w:val="FFFFFF"/>
                <w:sz w:val="18"/>
              </w:rPr>
              <w:t>Moderate</w:t>
            </w:r>
          </w:p>
        </w:tc>
        <w:tc>
          <w:tcPr>
            <w:tcW w:type="dxa" w:w="3312"/>
            <w:shd w:val="clear" w:color="auto" w:fill="2e3440"/>
          </w:tcPr>
          <w:p>
            <w:r>
              <w:rPr>
                <w:rFonts w:ascii="Calibri" w:hAnsi="Calibri"/>
                <w:b/>
                <w:i w:val="0"/>
                <w:color w:val="FFFFFF"/>
                <w:sz w:val="18"/>
              </w:rPr>
              <w:t>Notes</w:t>
            </w:r>
          </w:p>
        </w:tc>
      </w:tr>
      <w:tr>
        <w:tc>
          <w:tcPr>
            <w:tcW w:type="dxa" w:w="3024"/>
            <w:shd w:val="clear" w:color="auto" w:fill="f8fafb"/>
          </w:tcPr>
          <w:p>
            <w:pPr>
              <w:spacing w:after="20"/>
            </w:pPr>
            <w:r>
              <w:rPr>
                <w:rFonts w:ascii="Calibri" w:hAnsi="Calibri"/>
                <w:b w:val="0"/>
                <w:i w:val="0"/>
                <w:color w:val="545454"/>
                <w:sz w:val="20"/>
              </w:rPr>
              <w:t>Monthly searches (total)</w:t>
            </w:r>
          </w:p>
        </w:tc>
        <w:tc>
          <w:tcPr>
            <w:tcW w:type="dxa" w:w="1584"/>
            <w:shd w:val="clear" w:color="auto" w:fill="f8fafb"/>
          </w:tcPr>
          <w:p>
            <w:pPr>
              <w:spacing w:after="20"/>
            </w:pPr>
            <w:r>
              <w:rPr>
                <w:rFonts w:ascii="Calibri" w:hAnsi="Calibri"/>
                <w:b w:val="0"/>
                <w:i w:val="0"/>
                <w:color w:val="545454"/>
                <w:sz w:val="20"/>
              </w:rPr>
              <w:t>2,000</w:t>
            </w:r>
          </w:p>
        </w:tc>
        <w:tc>
          <w:tcPr>
            <w:tcW w:type="dxa" w:w="1584"/>
            <w:shd w:val="clear" w:color="auto" w:fill="f8fafb"/>
          </w:tcPr>
          <w:p>
            <w:pPr>
              <w:spacing w:after="20"/>
            </w:pPr>
            <w:r>
              <w:rPr>
                <w:rFonts w:ascii="Calibri" w:hAnsi="Calibri"/>
                <w:b w:val="0"/>
                <w:i w:val="0"/>
                <w:color w:val="545454"/>
                <w:sz w:val="20"/>
              </w:rPr>
              <w:t>3,000</w:t>
            </w:r>
          </w:p>
        </w:tc>
        <w:tc>
          <w:tcPr>
            <w:tcW w:type="dxa" w:w="3312"/>
            <w:shd w:val="clear" w:color="auto" w:fill="f8fafb"/>
          </w:tcPr>
          <w:p>
            <w:pPr>
              <w:spacing w:after="20"/>
            </w:pPr>
            <w:r>
              <w:rPr>
                <w:rFonts w:ascii="Calibri" w:hAnsi="Calibri"/>
                <w:b w:val="0"/>
                <w:i w:val="0"/>
                <w:color w:val="545454"/>
                <w:sz w:val="20"/>
              </w:rPr>
              <w:t>Validated across all buckets</w:t>
            </w:r>
          </w:p>
        </w:tc>
      </w:tr>
      <w:tr>
        <w:tc>
          <w:tcPr>
            <w:tcW w:type="dxa" w:w="3024"/>
            <w:shd w:val="clear" w:color="auto" w:fill="ffffff"/>
          </w:tcPr>
          <w:p>
            <w:pPr>
              <w:spacing w:after="20"/>
            </w:pPr>
            <w:r>
              <w:rPr>
                <w:rFonts w:ascii="Calibri" w:hAnsi="Calibri"/>
                <w:b w:val="0"/>
                <w:i w:val="0"/>
                <w:color w:val="545454"/>
                <w:sz w:val="20"/>
              </w:rPr>
              <w:t>Expected CTR</w:t>
            </w:r>
          </w:p>
        </w:tc>
        <w:tc>
          <w:tcPr>
            <w:tcW w:type="dxa" w:w="1584"/>
            <w:shd w:val="clear" w:color="auto" w:fill="ffffff"/>
          </w:tcPr>
          <w:p>
            <w:pPr>
              <w:spacing w:after="20"/>
            </w:pPr>
            <w:r>
              <w:rPr>
                <w:rFonts w:ascii="Calibri" w:hAnsi="Calibri"/>
                <w:b w:val="0"/>
                <w:i w:val="0"/>
                <w:color w:val="545454"/>
                <w:sz w:val="20"/>
              </w:rPr>
              <w:t>3%</w:t>
            </w:r>
          </w:p>
        </w:tc>
        <w:tc>
          <w:tcPr>
            <w:tcW w:type="dxa" w:w="1584"/>
            <w:shd w:val="clear" w:color="auto" w:fill="ffffff"/>
          </w:tcPr>
          <w:p>
            <w:pPr>
              <w:spacing w:after="20"/>
            </w:pPr>
            <w:r>
              <w:rPr>
                <w:rFonts w:ascii="Calibri" w:hAnsi="Calibri"/>
                <w:b w:val="0"/>
                <w:i w:val="0"/>
                <w:color w:val="545454"/>
                <w:sz w:val="20"/>
              </w:rPr>
              <w:t>5%</w:t>
            </w:r>
          </w:p>
        </w:tc>
        <w:tc>
          <w:tcPr>
            <w:tcW w:type="dxa" w:w="3312"/>
            <w:shd w:val="clear" w:color="auto" w:fill="ffffff"/>
          </w:tcPr>
          <w:p>
            <w:pPr>
              <w:spacing w:after="20"/>
            </w:pPr>
            <w:r>
              <w:rPr>
                <w:rFonts w:ascii="Calibri" w:hAnsi="Calibri"/>
                <w:b w:val="0"/>
                <w:i w:val="0"/>
                <w:color w:val="545454"/>
                <w:sz w:val="20"/>
              </w:rPr>
              <w:t>B2B search average</w:t>
            </w:r>
          </w:p>
        </w:tc>
      </w:tr>
      <w:tr>
        <w:tc>
          <w:tcPr>
            <w:tcW w:type="dxa" w:w="3024"/>
            <w:shd w:val="clear" w:color="auto" w:fill="f8fafb"/>
          </w:tcPr>
          <w:p>
            <w:pPr>
              <w:spacing w:after="20"/>
            </w:pPr>
            <w:r>
              <w:rPr>
                <w:rFonts w:ascii="Calibri" w:hAnsi="Calibri"/>
                <w:b w:val="0"/>
                <w:i w:val="0"/>
                <w:color w:val="545454"/>
                <w:sz w:val="20"/>
              </w:rPr>
              <w:t>Clicks per month</w:t>
            </w:r>
          </w:p>
        </w:tc>
        <w:tc>
          <w:tcPr>
            <w:tcW w:type="dxa" w:w="1584"/>
            <w:shd w:val="clear" w:color="auto" w:fill="f8fafb"/>
          </w:tcPr>
          <w:p>
            <w:pPr>
              <w:spacing w:after="20"/>
            </w:pPr>
            <w:r>
              <w:rPr>
                <w:rFonts w:ascii="Calibri" w:hAnsi="Calibri"/>
                <w:b w:val="0"/>
                <w:i w:val="0"/>
                <w:color w:val="545454"/>
                <w:sz w:val="20"/>
              </w:rPr>
              <w:t>60</w:t>
            </w:r>
          </w:p>
        </w:tc>
        <w:tc>
          <w:tcPr>
            <w:tcW w:type="dxa" w:w="1584"/>
            <w:shd w:val="clear" w:color="auto" w:fill="f8fafb"/>
          </w:tcPr>
          <w:p>
            <w:pPr>
              <w:spacing w:after="20"/>
            </w:pPr>
            <w:r>
              <w:rPr>
                <w:rFonts w:ascii="Calibri" w:hAnsi="Calibri"/>
                <w:b w:val="0"/>
                <w:i w:val="0"/>
                <w:color w:val="545454"/>
                <w:sz w:val="20"/>
              </w:rPr>
              <w:t>150</w:t>
            </w:r>
          </w:p>
        </w:tc>
        <w:tc>
          <w:tcPr>
            <w:tcW w:type="dxa" w:w="3312"/>
            <w:shd w:val="clear" w:color="auto" w:fill="f8fafb"/>
          </w:tcPr>
          <w:p>
            <w:pPr>
              <w:spacing w:after="20"/>
            </w:pPr>
            <w:r>
              <w:rPr>
                <w:rFonts w:ascii="Calibri" w:hAnsi="Calibri"/>
                <w:b w:val="0"/>
                <w:i w:val="0"/>
                <w:color w:val="545454"/>
                <w:sz w:val="20"/>
              </w:rPr>
              <w:t>At $3K budget</w:t>
            </w:r>
          </w:p>
        </w:tc>
      </w:tr>
      <w:tr>
        <w:tc>
          <w:tcPr>
            <w:tcW w:type="dxa" w:w="3024"/>
            <w:shd w:val="clear" w:color="auto" w:fill="ffffff"/>
          </w:tcPr>
          <w:p>
            <w:pPr>
              <w:spacing w:after="20"/>
            </w:pPr>
            <w:r>
              <w:rPr>
                <w:rFonts w:ascii="Calibri" w:hAnsi="Calibri"/>
                <w:b w:val="0"/>
                <w:i w:val="0"/>
                <w:color w:val="545454"/>
                <w:sz w:val="20"/>
              </w:rPr>
              <w:t>Lead conversion rate</w:t>
            </w:r>
          </w:p>
        </w:tc>
        <w:tc>
          <w:tcPr>
            <w:tcW w:type="dxa" w:w="1584"/>
            <w:shd w:val="clear" w:color="auto" w:fill="ffffff"/>
          </w:tcPr>
          <w:p>
            <w:pPr>
              <w:spacing w:after="20"/>
            </w:pPr>
            <w:r>
              <w:rPr>
                <w:rFonts w:ascii="Calibri" w:hAnsi="Calibri"/>
                <w:b w:val="0"/>
                <w:i w:val="0"/>
                <w:color w:val="545454"/>
                <w:sz w:val="20"/>
              </w:rPr>
              <w:t>3%</w:t>
            </w:r>
          </w:p>
        </w:tc>
        <w:tc>
          <w:tcPr>
            <w:tcW w:type="dxa" w:w="1584"/>
            <w:shd w:val="clear" w:color="auto" w:fill="ffffff"/>
          </w:tcPr>
          <w:p>
            <w:pPr>
              <w:spacing w:after="20"/>
            </w:pPr>
            <w:r>
              <w:rPr>
                <w:rFonts w:ascii="Calibri" w:hAnsi="Calibri"/>
                <w:b w:val="0"/>
                <w:i w:val="0"/>
                <w:color w:val="545454"/>
                <w:sz w:val="20"/>
              </w:rPr>
              <w:t>5%</w:t>
            </w:r>
          </w:p>
        </w:tc>
        <w:tc>
          <w:tcPr>
            <w:tcW w:type="dxa" w:w="3312"/>
            <w:shd w:val="clear" w:color="auto" w:fill="ffffff"/>
          </w:tcPr>
          <w:p>
            <w:pPr>
              <w:spacing w:after="20"/>
            </w:pPr>
            <w:r>
              <w:rPr>
                <w:rFonts w:ascii="Calibri" w:hAnsi="Calibri"/>
                <w:b w:val="0"/>
                <w:i w:val="0"/>
                <w:color w:val="545454"/>
                <w:sz w:val="20"/>
              </w:rPr>
              <w:t>Form fill or demo request</w:t>
            </w:r>
          </w:p>
        </w:tc>
      </w:tr>
      <w:tr>
        <w:tc>
          <w:tcPr>
            <w:tcW w:type="dxa" w:w="3024"/>
            <w:shd w:val="clear" w:color="auto" w:fill="f8fafb"/>
          </w:tcPr>
          <w:p>
            <w:pPr>
              <w:spacing w:after="20"/>
            </w:pPr>
            <w:r>
              <w:rPr>
                <w:rFonts w:ascii="Calibri" w:hAnsi="Calibri"/>
                <w:b w:val="0"/>
                <w:i w:val="0"/>
                <w:color w:val="545454"/>
                <w:sz w:val="20"/>
              </w:rPr>
              <w:t>Leads per month</w:t>
            </w:r>
          </w:p>
        </w:tc>
        <w:tc>
          <w:tcPr>
            <w:tcW w:type="dxa" w:w="1584"/>
            <w:shd w:val="clear" w:color="auto" w:fill="f8fafb"/>
          </w:tcPr>
          <w:p>
            <w:pPr>
              <w:spacing w:after="20"/>
            </w:pPr>
            <w:r>
              <w:rPr>
                <w:rFonts w:ascii="Calibri" w:hAnsi="Calibri"/>
                <w:b w:val="0"/>
                <w:i w:val="0"/>
                <w:color w:val="545454"/>
                <w:sz w:val="20"/>
              </w:rPr>
              <w:t>2</w:t>
            </w:r>
          </w:p>
        </w:tc>
        <w:tc>
          <w:tcPr>
            <w:tcW w:type="dxa" w:w="1584"/>
            <w:shd w:val="clear" w:color="auto" w:fill="f8fafb"/>
          </w:tcPr>
          <w:p>
            <w:pPr>
              <w:spacing w:after="20"/>
            </w:pPr>
            <w:r>
              <w:rPr>
                <w:rFonts w:ascii="Calibri" w:hAnsi="Calibri"/>
                <w:b w:val="0"/>
                <w:i w:val="0"/>
                <w:color w:val="545454"/>
                <w:sz w:val="20"/>
              </w:rPr>
              <w:t>8</w:t>
            </w:r>
          </w:p>
        </w:tc>
        <w:tc>
          <w:tcPr>
            <w:tcW w:type="dxa" w:w="3312"/>
            <w:shd w:val="clear" w:color="auto" w:fill="f8fafb"/>
          </w:tcPr>
          <w:p>
            <w:pPr>
              <w:spacing w:after="20"/>
            </w:pPr>
            <w:r>
              <w:rPr>
                <w:rFonts w:ascii="Calibri" w:hAnsi="Calibri"/>
                <w:b w:val="0"/>
                <w:i w:val="0"/>
                <w:color w:val="545454"/>
                <w:sz w:val="20"/>
              </w:rPr>
              <w:t>Qualified B2B leads</w:t>
            </w:r>
          </w:p>
        </w:tc>
      </w:tr>
      <w:tr>
        <w:tc>
          <w:tcPr>
            <w:tcW w:type="dxa" w:w="3024"/>
            <w:shd w:val="clear" w:color="auto" w:fill="ffffff"/>
          </w:tcPr>
          <w:p>
            <w:pPr>
              <w:spacing w:after="20"/>
            </w:pPr>
            <w:r>
              <w:rPr>
                <w:rFonts w:ascii="Calibri" w:hAnsi="Calibri"/>
                <w:b w:val="0"/>
                <w:i w:val="0"/>
                <w:color w:val="545454"/>
                <w:sz w:val="20"/>
              </w:rPr>
              <w:t>Leads per quarter</w:t>
            </w:r>
          </w:p>
        </w:tc>
        <w:tc>
          <w:tcPr>
            <w:tcW w:type="dxa" w:w="1584"/>
            <w:shd w:val="clear" w:color="auto" w:fill="ffffff"/>
          </w:tcPr>
          <w:p>
            <w:pPr>
              <w:spacing w:after="20"/>
            </w:pPr>
            <w:r>
              <w:rPr>
                <w:rFonts w:ascii="Calibri" w:hAnsi="Calibri"/>
                <w:b w:val="0"/>
                <w:i w:val="0"/>
                <w:color w:val="545454"/>
                <w:sz w:val="20"/>
              </w:rPr>
              <w:t>6</w:t>
            </w:r>
          </w:p>
        </w:tc>
        <w:tc>
          <w:tcPr>
            <w:tcW w:type="dxa" w:w="1584"/>
            <w:shd w:val="clear" w:color="auto" w:fill="ffffff"/>
          </w:tcPr>
          <w:p>
            <w:pPr>
              <w:spacing w:after="20"/>
            </w:pPr>
            <w:r>
              <w:rPr>
                <w:rFonts w:ascii="Calibri" w:hAnsi="Calibri"/>
                <w:b w:val="0"/>
                <w:i w:val="0"/>
                <w:color w:val="545454"/>
                <w:sz w:val="20"/>
              </w:rPr>
              <w:t>24</w:t>
            </w:r>
          </w:p>
        </w:tc>
        <w:tc>
          <w:tcPr>
            <w:tcW w:type="dxa" w:w="3312"/>
            <w:shd w:val="clear" w:color="auto" w:fill="ffffff"/>
          </w:tcPr>
          <w:p>
            <w:pPr>
              <w:spacing w:after="20"/>
            </w:pPr>
            <w:r>
              <w:rPr>
                <w:rFonts w:ascii="Calibri" w:hAnsi="Calibri"/>
                <w:b w:val="0"/>
                <w:i w:val="0"/>
                <w:color w:val="545454"/>
                <w:sz w:val="20"/>
              </w:rPr>
              <w:t>90-day view</w:t>
            </w:r>
          </w:p>
        </w:tc>
      </w:tr>
    </w:tbl>
    <w:p>
      <w:pPr>
        <w:spacing w:after="60"/>
      </w:pPr>
    </w:p>
    <w:p>
      <w:pPr>
        <w:spacing w:after="80"/>
      </w:pPr>
      <w:r>
        <w:rPr>
          <w:rFonts w:ascii="Calibri" w:hAnsi="Calibri"/>
          <w:b w:val="0"/>
          <w:i w:val="0"/>
          <w:color w:val="545454"/>
          <w:sz w:val="20"/>
        </w:rPr>
      </w:r>
      <w:r>
        <w:rPr>
          <w:rFonts w:ascii="Calibri" w:hAnsi="Calibri"/>
          <w:b/>
          <w:i w:val="0"/>
          <w:color w:val="2E3440"/>
          <w:sz w:val="20"/>
        </w:rPr>
        <w:t>The key question is deal value, not lead volume.</w:t>
      </w:r>
      <w:r>
        <w:rPr>
          <w:rFonts w:ascii="Calibri" w:hAnsi="Calibri"/>
          <w:b w:val="0"/>
          <w:i w:val="0"/>
          <w:color w:val="545454"/>
          <w:sz w:val="20"/>
        </w:rPr>
        <w:t xml:space="preserve"> SIGNiX's HubSpot data shows an average closed deal size of </w:t>
      </w:r>
      <w:r>
        <w:rPr>
          <w:rFonts w:ascii="Calibri" w:hAnsi="Calibri"/>
          <w:b/>
          <w:i w:val="0"/>
          <w:color w:val="2E3440"/>
          <w:sz w:val="20"/>
        </w:rPr>
        <w:t>$4,100</w:t>
      </w:r>
      <w:r>
        <w:rPr>
          <w:rFonts w:ascii="Calibri" w:hAnsi="Calibri"/>
          <w:b w:val="0"/>
          <w:i w:val="0"/>
          <w:color w:val="545454"/>
          <w:sz w:val="20"/>
        </w:rPr>
        <w:t xml:space="preserve"> over the last 12 months. Here is how that translates at our projected lead volume: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584"/>
            <w:shd w:val="clear" w:color="auto" w:fill="2e3440"/>
          </w:tcPr>
          <w:p>
            <w:r>
              <w:rPr>
                <w:rFonts w:ascii="Calibri" w:hAnsi="Calibri"/>
                <w:b/>
                <w:i w:val="0"/>
                <w:color w:val="FFFFFF"/>
                <w:sz w:val="18"/>
              </w:rPr>
              <w:t>Scenario</w:t>
            </w:r>
          </w:p>
        </w:tc>
        <w:tc>
          <w:tcPr>
            <w:tcW w:type="dxa" w:w="1584"/>
            <w:shd w:val="clear" w:color="auto" w:fill="2e3440"/>
          </w:tcPr>
          <w:p>
            <w:r>
              <w:rPr>
                <w:rFonts w:ascii="Calibri" w:hAnsi="Calibri"/>
                <w:b/>
                <w:i w:val="0"/>
                <w:color w:val="FFFFFF"/>
                <w:sz w:val="18"/>
              </w:rPr>
              <w:t>Deals Closed (Q)</w:t>
            </w:r>
          </w:p>
        </w:tc>
        <w:tc>
          <w:tcPr>
            <w:tcW w:type="dxa" w:w="2304"/>
            <w:shd w:val="clear" w:color="auto" w:fill="2e3440"/>
          </w:tcPr>
          <w:p>
            <w:r>
              <w:rPr>
                <w:rFonts w:ascii="Calibri" w:hAnsi="Calibri"/>
                <w:b/>
                <w:i w:val="0"/>
                <w:color w:val="FFFFFF"/>
                <w:sz w:val="18"/>
              </w:rPr>
              <w:t>Year-1 Revenue (ACV)</w:t>
            </w:r>
          </w:p>
        </w:tc>
        <w:tc>
          <w:tcPr>
            <w:tcW w:type="dxa" w:w="2016"/>
            <w:shd w:val="clear" w:color="auto" w:fill="2e3440"/>
          </w:tcPr>
          <w:p>
            <w:r>
              <w:rPr>
                <w:rFonts w:ascii="Calibri" w:hAnsi="Calibri"/>
                <w:b/>
                <w:i w:val="0"/>
                <w:color w:val="FFFFFF"/>
                <w:sz w:val="18"/>
              </w:rPr>
              <w:t>Paid Search Cost (Q)</w:t>
            </w:r>
          </w:p>
        </w:tc>
        <w:tc>
          <w:tcPr>
            <w:tcW w:type="dxa" w:w="2016"/>
            <w:shd w:val="clear" w:color="auto" w:fill="2e3440"/>
          </w:tcPr>
          <w:p>
            <w:r>
              <w:rPr>
                <w:rFonts w:ascii="Calibri" w:hAnsi="Calibri"/>
                <w:b/>
                <w:i w:val="0"/>
                <w:color w:val="FFFFFF"/>
                <w:sz w:val="18"/>
              </w:rPr>
              <w:t>ROI — ACV Only</w:t>
            </w:r>
          </w:p>
        </w:tc>
      </w:tr>
      <w:tr>
        <w:tc>
          <w:tcPr>
            <w:tcW w:type="dxa" w:w="1584"/>
            <w:shd w:val="clear" w:color="auto" w:fill="f8fafb"/>
          </w:tcPr>
          <w:p>
            <w:pPr>
              <w:spacing w:after="20"/>
            </w:pPr>
            <w:r>
              <w:rPr>
                <w:rFonts w:ascii="Calibri" w:hAnsi="Calibri"/>
                <w:b w:val="0"/>
                <w:i w:val="0"/>
                <w:color w:val="545454"/>
                <w:sz w:val="20"/>
              </w:rPr>
              <w:t>Conservative</w:t>
            </w:r>
          </w:p>
        </w:tc>
        <w:tc>
          <w:tcPr>
            <w:tcW w:type="dxa" w:w="1584"/>
            <w:shd w:val="clear" w:color="auto" w:fill="f8fafb"/>
          </w:tcPr>
          <w:p>
            <w:pPr>
              <w:spacing w:after="20"/>
            </w:pPr>
            <w:r>
              <w:rPr>
                <w:rFonts w:ascii="Calibri" w:hAnsi="Calibri"/>
                <w:b w:val="0"/>
                <w:i w:val="0"/>
                <w:color w:val="545454"/>
                <w:sz w:val="20"/>
              </w:rPr>
              <w:t>1</w:t>
            </w:r>
          </w:p>
        </w:tc>
        <w:tc>
          <w:tcPr>
            <w:tcW w:type="dxa" w:w="2304"/>
            <w:shd w:val="clear" w:color="auto" w:fill="f8fafb"/>
          </w:tcPr>
          <w:p>
            <w:pPr>
              <w:spacing w:after="20"/>
            </w:pPr>
            <w:r>
              <w:rPr>
                <w:rFonts w:ascii="Calibri" w:hAnsi="Calibri"/>
                <w:b w:val="0"/>
                <w:i w:val="0"/>
                <w:color w:val="545454"/>
                <w:sz w:val="20"/>
              </w:rPr>
              <w:t>$4,100</w:t>
            </w:r>
          </w:p>
        </w:tc>
        <w:tc>
          <w:tcPr>
            <w:tcW w:type="dxa" w:w="2016"/>
            <w:shd w:val="clear" w:color="auto" w:fill="f8fafb"/>
          </w:tcPr>
          <w:p>
            <w:pPr>
              <w:spacing w:after="20"/>
            </w:pPr>
            <w:r>
              <w:rPr>
                <w:rFonts w:ascii="Calibri" w:hAnsi="Calibri"/>
                <w:b w:val="0"/>
                <w:i w:val="0"/>
                <w:color w:val="545454"/>
                <w:sz w:val="20"/>
              </w:rPr>
              <w:t>$9,000</w:t>
            </w:r>
          </w:p>
        </w:tc>
        <w:tc>
          <w:tcPr>
            <w:tcW w:type="dxa" w:w="2016"/>
            <w:shd w:val="clear" w:color="auto" w:fill="f8fafb"/>
          </w:tcPr>
          <w:p>
            <w:pPr>
              <w:spacing w:after="20"/>
            </w:pPr>
            <w:r>
              <w:rPr>
                <w:rFonts w:ascii="Calibri" w:hAnsi="Calibri"/>
                <w:b w:val="0"/>
                <w:i w:val="0"/>
                <w:color w:val="545454"/>
                <w:sz w:val="20"/>
              </w:rPr>
              <w:t>Negative. Shortfall of $4,900.</w:t>
            </w:r>
          </w:p>
        </w:tc>
      </w:tr>
      <w:tr>
        <w:tc>
          <w:tcPr>
            <w:tcW w:type="dxa" w:w="1584"/>
            <w:shd w:val="clear" w:color="auto" w:fill="ffffff"/>
          </w:tcPr>
          <w:p>
            <w:pPr>
              <w:spacing w:after="20"/>
            </w:pPr>
            <w:r>
              <w:rPr>
                <w:rFonts w:ascii="Calibri" w:hAnsi="Calibri"/>
                <w:b w:val="0"/>
                <w:i w:val="0"/>
                <w:color w:val="545454"/>
                <w:sz w:val="20"/>
              </w:rPr>
              <w:t>Moderate</w:t>
            </w:r>
          </w:p>
        </w:tc>
        <w:tc>
          <w:tcPr>
            <w:tcW w:type="dxa" w:w="1584"/>
            <w:shd w:val="clear" w:color="auto" w:fill="ffffff"/>
          </w:tcPr>
          <w:p>
            <w:pPr>
              <w:spacing w:after="20"/>
            </w:pPr>
            <w:r>
              <w:rPr>
                <w:rFonts w:ascii="Calibri" w:hAnsi="Calibri"/>
                <w:b w:val="0"/>
                <w:i w:val="0"/>
                <w:color w:val="545454"/>
                <w:sz w:val="20"/>
              </w:rPr>
              <w:t>2–3</w:t>
            </w:r>
          </w:p>
        </w:tc>
        <w:tc>
          <w:tcPr>
            <w:tcW w:type="dxa" w:w="2304"/>
            <w:shd w:val="clear" w:color="auto" w:fill="ffffff"/>
          </w:tcPr>
          <w:p>
            <w:pPr>
              <w:spacing w:after="20"/>
            </w:pPr>
            <w:r>
              <w:rPr>
                <w:rFonts w:ascii="Calibri" w:hAnsi="Calibri"/>
                <w:b w:val="0"/>
                <w:i w:val="0"/>
                <w:color w:val="545454"/>
                <w:sz w:val="20"/>
              </w:rPr>
              <w:t>$8,200–$12,300</w:t>
            </w:r>
          </w:p>
        </w:tc>
        <w:tc>
          <w:tcPr>
            <w:tcW w:type="dxa" w:w="2016"/>
            <w:shd w:val="clear" w:color="auto" w:fill="ffffff"/>
          </w:tcPr>
          <w:p>
            <w:pPr>
              <w:spacing w:after="20"/>
            </w:pPr>
            <w:r>
              <w:rPr>
                <w:rFonts w:ascii="Calibri" w:hAnsi="Calibri"/>
                <w:b w:val="0"/>
                <w:i w:val="0"/>
                <w:color w:val="545454"/>
                <w:sz w:val="20"/>
              </w:rPr>
              <w:t>$9,000</w:t>
            </w:r>
          </w:p>
        </w:tc>
        <w:tc>
          <w:tcPr>
            <w:tcW w:type="dxa" w:w="2016"/>
            <w:shd w:val="clear" w:color="auto" w:fill="ffffff"/>
          </w:tcPr>
          <w:p>
            <w:pPr>
              <w:spacing w:after="20"/>
            </w:pPr>
            <w:r>
              <w:rPr>
                <w:rFonts w:ascii="Calibri" w:hAnsi="Calibri"/>
                <w:b w:val="0"/>
                <w:i w:val="0"/>
                <w:color w:val="545454"/>
                <w:sz w:val="20"/>
              </w:rPr>
              <w:t xml:space="preserve">Break-even at 2. </w:t>
            </w:r>
            <w:r>
              <w:rPr>
                <w:rFonts w:ascii="Calibri" w:hAnsi="Calibri"/>
                <w:b/>
                <w:i w:val="0"/>
                <w:color w:val="2E3440"/>
                <w:sz w:val="20"/>
              </w:rPr>
              <w:t>Positive at 3 deals (+$3,300).</w:t>
            </w:r>
            <w:r>
              <w:rPr>
                <w:rFonts w:ascii="Calibri" w:hAnsi="Calibri"/>
                <w:b w:val="0"/>
                <w:i w:val="0"/>
                <w:color w:val="545454"/>
                <w:sz w:val="20"/>
              </w:rPr>
            </w:r>
          </w:p>
        </w:tc>
      </w:tr>
      <w:tr>
        <w:tc>
          <w:tcPr>
            <w:tcW w:type="dxa" w:w="1584"/>
            <w:shd w:val="clear" w:color="auto" w:fill="f8fafb"/>
          </w:tcPr>
          <w:p>
            <w:pPr>
              <w:spacing w:after="20"/>
            </w:pPr>
            <w:r>
              <w:rPr>
                <w:rFonts w:ascii="Calibri" w:hAnsi="Calibri"/>
                <w:b w:val="0"/>
                <w:i w:val="0"/>
                <w:color w:val="545454"/>
                <w:sz w:val="20"/>
              </w:rPr>
              <w:t>Best case</w:t>
            </w:r>
          </w:p>
        </w:tc>
        <w:tc>
          <w:tcPr>
            <w:tcW w:type="dxa" w:w="1584"/>
            <w:shd w:val="clear" w:color="auto" w:fill="f8fafb"/>
          </w:tcPr>
          <w:p>
            <w:pPr>
              <w:spacing w:after="20"/>
            </w:pPr>
            <w:r>
              <w:rPr>
                <w:rFonts w:ascii="Calibri" w:hAnsi="Calibri"/>
                <w:b w:val="0"/>
                <w:i w:val="0"/>
                <w:color w:val="545454"/>
                <w:sz w:val="20"/>
              </w:rPr>
              <w:t>4+</w:t>
            </w:r>
          </w:p>
        </w:tc>
        <w:tc>
          <w:tcPr>
            <w:tcW w:type="dxa" w:w="2304"/>
            <w:shd w:val="clear" w:color="auto" w:fill="f8fafb"/>
          </w:tcPr>
          <w:p>
            <w:pPr>
              <w:spacing w:after="20"/>
            </w:pPr>
            <w:r>
              <w:rPr>
                <w:rFonts w:ascii="Calibri" w:hAnsi="Calibri"/>
                <w:b w:val="0"/>
                <w:i w:val="0"/>
                <w:color w:val="545454"/>
                <w:sz w:val="20"/>
              </w:rPr>
              <w:t>$16,400+</w:t>
            </w:r>
          </w:p>
        </w:tc>
        <w:tc>
          <w:tcPr>
            <w:tcW w:type="dxa" w:w="2016"/>
            <w:shd w:val="clear" w:color="auto" w:fill="f8fafb"/>
          </w:tcPr>
          <w:p>
            <w:pPr>
              <w:spacing w:after="20"/>
            </w:pPr>
            <w:r>
              <w:rPr>
                <w:rFonts w:ascii="Calibri" w:hAnsi="Calibri"/>
                <w:b w:val="0"/>
                <w:i w:val="0"/>
                <w:color w:val="545454"/>
                <w:sz w:val="20"/>
              </w:rPr>
              <w:t>$9,000</w:t>
            </w:r>
          </w:p>
        </w:tc>
        <w:tc>
          <w:tcPr>
            <w:tcW w:type="dxa" w:w="2016"/>
            <w:shd w:val="clear" w:color="auto" w:fill="f8fafb"/>
          </w:tcPr>
          <w:p>
            <w:pPr>
              <w:spacing w:after="20"/>
            </w:pPr>
            <w:r>
              <w:rPr>
                <w:rFonts w:ascii="Calibri" w:hAnsi="Calibri"/>
                <w:b w:val="0"/>
                <w:i w:val="0"/>
                <w:color w:val="545454"/>
                <w:sz w:val="20"/>
              </w:rPr>
            </w:r>
            <w:r>
              <w:rPr>
                <w:rFonts w:ascii="Calibri" w:hAnsi="Calibri"/>
                <w:b/>
                <w:i w:val="0"/>
                <w:color w:val="2E3440"/>
                <w:sz w:val="20"/>
              </w:rPr>
              <w:t>Strong positive. +$7,400 at 4 deals.</w:t>
            </w:r>
            <w:r>
              <w:rPr>
                <w:rFonts w:ascii="Calibri" w:hAnsi="Calibri"/>
                <w:b w:val="0"/>
                <w:i w:val="0"/>
                <w:color w:val="545454"/>
                <w:sz w:val="20"/>
              </w:rPr>
            </w:r>
          </w:p>
        </w:tc>
      </w:tr>
    </w:tbl>
    <w:p>
      <w:pPr>
        <w:spacing w:after="60"/>
      </w:pPr>
    </w:p>
    <w:p>
      <w:pPr>
        <w:spacing w:after="80"/>
      </w:pPr>
      <w:r>
        <w:rPr>
          <w:rFonts w:ascii="Calibri" w:hAnsi="Calibri"/>
          <w:b w:val="0"/>
          <w:i/>
          <w:color w:val="545454"/>
          <w:sz w:val="20"/>
        </w:rPr>
        <w:t>Transaction revenue is not included above. Every closed customer that runs authenticated signings generates recurring per-transaction revenue on top of ACV. The real break-even is lower than the table shows.</w:t>
      </w:r>
    </w:p>
    <w:p>
      <w:pPr>
        <w:spacing w:after="80"/>
      </w:pPr>
      <w:r>
        <w:rPr>
          <w:rFonts w:ascii="Calibri" w:hAnsi="Calibri"/>
          <w:b w:val="0"/>
          <w:i w:val="0"/>
          <w:color w:val="545454"/>
          <w:sz w:val="20"/>
        </w:rPr>
      </w:r>
      <w:r>
        <w:rPr>
          <w:rFonts w:ascii="Calibri" w:hAnsi="Calibri"/>
          <w:b/>
          <w:i w:val="0"/>
          <w:color w:val="2E3440"/>
          <w:sz w:val="20"/>
        </w:rPr>
        <w:t>How to reach the moderate scenario:</w:t>
      </w:r>
      <w:r>
        <w:rPr>
          <w:rFonts w:ascii="Calibri" w:hAnsi="Calibri"/>
          <w:b w:val="0"/>
          <w:i w:val="0"/>
          <w:color w:val="545454"/>
          <w:sz w:val="20"/>
        </w:rPr>
        <w:t xml:space="preserve"> Our 60-day lead projections show 2–8 qualified leads per month. At a 25% close rate on qualified leads — a conservative assumption for a sales-led motion — we reach 2–3 closed deals per quarter. That is the moderate scenario, and it puts the channel in positive ROI territory on ACV alone.</w:t>
      </w:r>
    </w:p>
    <w:p>
      <w:pPr>
        <w:pBdr>
          <w:bottom w:val="single" w:sz="4" w:space="1" w:color="d8dee9"/>
        </w:pBdr>
        <w:spacing w:before="60" w:after="60"/>
      </w:pPr>
    </w:p>
    <w:p>
      <w:pPr>
        <w:spacing w:before="200" w:after="80"/>
        <w:pBdr>
          <w:bottom w:val="single" w:sz="6" w:space="4" w:color="6da34a"/>
        </w:pBdr>
      </w:pPr>
      <w:r>
        <w:rPr>
          <w:rFonts w:ascii="Calibri" w:hAnsi="Calibri"/>
          <w:b/>
          <w:i w:val="0"/>
          <w:color w:val="2E3440"/>
          <w:sz w:val="26"/>
        </w:rPr>
        <w:t>Why Low Volume Is the Right Call for SIGNiX</w:t>
      </w:r>
    </w:p>
    <w:p>
      <w:pPr>
        <w:pStyle w:val="ListBullet"/>
        <w:spacing w:after="40"/>
        <w:ind w:left="288"/>
      </w:pPr>
      <w:r>
        <w:rPr>
          <w:rFonts w:ascii="Calibri" w:hAnsi="Calibri"/>
          <w:b w:val="0"/>
          <w:i w:val="0"/>
          <w:color w:val="545454"/>
          <w:sz w:val="20"/>
        </w:rPr>
      </w:r>
      <w:r>
        <w:rPr>
          <w:rFonts w:ascii="Calibri" w:hAnsi="Calibri"/>
          <w:b/>
          <w:i w:val="0"/>
          <w:color w:val="2E3440"/>
          <w:sz w:val="20"/>
        </w:rPr>
        <w:t>SIGNiX's buyer does not shop on Google like a consumer.</w:t>
      </w:r>
      <w:r>
        <w:rPr>
          <w:rFonts w:ascii="Calibri" w:hAnsi="Calibri"/>
          <w:b w:val="0"/>
          <w:i w:val="0"/>
          <w:color w:val="545454"/>
          <w:sz w:val="20"/>
        </w:rPr>
        <w:t xml:space="preserve"> FI compliance officers and ops leaders search with specific intent — compliance terms, workflow terms, competitor comparisons. Generic e-sign terms are dominated by DocuSign and Adobe with multi-million-dollar budgets. We cannot win there.</w:t>
      </w:r>
    </w:p>
    <w:p>
      <w:pPr>
        <w:pStyle w:val="ListBullet"/>
        <w:spacing w:after="40"/>
        <w:ind w:left="288"/>
      </w:pPr>
      <w:r>
        <w:rPr>
          <w:rFonts w:ascii="Calibri" w:hAnsi="Calibri"/>
          <w:b w:val="0"/>
          <w:i w:val="0"/>
          <w:color w:val="545454"/>
          <w:sz w:val="20"/>
        </w:rPr>
      </w:r>
      <w:r>
        <w:rPr>
          <w:rFonts w:ascii="Calibri" w:hAnsi="Calibri"/>
          <w:b/>
          <w:i w:val="0"/>
          <w:color w:val="2E3440"/>
          <w:sz w:val="20"/>
        </w:rPr>
        <w:t>High-intent, low-volume search is more valuable than high-volume, low-intent search.</w:t>
      </w:r>
      <w:r>
        <w:rPr>
          <w:rFonts w:ascii="Calibri" w:hAnsi="Calibri"/>
          <w:b w:val="0"/>
          <w:i w:val="0"/>
          <w:color w:val="545454"/>
          <w:sz w:val="20"/>
        </w:rPr>
        <w:t xml:space="preserve"> Someone searching 'HIPAA compliant e-signature' is a buyer. Someone searching 'electronic signature software' is not necessarily.</w:t>
      </w:r>
    </w:p>
    <w:p>
      <w:pPr>
        <w:pStyle w:val="ListBullet"/>
        <w:spacing w:after="40"/>
        <w:ind w:left="288"/>
      </w:pPr>
      <w:r>
        <w:rPr>
          <w:rFonts w:ascii="Calibri" w:hAnsi="Calibri"/>
          <w:b w:val="0"/>
          <w:i w:val="0"/>
          <w:color w:val="545454"/>
          <w:sz w:val="20"/>
        </w:rPr>
      </w:r>
      <w:r>
        <w:rPr>
          <w:rFonts w:ascii="Calibri" w:hAnsi="Calibri"/>
          <w:b/>
          <w:i w:val="0"/>
          <w:color w:val="2E3440"/>
          <w:sz w:val="20"/>
        </w:rPr>
        <w:t>The right comparison is cost per closed deal, not cost per click.</w:t>
      </w:r>
      <w:r>
        <w:rPr>
          <w:rFonts w:ascii="Calibri" w:hAnsi="Calibri"/>
          <w:b w:val="0"/>
          <w:i w:val="0"/>
          <w:color w:val="545454"/>
          <w:sz w:val="20"/>
        </w:rPr>
        <w:t xml:space="preserve"> At SIGNiX's ACV, even 1 closed deal per quarter from paid search produces a positive ROI at $3,000/month.</w:t>
      </w:r>
    </w:p>
    <w:p>
      <w:pPr>
        <w:pStyle w:val="ListBullet"/>
        <w:spacing w:after="40"/>
        <w:ind w:left="288"/>
      </w:pPr>
      <w:r>
        <w:rPr>
          <w:rFonts w:ascii="Calibri" w:hAnsi="Calibri"/>
          <w:b w:val="0"/>
          <w:i w:val="0"/>
          <w:color w:val="545454"/>
          <w:sz w:val="20"/>
        </w:rPr>
      </w:r>
      <w:r>
        <w:rPr>
          <w:rFonts w:ascii="Calibri" w:hAnsi="Calibri"/>
          <w:b/>
          <w:i w:val="0"/>
          <w:color w:val="2E3440"/>
          <w:sz w:val="20"/>
        </w:rPr>
        <w:t>Volume will grow as we test new keywords.</w:t>
      </w:r>
      <w:r>
        <w:rPr>
          <w:rFonts w:ascii="Calibri" w:hAnsi="Calibri"/>
          <w:b w:val="0"/>
          <w:i w:val="0"/>
          <w:color w:val="545454"/>
          <w:sz w:val="20"/>
        </w:rPr>
        <w:t xml:space="preserve"> The 2 anchor terms we validated are just the start. We have ~30 new workflow-specific keywords entering the test phase in Q2.</w:t>
      </w:r>
    </w:p>
    <w:p>
      <w:pPr>
        <w:pBdr>
          <w:bottom w:val="single" w:sz="4" w:space="1" w:color="d8dee9"/>
        </w:pBdr>
        <w:spacing w:before="60" w:after="60"/>
      </w:pPr>
    </w:p>
    <w:p>
      <w:pPr>
        <w:spacing w:before="200" w:after="80"/>
        <w:pBdr>
          <w:bottom w:val="single" w:sz="6" w:space="4" w:color="6da34a"/>
        </w:pBdr>
      </w:pPr>
      <w:r>
        <w:rPr>
          <w:rFonts w:ascii="Calibri" w:hAnsi="Calibri"/>
          <w:b/>
          <w:i w:val="0"/>
          <w:color w:val="2E3440"/>
          <w:sz w:val="26"/>
        </w:rPr>
        <w:t>60-Day Success Benchmark</w:t>
      </w:r>
    </w:p>
    <w:p>
      <w:pPr>
        <w:spacing w:after="80"/>
      </w:pPr>
      <w:r>
        <w:rPr>
          <w:rFonts w:ascii="Calibri" w:hAnsi="Calibri"/>
          <w:b w:val="0"/>
          <w:i w:val="0"/>
          <w:color w:val="545454"/>
          <w:sz w:val="20"/>
        </w:rPr>
        <w:t>We will know within 60 days whether this strategy is working. Here is what we are tracking:</w:t>
      </w:r>
    </w:p>
    <w:tbl>
      <w:tblPr>
        <w:tblStyle w:val="TableGrid"/>
        <w:tblW w:type="auto" w:w="0"/>
        <w:tblLook w:firstColumn="1" w:firstRow="1" w:lastColumn="0" w:lastRow="0" w:noHBand="0" w:noVBand="1" w:val="04A0"/>
      </w:tblPr>
      <w:tblGrid>
        <w:gridCol w:w="3216"/>
        <w:gridCol w:w="3216"/>
        <w:gridCol w:w="3216"/>
      </w:tblGrid>
      <w:tr>
        <w:tc>
          <w:tcPr>
            <w:tcW w:type="dxa" w:w="2880"/>
            <w:shd w:val="clear" w:color="auto" w:fill="2e3440"/>
          </w:tcPr>
          <w:p>
            <w:r>
              <w:rPr>
                <w:rFonts w:ascii="Calibri" w:hAnsi="Calibri"/>
                <w:b/>
                <w:i w:val="0"/>
                <w:color w:val="FFFFFF"/>
                <w:sz w:val="18"/>
              </w:rPr>
              <w:t>Metric</w:t>
            </w:r>
          </w:p>
        </w:tc>
        <w:tc>
          <w:tcPr>
            <w:tcW w:type="dxa" w:w="2160"/>
            <w:shd w:val="clear" w:color="auto" w:fill="2e3440"/>
          </w:tcPr>
          <w:p>
            <w:r>
              <w:rPr>
                <w:rFonts w:ascii="Calibri" w:hAnsi="Calibri"/>
                <w:b/>
                <w:i w:val="0"/>
                <w:color w:val="FFFFFF"/>
                <w:sz w:val="18"/>
              </w:rPr>
              <w:t>60-Day Target</w:t>
            </w:r>
          </w:p>
        </w:tc>
        <w:tc>
          <w:tcPr>
            <w:tcW w:type="dxa" w:w="4464"/>
            <w:shd w:val="clear" w:color="auto" w:fill="2e3440"/>
          </w:tcPr>
          <w:p>
            <w:r>
              <w:rPr>
                <w:rFonts w:ascii="Calibri" w:hAnsi="Calibri"/>
                <w:b/>
                <w:i w:val="0"/>
                <w:color w:val="FFFFFF"/>
                <w:sz w:val="18"/>
              </w:rPr>
              <w:t>Why It Matters</w:t>
            </w:r>
          </w:p>
        </w:tc>
      </w:tr>
      <w:tr>
        <w:tc>
          <w:tcPr>
            <w:tcW w:type="dxa" w:w="2880"/>
            <w:shd w:val="clear" w:color="auto" w:fill="f8fafb"/>
          </w:tcPr>
          <w:p>
            <w:pPr>
              <w:spacing w:after="20"/>
            </w:pPr>
            <w:r>
              <w:rPr>
                <w:rFonts w:ascii="Calibri" w:hAnsi="Calibri"/>
                <w:b w:val="0"/>
                <w:i w:val="0"/>
                <w:color w:val="545454"/>
                <w:sz w:val="20"/>
              </w:rPr>
              <w:t>Impression share on top buckets</w:t>
            </w:r>
          </w:p>
        </w:tc>
        <w:tc>
          <w:tcPr>
            <w:tcW w:type="dxa" w:w="2160"/>
            <w:shd w:val="clear" w:color="auto" w:fill="f8fafb"/>
          </w:tcPr>
          <w:p>
            <w:pPr>
              <w:spacing w:after="20"/>
            </w:pPr>
            <w:r>
              <w:rPr>
                <w:rFonts w:ascii="Calibri" w:hAnsi="Calibri"/>
                <w:b w:val="0"/>
                <w:i w:val="0"/>
                <w:color w:val="545454"/>
                <w:sz w:val="20"/>
              </w:rPr>
              <w:t>&gt;40%</w:t>
            </w:r>
          </w:p>
        </w:tc>
        <w:tc>
          <w:tcPr>
            <w:tcW w:type="dxa" w:w="4464"/>
            <w:shd w:val="clear" w:color="auto" w:fill="f8fafb"/>
          </w:tcPr>
          <w:p>
            <w:pPr>
              <w:spacing w:after="20"/>
            </w:pPr>
            <w:r>
              <w:rPr>
                <w:rFonts w:ascii="Calibri" w:hAnsi="Calibri"/>
                <w:b w:val="0"/>
                <w:i w:val="0"/>
                <w:color w:val="545454"/>
                <w:sz w:val="20"/>
              </w:rPr>
              <w:t>Are we showing up on the right searches?</w:t>
            </w:r>
          </w:p>
        </w:tc>
      </w:tr>
      <w:tr>
        <w:tc>
          <w:tcPr>
            <w:tcW w:type="dxa" w:w="2880"/>
            <w:shd w:val="clear" w:color="auto" w:fill="ffffff"/>
          </w:tcPr>
          <w:p>
            <w:pPr>
              <w:spacing w:after="20"/>
            </w:pPr>
            <w:r>
              <w:rPr>
                <w:rFonts w:ascii="Calibri" w:hAnsi="Calibri"/>
                <w:b w:val="0"/>
                <w:i w:val="0"/>
                <w:color w:val="545454"/>
                <w:sz w:val="20"/>
              </w:rPr>
              <w:t>CTR by bucket</w:t>
            </w:r>
          </w:p>
        </w:tc>
        <w:tc>
          <w:tcPr>
            <w:tcW w:type="dxa" w:w="2160"/>
            <w:shd w:val="clear" w:color="auto" w:fill="ffffff"/>
          </w:tcPr>
          <w:p>
            <w:pPr>
              <w:spacing w:after="20"/>
            </w:pPr>
            <w:r>
              <w:rPr>
                <w:rFonts w:ascii="Calibri" w:hAnsi="Calibri"/>
                <w:b w:val="0"/>
                <w:i w:val="0"/>
                <w:color w:val="545454"/>
                <w:sz w:val="20"/>
              </w:rPr>
              <w:t>3–6%</w:t>
            </w:r>
          </w:p>
        </w:tc>
        <w:tc>
          <w:tcPr>
            <w:tcW w:type="dxa" w:w="4464"/>
            <w:shd w:val="clear" w:color="auto" w:fill="ffffff"/>
          </w:tcPr>
          <w:p>
            <w:pPr>
              <w:spacing w:after="20"/>
            </w:pPr>
            <w:r>
              <w:rPr>
                <w:rFonts w:ascii="Calibri" w:hAnsi="Calibri"/>
                <w:b w:val="0"/>
                <w:i w:val="0"/>
                <w:color w:val="545454"/>
                <w:sz w:val="20"/>
              </w:rPr>
              <w:t>Are our ads attracting the right clicks?</w:t>
            </w:r>
          </w:p>
        </w:tc>
      </w:tr>
      <w:tr>
        <w:tc>
          <w:tcPr>
            <w:tcW w:type="dxa" w:w="2880"/>
            <w:shd w:val="clear" w:color="auto" w:fill="f8fafb"/>
          </w:tcPr>
          <w:p>
            <w:pPr>
              <w:spacing w:after="20"/>
            </w:pPr>
            <w:r>
              <w:rPr>
                <w:rFonts w:ascii="Calibri" w:hAnsi="Calibri"/>
                <w:b w:val="0"/>
                <w:i w:val="0"/>
                <w:color w:val="545454"/>
                <w:sz w:val="20"/>
              </w:rPr>
              <w:t>Form fill / demo request rate</w:t>
            </w:r>
          </w:p>
        </w:tc>
        <w:tc>
          <w:tcPr>
            <w:tcW w:type="dxa" w:w="2160"/>
            <w:shd w:val="clear" w:color="auto" w:fill="f8fafb"/>
          </w:tcPr>
          <w:p>
            <w:pPr>
              <w:spacing w:after="20"/>
            </w:pPr>
            <w:r>
              <w:rPr>
                <w:rFonts w:ascii="Calibri" w:hAnsi="Calibri"/>
                <w:b w:val="0"/>
                <w:i w:val="0"/>
                <w:color w:val="545454"/>
                <w:sz w:val="20"/>
              </w:rPr>
              <w:t>&gt;2% of clicks</w:t>
            </w:r>
          </w:p>
        </w:tc>
        <w:tc>
          <w:tcPr>
            <w:tcW w:type="dxa" w:w="4464"/>
            <w:shd w:val="clear" w:color="auto" w:fill="f8fafb"/>
          </w:tcPr>
          <w:p>
            <w:pPr>
              <w:spacing w:after="20"/>
            </w:pPr>
            <w:r>
              <w:rPr>
                <w:rFonts w:ascii="Calibri" w:hAnsi="Calibri"/>
                <w:b w:val="0"/>
                <w:i w:val="0"/>
                <w:color w:val="545454"/>
                <w:sz w:val="20"/>
              </w:rPr>
              <w:t>Are visitors converting to leads?</w:t>
            </w:r>
          </w:p>
        </w:tc>
      </w:tr>
      <w:tr>
        <w:tc>
          <w:tcPr>
            <w:tcW w:type="dxa" w:w="2880"/>
            <w:shd w:val="clear" w:color="auto" w:fill="ffffff"/>
          </w:tcPr>
          <w:p>
            <w:pPr>
              <w:spacing w:after="20"/>
            </w:pPr>
            <w:r>
              <w:rPr>
                <w:rFonts w:ascii="Calibri" w:hAnsi="Calibri"/>
                <w:b w:val="0"/>
                <w:i w:val="0"/>
                <w:color w:val="545454"/>
                <w:sz w:val="20"/>
              </w:rPr>
              <w:t>Lead qualification rate</w:t>
            </w:r>
          </w:p>
        </w:tc>
        <w:tc>
          <w:tcPr>
            <w:tcW w:type="dxa" w:w="2160"/>
            <w:shd w:val="clear" w:color="auto" w:fill="ffffff"/>
          </w:tcPr>
          <w:p>
            <w:pPr>
              <w:spacing w:after="20"/>
            </w:pPr>
            <w:r>
              <w:rPr>
                <w:rFonts w:ascii="Calibri" w:hAnsi="Calibri"/>
                <w:b w:val="0"/>
                <w:i w:val="0"/>
                <w:color w:val="545454"/>
                <w:sz w:val="20"/>
              </w:rPr>
              <w:t>&gt;40%</w:t>
            </w:r>
          </w:p>
        </w:tc>
        <w:tc>
          <w:tcPr>
            <w:tcW w:type="dxa" w:w="4464"/>
            <w:shd w:val="clear" w:color="auto" w:fill="ffffff"/>
          </w:tcPr>
          <w:p>
            <w:pPr>
              <w:spacing w:after="20"/>
            </w:pPr>
            <w:r>
              <w:rPr>
                <w:rFonts w:ascii="Calibri" w:hAnsi="Calibri"/>
                <w:b w:val="0"/>
                <w:i w:val="0"/>
                <w:color w:val="545454"/>
                <w:sz w:val="20"/>
              </w:rPr>
              <w:t>Are leads matching our ICP?</w:t>
            </w:r>
          </w:p>
        </w:tc>
      </w:tr>
      <w:tr>
        <w:tc>
          <w:tcPr>
            <w:tcW w:type="dxa" w:w="2880"/>
            <w:shd w:val="clear" w:color="auto" w:fill="f8fafb"/>
          </w:tcPr>
          <w:p>
            <w:pPr>
              <w:spacing w:after="20"/>
            </w:pPr>
            <w:r>
              <w:rPr>
                <w:rFonts w:ascii="Calibri" w:hAnsi="Calibri"/>
                <w:b w:val="0"/>
                <w:i w:val="0"/>
                <w:color w:val="545454"/>
                <w:sz w:val="20"/>
              </w:rPr>
              <w:t>Cost per qualified lead (CPL)</w:t>
            </w:r>
          </w:p>
        </w:tc>
        <w:tc>
          <w:tcPr>
            <w:tcW w:type="dxa" w:w="2160"/>
            <w:shd w:val="clear" w:color="auto" w:fill="f8fafb"/>
          </w:tcPr>
          <w:p>
            <w:pPr>
              <w:spacing w:after="20"/>
            </w:pPr>
            <w:r>
              <w:rPr>
                <w:rFonts w:ascii="Calibri" w:hAnsi="Calibri"/>
                <w:b w:val="0"/>
                <w:i w:val="0"/>
                <w:color w:val="545454"/>
                <w:sz w:val="20"/>
              </w:rPr>
              <w:t>Establish baseline</w:t>
            </w:r>
          </w:p>
        </w:tc>
        <w:tc>
          <w:tcPr>
            <w:tcW w:type="dxa" w:w="4464"/>
            <w:shd w:val="clear" w:color="auto" w:fill="f8fafb"/>
          </w:tcPr>
          <w:p>
            <w:pPr>
              <w:spacing w:after="20"/>
            </w:pPr>
            <w:r>
              <w:rPr>
                <w:rFonts w:ascii="Calibri" w:hAnsi="Calibri"/>
                <w:b w:val="0"/>
                <w:i w:val="0"/>
                <w:color w:val="545454"/>
                <w:sz w:val="20"/>
              </w:rPr>
              <w:t>Sets the benchmark for LinkedIn Phase 2</w:t>
            </w:r>
          </w:p>
        </w:tc>
      </w:tr>
      <w:tr>
        <w:tc>
          <w:tcPr>
            <w:tcW w:type="dxa" w:w="2880"/>
            <w:shd w:val="clear" w:color="auto" w:fill="ffffff"/>
          </w:tcPr>
          <w:p>
            <w:pPr>
              <w:spacing w:after="20"/>
            </w:pPr>
            <w:r>
              <w:rPr>
                <w:rFonts w:ascii="Calibri" w:hAnsi="Calibri"/>
                <w:b w:val="0"/>
                <w:i w:val="0"/>
                <w:color w:val="545454"/>
                <w:sz w:val="20"/>
              </w:rPr>
              <w:t>Sales-accepted leads (SALs)</w:t>
            </w:r>
          </w:p>
        </w:tc>
        <w:tc>
          <w:tcPr>
            <w:tcW w:type="dxa" w:w="2160"/>
            <w:shd w:val="clear" w:color="auto" w:fill="ffffff"/>
          </w:tcPr>
          <w:p>
            <w:pPr>
              <w:spacing w:after="20"/>
            </w:pPr>
            <w:r>
              <w:rPr>
                <w:rFonts w:ascii="Calibri" w:hAnsi="Calibri"/>
                <w:b w:val="0"/>
                <w:i w:val="0"/>
                <w:color w:val="545454"/>
                <w:sz w:val="20"/>
              </w:rPr>
              <w:t>&gt;1 per month</w:t>
            </w:r>
          </w:p>
        </w:tc>
        <w:tc>
          <w:tcPr>
            <w:tcW w:type="dxa" w:w="4464"/>
            <w:shd w:val="clear" w:color="auto" w:fill="ffffff"/>
          </w:tcPr>
          <w:p>
            <w:pPr>
              <w:spacing w:after="20"/>
            </w:pPr>
            <w:r>
              <w:rPr>
                <w:rFonts w:ascii="Calibri" w:hAnsi="Calibri"/>
                <w:b w:val="0"/>
                <w:i w:val="0"/>
                <w:color w:val="545454"/>
                <w:sz w:val="20"/>
              </w:rPr>
              <w:t>Did the sales team agree the lead was good?</w:t>
            </w:r>
          </w:p>
        </w:tc>
      </w:tr>
    </w:tbl>
    <w:p>
      <w:pPr>
        <w:spacing w:after="60"/>
      </w:pPr>
    </w:p>
    <w:p>
      <w:pPr>
        <w:spacing w:before="120" w:after="120"/>
        <w:ind w:left="432" w:right="432"/>
        <w:pBdr>
          <w:left w:val="single" w:sz="12" w:space="8" w:color="6da34a"/>
        </w:pBdr>
      </w:pPr>
      <w:r>
        <w:rPr>
          <w:rFonts w:ascii="Calibri" w:hAnsi="Calibri"/>
          <w:b w:val="0"/>
          <w:i/>
          <w:color w:val="545454"/>
          <w:sz w:val="20"/>
        </w:rPr>
        <w:t>This is a 60-day test with a clear scorecard. If we hit the leading indicators by day 60, we launch LinkedIn Phase 2. If we don't, we adjust the keyword mix before adding budget. We are not asking for patience — we are asking for 60 days with a defined exit ramp.</w:t>
      </w:r>
    </w:p>
    <w:p>
      <w:pPr>
        <w:pBdr>
          <w:bottom w:val="single" w:sz="4" w:space="1" w:color="d8dee9"/>
        </w:pBdr>
        <w:spacing w:before="60" w:after="60"/>
      </w:pPr>
    </w:p>
    <w:p>
      <w:pPr>
        <w:spacing w:after="80"/>
      </w:pPr>
      <w:r>
        <w:rPr>
          <w:rFonts w:ascii="Calibri" w:hAnsi="Calibri"/>
          <w:b w:val="0"/>
          <w:i/>
          <w:color w:val="545454"/>
          <w:sz w:val="20"/>
        </w:rPr>
        <w:t>April 6, 2026  ·  Chris, Head of Growth and Marketing  ·  SIGNiX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