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i w:val="0"/>
          <w:color w:val="2E3440"/>
          <w:sz w:val="48"/>
        </w:rPr>
        <w:t>SIGNiX Paid Media Plan —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Prepared by</w:t>
            </w:r>
          </w:p>
        </w:tc>
        <w:tc>
          <w:tcPr>
            <w:tcW w:type="dxa" w:w="4680"/>
            <w:shd w:val="clear" w:color="auto" w:fill="f8fafb"/>
          </w:tcPr>
          <w:p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Chris, Head of Growth and Marketing</w:t>
            </w:r>
          </w:p>
        </w:tc>
      </w:tr>
      <w:tr>
        <w:tc>
          <w:tcPr>
            <w:tcW w:type="dxa" w:w="216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4680"/>
            <w:shd w:val="clear" w:color="auto" w:fill="f8fafb"/>
          </w:tcPr>
          <w:p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April 6, 2026</w:t>
            </w:r>
          </w:p>
        </w:tc>
      </w:tr>
      <w:tr>
        <w:tc>
          <w:tcPr>
            <w:tcW w:type="dxa" w:w="216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4680"/>
            <w:shd w:val="clear" w:color="auto" w:fill="f8fafb"/>
          </w:tcPr>
          <w:p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CEO-approved — active. Updated April 6, 2026 (Rev 3).</w:t>
            </w:r>
          </w:p>
        </w:tc>
      </w:tr>
      <w:tr>
        <w:tc>
          <w:tcPr>
            <w:tcW w:type="dxa" w:w="216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Budget</w:t>
            </w:r>
          </w:p>
        </w:tc>
        <w:tc>
          <w:tcPr>
            <w:tcW w:type="dxa" w:w="4680"/>
            <w:shd w:val="clear" w:color="auto" w:fill="f8fafb"/>
          </w:tcPr>
          <w:p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$3,000/month — Google Search Ads only. LinkedIn approved as Phase 2 when 60-day Google performance is proven.</w:t>
            </w:r>
          </w:p>
        </w:tc>
      </w:tr>
      <w:tr>
        <w:tc>
          <w:tcPr>
            <w:tcW w:type="dxa" w:w="216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 scheduling</w:t>
            </w:r>
          </w:p>
        </w:tc>
        <w:tc>
          <w:tcPr>
            <w:tcW w:type="dxa" w:w="4680"/>
            <w:shd w:val="clear" w:color="auto" w:fill="f8fafb"/>
          </w:tcPr>
          <w:p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8:00 am – 5:00 pm EST, Monday–Friday. Ads paused outside these hours so leads get same-day follow-up.</w:t>
            </w:r>
          </w:p>
        </w:tc>
      </w:tr>
      <w:tr>
        <w:tc>
          <w:tcPr>
            <w:tcW w:type="dxa" w:w="216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Objective</w:t>
            </w:r>
          </w:p>
        </w:tc>
        <w:tc>
          <w:tcPr>
            <w:tcW w:type="dxa" w:w="4680"/>
            <w:shd w:val="clear" w:color="auto" w:fill="f8fafb"/>
          </w:tcPr>
          <w:p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Shift paid media from individual notary leads to high-value B2B pipeline. Three target sectors: financial services / healthcare, wealth management, and legal / debt collection — all places where a disputed signature is a legal or financial event.</w:t>
            </w:r>
          </w:p>
        </w:tc>
      </w:tr>
    </w:tbl>
    <w:p>
      <w:pPr>
        <w:spacing w:after="80"/>
      </w:pPr>
    </w:p>
    <w:p>
      <w:pPr>
        <w:pBdr>
          <w:bottom w:val="single" w:sz="4" w:space="1" w:color="d8dee9"/>
        </w:pBdr>
        <w:spacing w:before="80" w:after="80"/>
      </w:pPr>
    </w:p>
    <w:p>
      <w:pPr>
        <w:spacing w:before="360" w:after="12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32"/>
        </w:rPr>
        <w:t>1. The Case for Reallocation</w:t>
      </w: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Current state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  <w:t>SIGNiX's paid media spend was concentrated on Google Ads targeting individual notary and RON queries. These campaigns attract individual notary professionals — low ACV, high-touch customers who require a full sales close plus dedicated CSM onboarding.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The economics are broken at the unit level.</w:t>
      </w:r>
      <w:r>
        <w:rPr>
          <w:rFonts w:ascii="Calibri" w:hAnsi="Calibri"/>
          <w:b w:val="0"/>
          <w:i w:val="0"/>
          <w:color w:val="545454"/>
          <w:sz w:val="22"/>
        </w:rPr>
        <w:t xml:space="preserve"> When the salary cost of a sales rep and CSM is divided by the time spent per notary lead, the contribution margin per notary customer is likely near zero or negative.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Individual notary deals: low ACV, one-time onboarding cost, low recurring transaction volume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Staff time per deal: too high relative to deal value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Scalability: none — each deal requires the same manual motion regardless of volume</w:t>
      </w: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Proposed state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  <w:t>Redirect the same $3,000/month toward buyers in sectors where a disputed or fraudulent signature is a legal and financial event: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Financial services / Healthcare:</w:t>
      </w:r>
      <w:r>
        <w:rPr>
          <w:rFonts w:ascii="Calibri" w:hAnsi="Calibri"/>
          <w:b w:val="0"/>
          <w:i w:val="0"/>
          <w:color w:val="545454"/>
          <w:sz w:val="22"/>
        </w:rPr>
        <w:t xml:space="preserve"> Banks, credit unions, broker-dealers, RIAs, and health systems under FINRA/SEC/HIPAA requirements. A failed audit costs more than years of SIGNiX.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Wealth management:</w:t>
      </w:r>
      <w:r>
        <w:rPr>
          <w:rFonts w:ascii="Calibri" w:hAnsi="Calibri"/>
          <w:b w:val="0"/>
          <w:i w:val="0"/>
          <w:color w:val="545454"/>
          <w:sz w:val="22"/>
        </w:rPr>
        <w:t xml:space="preserve"> RIAs and financial advisors handling beneficiary changes, IRA distributions, and account events where a disputed signature triggers legal and financial consequences.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Legal / Debt collection:</w:t>
      </w:r>
      <w:r>
        <w:rPr>
          <w:rFonts w:ascii="Calibri" w:hAnsi="Calibri"/>
          <w:b w:val="0"/>
          <w:i w:val="0"/>
          <w:color w:val="545454"/>
          <w:sz w:val="22"/>
        </w:rPr>
        <w:t xml:space="preserve"> Law firms and collection agencies under FDCPA and state consent requirements. Proving who signed is the difference between a valid agreement and a disputed one.</w:t>
      </w:r>
    </w:p>
    <w:p>
      <w:pPr>
        <w:spacing w:after="120"/>
      </w:pPr>
      <w:r>
        <w:rPr>
          <w:rFonts w:ascii="Calibri" w:hAnsi="Calibri"/>
          <w:b w:val="0"/>
          <w:i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Note:</w:t>
      </w:r>
      <w:r>
        <w:rPr>
          <w:rFonts w:ascii="Calibri" w:hAnsi="Calibri"/>
          <w:b w:val="0"/>
          <w:i/>
          <w:color w:val="545454"/>
          <w:sz w:val="22"/>
        </w:rPr>
        <w:t xml:space="preserve"> Real estate / mortgage was removed as a target sector. New mortgage customer acquisition faces too many barriers — regulatory complexity, long sales cycles, and dominant vendor relationships — to be a productive paid media target at this budget level.</w:t>
      </w:r>
    </w:p>
    <w:p>
      <w:pPr>
        <w:pBdr>
          <w:bottom w:val="single" w:sz="4" w:space="1" w:color="d8dee9"/>
        </w:pBdr>
        <w:spacing w:before="80" w:after="80"/>
      </w:pPr>
    </w:p>
    <w:p>
      <w:pPr>
        <w:spacing w:before="360" w:after="12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32"/>
        </w:rPr>
        <w:t>2. Budget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Channel</w:t>
            </w:r>
          </w:p>
        </w:tc>
        <w:tc>
          <w:tcPr>
            <w:tcW w:type="dxa" w:w="187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Monthly Allocation</w:t>
            </w:r>
          </w:p>
        </w:tc>
        <w:tc>
          <w:tcPr>
            <w:tcW w:type="dxa" w:w="187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3024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59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Google Search Ads</w:t>
            </w:r>
          </w:p>
        </w:tc>
        <w:tc>
          <w:tcPr>
            <w:tcW w:type="dxa" w:w="187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$3,000</w:t>
            </w:r>
          </w:p>
        </w:tc>
        <w:tc>
          <w:tcPr>
            <w:tcW w:type="dxa" w:w="187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Active</w:t>
            </w:r>
          </w:p>
        </w:tc>
        <w:tc>
          <w:tcPr>
            <w:tcW w:type="dxa" w:w="302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Capture buyers actively searching in financial services, healthcare, wealth management, and legal/debt collection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LinkedIn Sponsored Content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TBD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Phase 2 — on hold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Launch after 60-day Google review. Requires landing pages and proven CPL before adding a second channel.</w:t>
            </w:r>
          </w:p>
        </w:tc>
      </w:tr>
      <w:tr>
        <w:tc>
          <w:tcPr>
            <w:tcW w:type="dxa" w:w="259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  <w:r>
              <w:rPr>
                <w:rFonts w:ascii="Calibri" w:hAnsi="Calibri"/>
                <w:b/>
                <w:i w:val="0"/>
                <w:color w:val="2E3440"/>
                <w:sz w:val="22"/>
              </w:rPr>
              <w:t>Total</w:t>
            </w: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  <w:tc>
          <w:tcPr>
            <w:tcW w:type="dxa" w:w="187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  <w:r>
              <w:rPr>
                <w:rFonts w:ascii="Calibri" w:hAnsi="Calibri"/>
                <w:b/>
                <w:i w:val="0"/>
                <w:color w:val="2E3440"/>
                <w:sz w:val="22"/>
              </w:rPr>
              <w:t>$3,000</w:t>
            </w: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  <w:tc>
          <w:tcPr>
            <w:tcW w:type="dxa" w:w="187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  <w:tc>
          <w:tcPr>
            <w:tcW w:type="dxa" w:w="302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No increase from current spend — reallocation only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/>
          <w:color w:val="545454"/>
          <w:sz w:val="22"/>
        </w:rPr>
        <w:t>Ad scheduling: All campaigns run 8:00 am – 5:00 pm EST, Monday–Friday. Ads are paused outside these hours to avoid wasted spend on leads no one can act on immediately.</w:t>
      </w:r>
    </w:p>
    <w:p>
      <w:pPr>
        <w:pBdr>
          <w:bottom w:val="single" w:sz="4" w:space="1" w:color="d8dee9"/>
        </w:pBdr>
        <w:spacing w:before="80" w:after="80"/>
      </w:pPr>
    </w:p>
    <w:p>
      <w:pPr>
        <w:spacing w:before="360" w:after="12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32"/>
        </w:rPr>
        <w:t>3. Google Search Ads Strategy ($3,000/month)</w:t>
      </w: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Strategic principle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  <w:t>Avoid head-to-head competition on generic e-sign terms where DocuSign and Adobe dominate with multi-million-dollar budgets. Compete on specificity: regulated industry, compliance urgency, authentication, and workflow-level search intent.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The ID Verify filter:</w:t>
      </w:r>
      <w:r>
        <w:rPr>
          <w:rFonts w:ascii="Calibri" w:hAnsi="Calibri"/>
          <w:b w:val="0"/>
          <w:i w:val="0"/>
          <w:color w:val="545454"/>
          <w:sz w:val="22"/>
        </w:rPr>
        <w:t xml:space="preserve"> Before adding any keyword, ask — if this document gets disputed, does the signer's identity matter? If yes, SIGNiX belongs there and ID Verify is the differentiator.</w:t>
      </w: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Bucket 1 — Compliance / Regulatory (~$800/month) — PRIORITY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  <w:t>Target: CCOs, compliance managers, and VP Operations at broker-dealers, RIAs, banks, and credit unions who are actively searching because of a FINRA exam, SEC audit, or internal compliance finding.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Keyword</w:t>
            </w:r>
          </w:p>
        </w:tc>
        <w:tc>
          <w:tcPr>
            <w:tcW w:type="dxa" w:w="432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Intent level</w:t>
            </w:r>
          </w:p>
        </w:tc>
      </w:tr>
      <w:tr>
        <w:tc>
          <w:tcPr>
            <w:tcW w:type="dxa" w:w="504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`SEC Rule 17a-4 compliant e-signature`</w:t>
            </w:r>
          </w:p>
        </w:tc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very specific, low competition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`FINRA compliant digital signature`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exam-triggered intent</w:t>
            </w:r>
          </w:p>
        </w:tc>
      </w:tr>
      <w:tr>
        <w:tc>
          <w:tcPr>
            <w:tcW w:type="dxa" w:w="504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`FINRA electronic signature audit trail`</w:t>
            </w:r>
          </w:p>
        </w:tc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`electronic recordkeeping compliance broker dealer`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</w:tr>
      <w:tr>
        <w:tc>
          <w:tcPr>
            <w:tcW w:type="dxa" w:w="504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`non-repudiation e-signature financial services`</w:t>
            </w:r>
          </w:p>
        </w:tc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advanced buyer signal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`e-signature FINRA Rule 4511`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intent, minimal competition</w:t>
            </w:r>
          </w:p>
        </w:tc>
      </w:tr>
      <w:tr>
        <w:tc>
          <w:tcPr>
            <w:tcW w:type="dxa" w:w="504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`digital signature SEC compliance`</w:t>
            </w:r>
          </w:p>
        </w:tc>
        <w:tc>
          <w:tcPr>
            <w:tcW w:type="dxa" w:w="432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  <w:t>Match type: Phrase and exact only.</w:t>
      </w: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Bucket 2 — Authentication / Fraud (~$600/month)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  <w:t>Target: FI ops and compliance leaders thinking about fraud risk. Connects directly to Mike's email campaign and SIGNiX Fraud Alert.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88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Keyword</w:t>
            </w:r>
          </w:p>
        </w:tc>
        <w:tc>
          <w:tcPr>
            <w:tcW w:type="dxa" w:w="244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Intent level</w:t>
            </w:r>
          </w:p>
        </w:tc>
        <w:tc>
          <w:tcPr>
            <w:tcW w:type="dxa" w:w="3024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`identity verification electronic signature`</w:t>
            </w:r>
          </w:p>
        </w:tc>
        <w:tc>
          <w:tcPr>
            <w:tcW w:type="dxa" w:w="244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core SIGNiX differentiator</w:t>
            </w:r>
          </w:p>
        </w:tc>
        <w:tc>
          <w:tcPr>
            <w:tcW w:type="dxa" w:w="302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Revised phrasing — better search match than tested variant</w:t>
            </w:r>
          </w:p>
        </w:tc>
      </w:tr>
      <w:tr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`e-signature with identity verification`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core SIGNiX differentiator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`verified electronic signature`</w:t>
            </w:r>
          </w:p>
        </w:tc>
        <w:tc>
          <w:tcPr>
            <w:tcW w:type="dxa" w:w="244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02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Broad but intent-rich</w:t>
            </w:r>
          </w:p>
        </w:tc>
      </w:tr>
      <w:tr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`electronic signature signer authentication`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`electronic signature fraud prevention banking`</w:t>
            </w:r>
          </w:p>
        </w:tc>
        <w:tc>
          <w:tcPr>
            <w:tcW w:type="dxa" w:w="244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02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`two-factor authentication electronic signature`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38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`biometric e-signature financial services`</w:t>
            </w:r>
          </w:p>
        </w:tc>
        <w:tc>
          <w:tcPr>
            <w:tcW w:type="dxa" w:w="244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Medium — emerging search behavior</w:t>
            </w:r>
          </w:p>
        </w:tc>
        <w:tc>
          <w:tcPr>
            <w:tcW w:type="dxa" w:w="302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38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`signer authentication platform`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Workflow-level intent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Bucket 3 — Wealth Management / Financial Advisor Workflows (~$500/month)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  <w:t>Target: RIAs, broker-dealers, and financial advisors executing documents where a disputed identity has direct financial or legal consequence. Focus on workflow-specific search terms, not product feature terms.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Keyword</w:t>
            </w:r>
          </w:p>
        </w:tc>
        <w:tc>
          <w:tcPr>
            <w:tcW w:type="dxa" w:w="2736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Intent level</w:t>
            </w:r>
          </w:p>
        </w:tc>
        <w:tc>
          <w:tcPr>
            <w:tcW w:type="dxa" w:w="3024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`beneficiary change form`</w:t>
            </w:r>
          </w:p>
        </w:tc>
        <w:tc>
          <w:tcPr>
            <w:tcW w:type="dxa" w:w="273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 xml:space="preserve">High — </w:t>
            </w:r>
            <w:r>
              <w:rPr>
                <w:rFonts w:ascii="Calibri" w:hAnsi="Calibri"/>
                <w:b/>
                <w:i w:val="0"/>
                <w:color w:val="2E3440"/>
                <w:sz w:val="22"/>
              </w:rPr>
              <w:t>390 avg monthly searches, +50% YoY</w:t>
            </w: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  <w:tc>
          <w:tcPr>
            <w:tcW w:type="dxa" w:w="302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Validated top performer. Cheap bids ($1–$4). Anchor term.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`beneficiary change form e-signature`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Companion term to above</w:t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`power of attorney e-signature`</w:t>
            </w:r>
          </w:p>
        </w:tc>
        <w:tc>
          <w:tcPr>
            <w:tcW w:type="dxa" w:w="273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02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Irrevocable authority document — ID Verify critical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`POA document signing platform`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Workflow-level search intent</w:t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`investment account opening signature`</w:t>
            </w:r>
          </w:p>
        </w:tc>
        <w:tc>
          <w:tcPr>
            <w:tcW w:type="dxa" w:w="273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02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KYC and fraud risk — ID Verify moment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`401k distribution electronic signature`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Tax consequence — identity verification warranted</w:t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`wealth management document signing`</w:t>
            </w:r>
          </w:p>
        </w:tc>
        <w:tc>
          <w:tcPr>
            <w:tcW w:type="dxa" w:w="273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Medium — good volume</w:t>
            </w:r>
          </w:p>
        </w:tc>
        <w:tc>
          <w:tcPr>
            <w:tcW w:type="dxa" w:w="302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`financial advisor e-signature compliance`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`e-signature for investment advisors`</w:t>
            </w:r>
          </w:p>
        </w:tc>
        <w:tc>
          <w:tcPr>
            <w:tcW w:type="dxa" w:w="273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02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`SEC registered investment adviser e-sign`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intent, low competition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Bucket 4 — Industry / Use-Case (~$600/month)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  <w:t>Target: FI ops, IT evaluators, healthcare administrators, and legal/collections professionals with active workflow problems. Three sub-segments: financial services, healthcare, and legal/debt collection.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Financial services:</w:t>
      </w:r>
      <w:r>
        <w:rPr>
          <w:rFonts w:ascii="Calibri" w:hAnsi="Calibri"/>
          <w:b w:val="0"/>
          <w:i w:val="0"/>
          <w:color w:val="545454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Keyword</w:t>
            </w:r>
          </w:p>
        </w:tc>
        <w:tc>
          <w:tcPr>
            <w:tcW w:type="dxa" w:w="244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Intent level</w:t>
            </w:r>
          </w:p>
        </w:tc>
        <w:tc>
          <w:tcPr>
            <w:tcW w:type="dxa" w:w="331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`e-signature for credit unions`</w:t>
            </w:r>
          </w:p>
        </w:tc>
        <w:tc>
          <w:tcPr>
            <w:tcW w:type="dxa" w:w="244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lower competition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`loan document electronic signature`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very specific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`electronic signature NCUA compliant`</w:t>
            </w:r>
          </w:p>
        </w:tc>
        <w:tc>
          <w:tcPr>
            <w:tcW w:type="dxa" w:w="244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intent, very low comp.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`new account opening electronic signature`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KYC and fraud risk — ID Verify moment</w:t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`wire transfer authorization form`</w:t>
            </w:r>
          </w:p>
        </w:tc>
        <w:tc>
          <w:tcPr>
            <w:tcW w:type="dxa" w:w="244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Highest fraud-risk signing moment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`wire transfer form electronic signature`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`ACH authorization e-signature`</w:t>
            </w:r>
          </w:p>
        </w:tc>
        <w:tc>
          <w:tcPr>
            <w:tcW w:type="dxa" w:w="244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Payment fraud risk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Healthcare (HIPAA):</w:t>
      </w:r>
      <w:r>
        <w:rPr>
          <w:rFonts w:ascii="Calibri" w:hAnsi="Calibri"/>
          <w:b w:val="0"/>
          <w:i w:val="0"/>
          <w:color w:val="545454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Keyword</w:t>
            </w:r>
          </w:p>
        </w:tc>
        <w:tc>
          <w:tcPr>
            <w:tcW w:type="dxa" w:w="2736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Intent level</w:t>
            </w:r>
          </w:p>
        </w:tc>
        <w:tc>
          <w:tcPr>
            <w:tcW w:type="dxa" w:w="3024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`HIPAA compliant e-signature`</w:t>
            </w:r>
          </w:p>
        </w:tc>
        <w:tc>
          <w:tcPr>
            <w:tcW w:type="dxa" w:w="273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 xml:space="preserve">High — </w:t>
            </w:r>
            <w:r>
              <w:rPr>
                <w:rFonts w:ascii="Calibri" w:hAnsi="Calibri"/>
                <w:b/>
                <w:i w:val="0"/>
                <w:color w:val="2E3440"/>
                <w:sz w:val="22"/>
              </w:rPr>
              <w:t>210/month, +191% in 3 months</w:t>
            </w: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  <w:tc>
          <w:tcPr>
            <w:tcW w:type="dxa" w:w="302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Validated top performer. Already in account. Anchor term.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`HIPAA e-signature`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Shorter variation — likely higher volume</w:t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`HIPAA electronic signature`</w:t>
            </w:r>
          </w:p>
        </w:tc>
        <w:tc>
          <w:tcPr>
            <w:tcW w:type="dxa" w:w="273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02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Alternate phrasing — test alongside above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`patient consent electronic signature`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HIPAA workflow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`telehealth consent form signature`</w:t>
            </w:r>
          </w:p>
        </w:tc>
        <w:tc>
          <w:tcPr>
            <w:tcW w:type="dxa" w:w="273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growing segment</w:t>
            </w:r>
          </w:p>
        </w:tc>
        <w:tc>
          <w:tcPr>
            <w:tcW w:type="dxa" w:w="302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`medical records release e-signature`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Legal / Debt collection:</w:t>
      </w:r>
      <w:r>
        <w:rPr>
          <w:rFonts w:ascii="Calibri" w:hAnsi="Calibri"/>
          <w:b w:val="0"/>
          <w:i w:val="0"/>
          <w:color w:val="545454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Keyword</w:t>
            </w:r>
          </w:p>
        </w:tc>
        <w:tc>
          <w:tcPr>
            <w:tcW w:type="dxa" w:w="216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Intent level</w:t>
            </w:r>
          </w:p>
        </w:tc>
        <w:tc>
          <w:tcPr>
            <w:tcW w:type="dxa" w:w="360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`FDCPA compliant e-signature`</w:t>
            </w:r>
          </w:p>
        </w:tc>
        <w:tc>
          <w:tcPr>
            <w:tcW w:type="dxa" w:w="216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low competition</w:t>
            </w:r>
          </w:p>
        </w:tc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FDCPA is SIGNiX's FINRA equivalent for this sector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`debt settlement agreement electronic signature`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Consent documentation failure = legal exposure</w:t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`debt collection consent form`</w:t>
            </w:r>
          </w:p>
        </w:tc>
        <w:tc>
          <w:tcPr>
            <w:tcW w:type="dxa" w:w="216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`legal document e-signature platform`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Medium — broader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`collection agency e-signature`</w:t>
            </w:r>
          </w:p>
        </w:tc>
        <w:tc>
          <w:tcPr>
            <w:tcW w:type="dxa" w:w="216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`attorney e-signature compliance`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low competition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Bucket 5 — Competitor Displacement (~$400/month)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  <w:t>Target: FI evaluators actively comparing solutions — mid-funnel buyers who are already looking.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Keyword</w:t>
            </w:r>
          </w:p>
        </w:tc>
        <w:tc>
          <w:tcPr>
            <w:tcW w:type="dxa" w:w="216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Intent level</w:t>
            </w:r>
          </w:p>
        </w:tc>
        <w:tc>
          <w:tcPr>
            <w:tcW w:type="dxa" w:w="360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`docusign alternative`</w:t>
            </w:r>
          </w:p>
        </w:tc>
        <w:tc>
          <w:tcPr>
            <w:tcW w:type="dxa" w:w="216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moderate volume</w:t>
            </w:r>
          </w:p>
        </w:tc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Broader term; test alongside sector-specific variants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`docusign alternative for banks`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`docusign alternative financial services`</w:t>
            </w:r>
          </w:p>
        </w:tc>
        <w:tc>
          <w:tcPr>
            <w:tcW w:type="dxa" w:w="216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`docusign alternative credit unions`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lower CPC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`adobe sign alternative compliance`</w:t>
            </w:r>
          </w:p>
        </w:tc>
        <w:tc>
          <w:tcPr>
            <w:tcW w:type="dxa" w:w="216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`docusign alternative compliance`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  <w:t>Match type: Phrase and exact. Broad match excluded — attracts unqualified traffic on DocuSign brand terms.</w:t>
      </w: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Bucket 6 — RON Institutional only (~$100/month)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  <w:t>Drop all individual notary terms and any terms confirmed at zero volume. Budget is minimal — maintenance only, not growth.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Keyword</w:t>
            </w:r>
          </w:p>
        </w:tc>
        <w:tc>
          <w:tcPr>
            <w:tcW w:type="dxa" w:w="216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Intent level</w:t>
            </w:r>
          </w:p>
        </w:tc>
        <w:tc>
          <w:tcPr>
            <w:tcW w:type="dxa" w:w="360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`RON platform compliance`</w:t>
            </w:r>
          </w:p>
        </w:tc>
        <w:tc>
          <w:tcPr>
            <w:tcW w:type="dxa" w:w="216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</w:t>
            </w:r>
          </w:p>
        </w:tc>
        <w:tc>
          <w:tcPr>
            <w:tcW w:type="dxa" w:w="360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Retained — institutional buyer intent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`remote online notary for banks`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High — low competition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Replacement for removed zero-volume term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Ad message principles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Lead with fear. Close with partnership.</w:t>
      </w:r>
      <w:r>
        <w:rPr>
          <w:rFonts w:ascii="Calibri" w:hAnsi="Calibri"/>
          <w:b w:val="0"/>
          <w:i w:val="0"/>
          <w:color w:val="545454"/>
          <w:sz w:val="22"/>
        </w:rPr>
        <w:t xml:space="preserve"> The buyer's fear opens the door. The human relationship closes the deal.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Fear-first openers: 'One disputed signature you can't prove costs more than years of SIGNiX.' / 'FINRA is flagging electronic records right now. Can you prove who signed?' / 'AI fraud is targeting financial accounts. A click is not a signature.'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Partnership close: 'SIGNiX assigns you a CSM who knows your workflows before a problem happens.'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Each bucket lands on a dedicated landing page matched to the search intent — not the generic homepage.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45454"/>
          <w:sz w:val="22"/>
        </w:rPr>
        <w:t>Never lead with PKI, features, or product specs — lead with the consequence of not having it.</w:t>
      </w:r>
    </w:p>
    <w:p>
      <w:pPr>
        <w:pBdr>
          <w:bottom w:val="single" w:sz="4" w:space="1" w:color="d8dee9"/>
        </w:pBdr>
        <w:spacing w:before="80" w:after="80"/>
      </w:pPr>
    </w:p>
    <w:p>
      <w:pPr>
        <w:spacing w:before="360" w:after="12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32"/>
        </w:rPr>
        <w:t>3a. Keywords Tested and Removed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  <w:t>The following keywords were submitted to Google Keyword Planner for 12-month volume analysis (March 2025 – February 2026). All returned zero or near-zero search volume and have been removed from active campaigns.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44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Keyword</w:t>
            </w:r>
          </w:p>
        </w:tc>
        <w:tc>
          <w:tcPr>
            <w:tcW w:type="dxa" w:w="187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Former Bucket</w:t>
            </w:r>
          </w:p>
        </w:tc>
        <w:tc>
          <w:tcPr>
            <w:tcW w:type="dxa" w:w="1296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Avg Monthly Searches</w:t>
            </w:r>
          </w:p>
        </w:tc>
        <w:tc>
          <w:tcPr>
            <w:tcW w:type="dxa" w:w="100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YoY Change</w:t>
            </w:r>
          </w:p>
        </w:tc>
        <w:tc>
          <w:tcPr>
            <w:tcW w:type="dxa" w:w="2736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Reason Removed</w:t>
            </w:r>
          </w:p>
        </w:tc>
      </w:tr>
      <w:tr>
        <w:tc>
          <w:tcPr>
            <w:tcW w:type="dxa" w:w="244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`e signature for banks`</w:t>
            </w:r>
          </w:p>
        </w:tc>
        <w:tc>
          <w:tcPr>
            <w:tcW w:type="dxa" w:w="187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Industry / Use-Case</w:t>
            </w:r>
          </w:p>
        </w:tc>
        <w:tc>
          <w:tcPr>
            <w:tcW w:type="dxa" w:w="129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20</w:t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–75%</w:t>
            </w:r>
          </w:p>
        </w:tc>
        <w:tc>
          <w:tcPr>
            <w:tcW w:type="dxa" w:w="273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Dying term. Volume declined sharply year over year.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`digital signature mortgage docs`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Industry / Use-Case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N/A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Zero volume. Mortgage sector also removed as a target.</w:t>
            </w:r>
          </w:p>
        </w:tc>
      </w:tr>
      <w:tr>
        <w:tc>
          <w:tcPr>
            <w:tcW w:type="dxa" w:w="244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`remote online notary platform financial inst.`</w:t>
            </w:r>
          </w:p>
        </w:tc>
        <w:tc>
          <w:tcPr>
            <w:tcW w:type="dxa" w:w="187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RON Institutional</w:t>
            </w:r>
          </w:p>
        </w:tc>
        <w:tc>
          <w:tcPr>
            <w:tcW w:type="dxa" w:w="129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0</w:t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N/A</w:t>
            </w:r>
          </w:p>
        </w:tc>
        <w:tc>
          <w:tcPr>
            <w:tcW w:type="dxa" w:w="273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Zero volume. Too niche as a search phrase.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`e signature rollover forms`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Wealth Management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N/A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Zero volume. Buyers search the document type, not the signing action.</w:t>
            </w:r>
          </w:p>
        </w:tc>
      </w:tr>
      <w:tr>
        <w:tc>
          <w:tcPr>
            <w:tcW w:type="dxa" w:w="244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`ira distribution e sign`</w:t>
            </w:r>
          </w:p>
        </w:tc>
        <w:tc>
          <w:tcPr>
            <w:tcW w:type="dxa" w:w="187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Wealth Management</w:t>
            </w:r>
          </w:p>
        </w:tc>
        <w:tc>
          <w:tcPr>
            <w:tcW w:type="dxa" w:w="129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0</w:t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N/A</w:t>
            </w:r>
          </w:p>
        </w:tc>
        <w:tc>
          <w:tcPr>
            <w:tcW w:type="dxa" w:w="273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Zero volume. Industry shorthand — not how buyers search.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`kba electronic signature`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Authentication / Fraud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N/A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Zero volume. 'KBA' is internal industry jargon. Buyers don't know the acronym.</w:t>
            </w:r>
          </w:p>
        </w:tc>
      </w:tr>
      <w:tr>
        <w:tc>
          <w:tcPr>
            <w:tcW w:type="dxa" w:w="244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`e signature identity verification`</w:t>
            </w:r>
          </w:p>
        </w:tc>
        <w:tc>
          <w:tcPr>
            <w:tcW w:type="dxa" w:w="187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Authentication / Fraud</w:t>
            </w:r>
          </w:p>
        </w:tc>
        <w:tc>
          <w:tcPr>
            <w:tcW w:type="dxa" w:w="129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0</w:t>
            </w:r>
          </w:p>
        </w:tc>
        <w:tc>
          <w:tcPr>
            <w:tcW w:type="dxa" w:w="100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N/A</w:t>
            </w:r>
          </w:p>
        </w:tc>
        <w:tc>
          <w:tcPr>
            <w:tcW w:type="dxa" w:w="2736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Zero volume. Wrong word order for how buyers search. Replaced with `identity verification electronic signature`.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`ai fraud e signature`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Authentication / Fraud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N/A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Zero volume. Search behavior for this topic has not yet developed. Re-test Q3 2026.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</w:r>
      <w:r>
        <w:rPr>
          <w:rFonts w:ascii="Calibri" w:hAnsi="Calibri"/>
          <w:b/>
          <w:i w:val="0"/>
          <w:color w:val="2E3440"/>
          <w:sz w:val="22"/>
        </w:rPr>
        <w:t>What the data confirmed:</w:t>
      </w:r>
      <w:r>
        <w:rPr>
          <w:rFonts w:ascii="Calibri" w:hAnsi="Calibri"/>
          <w:b w:val="0"/>
          <w:i w:val="0"/>
          <w:color w:val="545454"/>
          <w:sz w:val="22"/>
        </w:rPr>
        <w:t xml:space="preserve"> The two keywords with validated volume were `beneficiary change form` (390/month, +50% YoY) and `HIPAA compliant e-signature` (210/month, +191% in 3 months). Both are retained and treated as anchor terms for their respective buckets.</w:t>
      </w:r>
    </w:p>
    <w:p>
      <w:pPr>
        <w:pBdr>
          <w:bottom w:val="single" w:sz="4" w:space="1" w:color="d8dee9"/>
        </w:pBdr>
        <w:spacing w:before="80" w:after="80"/>
      </w:pPr>
    </w:p>
    <w:p>
      <w:pPr>
        <w:spacing w:before="360" w:after="12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32"/>
        </w:rPr>
        <w:t>4. LinkedIn Strategy — Phase 2 (On Hold)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  <w:t>LinkedIn is approved in principle but on hold until Google performance is proven. Target launch: 60-day Google review (June 2026).</w:t>
      </w: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Why LinkedIn matters when we're ready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  <w:t>FI decision-makers and ISV product leaders do not frequently Google for e-sign solutions unprompted. They respond to peer content, authority positioning, and problem-aware messaging in their professional feed. LinkedIn reaches cold but qualified buyers before a search event occurs.</w:t>
      </w: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Planned Audience 1 — FI operations, compliance, and wealth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Targeting dimension</w:t>
            </w:r>
          </w:p>
        </w:tc>
        <w:tc>
          <w:tcPr>
            <w:tcW w:type="dxa" w:w="676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Values</w:t>
            </w:r>
          </w:p>
        </w:tc>
      </w:tr>
      <w:tr>
        <w:tc>
          <w:tcPr>
            <w:tcW w:type="dxa" w:w="259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Job titles</w:t>
            </w:r>
          </w:p>
        </w:tc>
        <w:tc>
          <w:tcPr>
            <w:tcW w:type="dxa" w:w="676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VP Operations, Chief Compliance Officer, Director of Lending, Financial Advisor, Wealth Manager, Director of Digital Banking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Industries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Banking, Financial Services, Credit Unions, Investment Management</w:t>
            </w:r>
          </w:p>
        </w:tc>
      </w:tr>
      <w:tr>
        <w:tc>
          <w:tcPr>
            <w:tcW w:type="dxa" w:w="259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Company size</w:t>
            </w:r>
          </w:p>
        </w:tc>
        <w:tc>
          <w:tcPr>
            <w:tcW w:type="dxa" w:w="676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50–5,000 employees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Geography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United States</w:t>
            </w:r>
          </w:p>
        </w:tc>
      </w:tr>
      <w:tr>
        <w:tc>
          <w:tcPr>
            <w:tcW w:type="dxa" w:w="259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Message angle</w:t>
            </w:r>
          </w:p>
        </w:tc>
        <w:tc>
          <w:tcPr>
            <w:tcW w:type="dxa" w:w="676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Fear-first: 'One disputed transaction you can't prove costs more than years of SIGNiX.' Partnership close: 'We assign you a CSM who knows your workflow.'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Planned Audience 2 — ISV and Flex API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Targeting dimension</w:t>
            </w:r>
          </w:p>
        </w:tc>
        <w:tc>
          <w:tcPr>
            <w:tcW w:type="dxa" w:w="676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Values</w:t>
            </w:r>
          </w:p>
        </w:tc>
      </w:tr>
      <w:tr>
        <w:tc>
          <w:tcPr>
            <w:tcW w:type="dxa" w:w="259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Job titles</w:t>
            </w:r>
          </w:p>
        </w:tc>
        <w:tc>
          <w:tcPr>
            <w:tcW w:type="dxa" w:w="676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Product Manager, VP of Product, CTO, VP Engineering, Head of Product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Industries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Financial Services Software, Fintech, Information Technology</w:t>
            </w:r>
          </w:p>
        </w:tc>
      </w:tr>
      <w:tr>
        <w:tc>
          <w:tcPr>
            <w:tcW w:type="dxa" w:w="259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Company size</w:t>
            </w:r>
          </w:p>
        </w:tc>
        <w:tc>
          <w:tcPr>
            <w:tcW w:type="dxa" w:w="676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10–500 employees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Geography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United States</w:t>
            </w:r>
          </w:p>
        </w:tc>
      </w:tr>
      <w:tr>
        <w:tc>
          <w:tcPr>
            <w:tcW w:type="dxa" w:w="259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Message angle</w:t>
            </w:r>
          </w:p>
        </w:tc>
        <w:tc>
          <w:tcPr>
            <w:tcW w:type="dxa" w:w="676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'Your customers live in regulated industries. Compliance is in the SIGNiX Flex API — not your problem to build.'</w:t>
            </w:r>
          </w:p>
        </w:tc>
      </w:tr>
    </w:tbl>
    <w:p>
      <w:pPr>
        <w:spacing w:after="120"/>
      </w:pPr>
    </w:p>
    <w:p>
      <w:pPr>
        <w:pBdr>
          <w:bottom w:val="single" w:sz="4" w:space="1" w:color="d8dee9"/>
        </w:pBdr>
        <w:spacing w:before="80" w:after="80"/>
      </w:pPr>
    </w:p>
    <w:p>
      <w:pPr>
        <w:spacing w:before="360" w:after="12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32"/>
        </w:rPr>
        <w:t>5. Landing Pages (prerequisite for launch)</w:t>
      </w:r>
    </w:p>
    <w:p>
      <w:pPr>
        <w:spacing w:after="120"/>
      </w:pPr>
      <w:r>
        <w:rPr>
          <w:rFonts w:ascii="Calibri" w:hAnsi="Calibri"/>
          <w:b w:val="0"/>
          <w:i w:val="0"/>
          <w:color w:val="545454"/>
          <w:sz w:val="22"/>
        </w:rPr>
        <w:t>Each keyword bucket should land on a page that matches the search intent. Sending all paid traffic to the homepage is the single biggest waste of paid media budget.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Traffic source</w:t>
            </w:r>
          </w:p>
        </w:tc>
        <w:tc>
          <w:tcPr>
            <w:tcW w:type="dxa" w:w="619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Recommended landing page focus</w:t>
            </w:r>
          </w:p>
        </w:tc>
      </w:tr>
      <w:tr>
        <w:tc>
          <w:tcPr>
            <w:tcW w:type="dxa" w:w="316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Compliance / Regulatory bucket</w:t>
            </w:r>
          </w:p>
        </w:tc>
        <w:tc>
          <w:tcPr>
            <w:tcW w:type="dxa" w:w="619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'FINRA exam coming? Here's how SIGNiX proves who signed.'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Authentication / Fraud bucket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'Anyone can click a button. SIGNiX proves it was your customer.'</w:t>
            </w:r>
          </w:p>
        </w:tc>
      </w:tr>
      <w:tr>
        <w:tc>
          <w:tcPr>
            <w:tcW w:type="dxa" w:w="316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Wealth Management bucket</w:t>
            </w:r>
          </w:p>
        </w:tc>
        <w:tc>
          <w:tcPr>
            <w:tcW w:type="dxa" w:w="619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'Built for the forms advisors use every day — with an audit trail.'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Financial services (industry)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'Electronic signature for banks and credit unions — compliance-ready.'</w:t>
            </w:r>
          </w:p>
        </w:tc>
      </w:tr>
      <w:tr>
        <w:tc>
          <w:tcPr>
            <w:tcW w:type="dxa" w:w="316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Healthcare (HIPAA)</w:t>
            </w:r>
          </w:p>
        </w:tc>
        <w:tc>
          <w:tcPr>
            <w:tcW w:type="dxa" w:w="619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'HIPAA requires you to prove who consented. SIGNiX does that.'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Legal / Debt collection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'FDCPA requires consent documentation. SIGNiX gives you proof.'</w:t>
            </w:r>
          </w:p>
        </w:tc>
      </w:tr>
      <w:tr>
        <w:tc>
          <w:tcPr>
            <w:tcW w:type="dxa" w:w="316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Competitor displacement</w:t>
            </w:r>
          </w:p>
        </w:tc>
        <w:tc>
          <w:tcPr>
            <w:tcW w:type="dxa" w:w="619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'How SIGNiX compares to DocuSign for regulated industries.'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/>
          <w:color w:val="545454"/>
          <w:sz w:val="22"/>
        </w:rPr>
        <w:t>Build order: Start with two pages — compliance/financial services and healthcare/HIPAA. Add legal/debt collection and competitor displacement pages in weeks 3–4.</w:t>
      </w:r>
    </w:p>
    <w:p>
      <w:pPr>
        <w:pBdr>
          <w:bottom w:val="single" w:sz="4" w:space="1" w:color="d8dee9"/>
        </w:pBdr>
        <w:spacing w:before="80" w:after="80"/>
      </w:pPr>
    </w:p>
    <w:p>
      <w:pPr>
        <w:spacing w:before="360" w:after="12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32"/>
        </w:rPr>
        <w:t>6. Leading and Lagging Indicators</w:t>
      </w: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Leading indicators — check weekly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Indicator</w:t>
            </w:r>
          </w:p>
        </w:tc>
        <w:tc>
          <w:tcPr>
            <w:tcW w:type="dxa" w:w="331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tells you</w:t>
            </w:r>
          </w:p>
        </w:tc>
        <w:tc>
          <w:tcPr>
            <w:tcW w:type="dxa" w:w="288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16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Impression share by keyword bucket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Are we visible on priority terms?</w:t>
            </w:r>
          </w:p>
        </w:tc>
        <w:tc>
          <w:tcPr>
            <w:tcW w:type="dxa" w:w="288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&gt;40% on priority buckets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CTR by bucket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Are the right people clicking?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3–6% for B2B search</w:t>
            </w:r>
          </w:p>
        </w:tc>
      </w:tr>
      <w:tr>
        <w:tc>
          <w:tcPr>
            <w:tcW w:type="dxa" w:w="316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Average CPC trends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Is spend efficient or inflating?</w:t>
            </w:r>
          </w:p>
        </w:tc>
        <w:tc>
          <w:tcPr>
            <w:tcW w:type="dxa" w:w="288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Monitor week-over-week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Landing page bounce rate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Is traffic finding what they expected?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&lt;60%</w:t>
            </w:r>
          </w:p>
        </w:tc>
      </w:tr>
      <w:tr>
        <w:tc>
          <w:tcPr>
            <w:tcW w:type="dxa" w:w="316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Form fill / demo request rate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Are visitors converting?</w:t>
            </w:r>
          </w:p>
        </w:tc>
        <w:tc>
          <w:tcPr>
            <w:tcW w:type="dxa" w:w="288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2–5% of paid clicks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Lead qualification rate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Are leads matching ICP?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&gt;40% qualified</w:t>
            </w:r>
          </w:p>
        </w:tc>
      </w:tr>
      <w:tr>
        <w:tc>
          <w:tcPr>
            <w:tcW w:type="dxa" w:w="316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Time from lead to first sales touchpoint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Is the handoff working?</w:t>
            </w:r>
          </w:p>
        </w:tc>
        <w:tc>
          <w:tcPr>
            <w:tcW w:type="dxa" w:w="288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&lt;48 hours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i w:val="0"/>
          <w:color w:val="6DA34A"/>
          <w:sz w:val="24"/>
        </w:rPr>
        <w:t>Lagging indicators — check monthly and quarterly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Indicator</w:t>
            </w:r>
          </w:p>
        </w:tc>
        <w:tc>
          <w:tcPr>
            <w:tcW w:type="dxa" w:w="331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tells you</w:t>
            </w:r>
          </w:p>
        </w:tc>
        <w:tc>
          <w:tcPr>
            <w:tcW w:type="dxa" w:w="2880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Cost per qualified lead (CPL) by bucket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Which bucket delivers the most efficient leads?</w:t>
            </w:r>
          </w:p>
        </w:tc>
        <w:tc>
          <w:tcPr>
            <w:tcW w:type="dxa" w:w="288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Split by bucket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MQLs per month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Is pipeline building?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Define MQL criteria before launch</w:t>
            </w:r>
          </w:p>
        </w:tc>
      </w:tr>
      <w:tr>
        <w:tc>
          <w:tcPr>
            <w:tcW w:type="dxa" w:w="316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Sales-accepted leads (SALs)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Is the sales team seeing quality?</w:t>
            </w:r>
          </w:p>
        </w:tc>
        <w:tc>
          <w:tcPr>
            <w:tcW w:type="dxa" w:w="288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Track rep feedback per lead source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Pipeline sourced ($) from paid channels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What's the revenue potential?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Attribute in HubSpot</w:t>
            </w:r>
          </w:p>
        </w:tc>
      </w:tr>
      <w:tr>
        <w:tc>
          <w:tcPr>
            <w:tcW w:type="dxa" w:w="316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Deals closed from paid sources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What's the actual return?</w:t>
            </w:r>
          </w:p>
        </w:tc>
        <w:tc>
          <w:tcPr>
            <w:tcW w:type="dxa" w:w="288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90–180 day lag expected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Average deal ACV by lead source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Are paid leads higher value?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Compare vs. notary lead ACV</w:t>
            </w:r>
          </w:p>
        </w:tc>
      </w:tr>
      <w:tr>
        <w:tc>
          <w:tcPr>
            <w:tcW w:type="dxa" w:w="316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Transaction volume from new paid-sourced customers</w:t>
            </w:r>
          </w:p>
        </w:tc>
        <w:tc>
          <w:tcPr>
            <w:tcW w:type="dxa" w:w="331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Does it generate recurring revenue?</w:t>
            </w:r>
          </w:p>
        </w:tc>
        <w:tc>
          <w:tcPr>
            <w:tcW w:type="dxa" w:w="2880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The ultimate SIGNiX metric</w:t>
            </w:r>
          </w:p>
        </w:tc>
      </w:tr>
    </w:tbl>
    <w:p>
      <w:pPr>
        <w:spacing w:after="120"/>
      </w:pPr>
    </w:p>
    <w:p>
      <w:pPr>
        <w:pBdr>
          <w:bottom w:val="single" w:sz="4" w:space="1" w:color="d8dee9"/>
        </w:pBdr>
        <w:spacing w:before="80" w:after="80"/>
      </w:pPr>
    </w:p>
    <w:p>
      <w:pPr>
        <w:spacing w:before="360" w:after="12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32"/>
        </w:rPr>
        <w:t>7. 90-Day Launch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Week</w:t>
            </w:r>
          </w:p>
        </w:tc>
        <w:tc>
          <w:tcPr>
            <w:tcW w:type="dxa" w:w="7488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115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1–2</w:t>
            </w:r>
          </w:p>
        </w:tc>
        <w:tc>
          <w:tcPr>
            <w:tcW w:type="dxa" w:w="74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Pause all individual notary keyword spending; keep RON institutional terms at $100/month</w:t>
            </w:r>
          </w:p>
        </w:tc>
        <w:tc>
          <w:tcPr>
            <w:tcW w:type="dxa" w:w="115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Chris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1–2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Build compliance/FI landing page and healthcare/HIPAA landing page (two pages minimum before launch)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Chris + web</w:t>
            </w:r>
          </w:p>
        </w:tc>
      </w:tr>
      <w:tr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1–2</w:t>
            </w:r>
          </w:p>
        </w:tc>
        <w:tc>
          <w:tcPr>
            <w:tcW w:type="dxa" w:w="74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Set up HubSpot lead source tracking for paid search; confirm daily lead monitoring is in place</w:t>
            </w:r>
          </w:p>
        </w:tc>
        <w:tc>
          <w:tcPr>
            <w:tcW w:type="dxa" w:w="115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Chris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3–4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Launch Google Buckets 1–4 (compliance, authentication, wealth management, industry/use-case) at 80%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Chris</w:t>
            </w:r>
          </w:p>
        </w:tc>
      </w:tr>
      <w:tr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3–4</w:t>
            </w:r>
          </w:p>
        </w:tc>
        <w:tc>
          <w:tcPr>
            <w:tcW w:type="dxa" w:w="74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Confirm ad scheduling is set to 8am–5pm EST in Google Ads campaign settings</w:t>
            </w:r>
          </w:p>
        </w:tc>
        <w:tc>
          <w:tcPr>
            <w:tcW w:type="dxa" w:w="115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Chris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5–6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Review CTR and lead quality by bucket; pause underperforming ad variants; add legal/debt collection page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Chris</w:t>
            </w:r>
          </w:p>
        </w:tc>
      </w:tr>
      <w:tr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6–8</w:t>
            </w:r>
          </w:p>
        </w:tc>
        <w:tc>
          <w:tcPr>
            <w:tcW w:type="dxa" w:w="74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Launch Bucket 5 (competitor displacement); begin planning LinkedIn Phase 2 based on Google data</w:t>
            </w:r>
          </w:p>
        </w:tc>
        <w:tc>
          <w:tcPr>
            <w:tcW w:type="dxa" w:w="115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Chris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8–12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Review CPL by bucket; consolidate spend into top two or three buckets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Chris</w:t>
            </w:r>
          </w:p>
        </w:tc>
      </w:tr>
      <w:tr>
        <w:tc>
          <w:tcPr>
            <w:tcW w:type="dxa" w:w="864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12</w:t>
            </w:r>
          </w:p>
        </w:tc>
        <w:tc>
          <w:tcPr>
            <w:tcW w:type="dxa" w:w="7488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First 90-day report: CPL, pipeline sourced, SALs, ACV vs. notary benchmark; present LinkedIn Phase 2</w:t>
            </w:r>
          </w:p>
        </w:tc>
        <w:tc>
          <w:tcPr>
            <w:tcW w:type="dxa" w:w="1152"/>
            <w:shd w:val="clear" w:color="auto" w:fill="f8fafb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45454"/>
                <w:sz w:val="22"/>
              </w:rPr>
              <w:t>Chris → CEO</w:t>
            </w:r>
          </w:p>
        </w:tc>
      </w:tr>
    </w:tbl>
    <w:p>
      <w:pPr>
        <w:spacing w:after="120"/>
      </w:pPr>
    </w:p>
    <w:p>
      <w:pPr>
        <w:pBdr>
          <w:bottom w:val="single" w:sz="4" w:space="1" w:color="d8dee9"/>
        </w:pBdr>
        <w:spacing w:before="80" w:after="80"/>
      </w:pPr>
    </w:p>
    <w:p>
      <w:pPr>
        <w:spacing w:before="360" w:after="12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32"/>
        </w:rPr>
        <w:t>8. Rationale Summary</w:t>
      </w:r>
    </w:p>
    <w:p>
      <w:pPr>
        <w:spacing w:before="160" w:after="160"/>
        <w:ind w:left="576" w:right="576"/>
        <w:pBdr>
          <w:left w:val="single" w:sz="12" w:space="8" w:color="6da34a"/>
        </w:pBdr>
      </w:pPr>
      <w:r>
        <w:rPr>
          <w:rFonts w:ascii="Calibri" w:hAnsi="Calibri"/>
          <w:b w:val="0"/>
          <w:i/>
          <w:color w:val="545454"/>
          <w:sz w:val="22"/>
        </w:rPr>
        <w:t>We were spending money on leads that cost us more to close and onboard than they generate. We stopped that. With $3,000/month — Google only, running 8am to 5pm EST — we are going after buyers in three sectors where a disputed or fraudulent signature is a legal and financial event: financial services and healthcare, wealth management, and legal and debt collection. These buyers are searching right now. FINRA is flagging electronic records in active exams. HIPAA searches are up 191% in three months. FDCPA consent failures are a growing exposure for collections teams. Our message is simple: a click is not a signature. SIGNiX proves who signed. And unlike our competitors, we assign every customer a CSM who knows their workflow. We removed eight keywords with zero search volume in April 2026 and replaced them with workflow-specific terms where identity verification changes the outcome. We will know if this is working within 60 days.</w:t>
      </w:r>
    </w:p>
    <w:p>
      <w:pPr>
        <w:pBdr>
          <w:bottom w:val="single" w:sz="4" w:space="1" w:color="d8dee9"/>
        </w:pBdr>
        <w:spacing w:before="80" w:after="80"/>
      </w:pPr>
    </w:p>
    <w:p>
      <w:pPr>
        <w:spacing w:after="120"/>
      </w:pPr>
      <w:r>
        <w:rPr>
          <w:rFonts w:ascii="Calibri" w:hAnsi="Calibri"/>
          <w:b w:val="0"/>
          <w:i/>
          <w:color w:val="545454"/>
          <w:sz w:val="22"/>
        </w:rPr>
        <w:t>Last updated: April 6, 2026 — Rev 3. Updated to reflect keyword volume analysis (March 2025–February 2026): eight zero-volume keywords removed and documented in Section 3a; mortgage sector replaced by legal/debt collection; expanded keyword list across all buckets with workflow-specific, ID Verify-aligned terms.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