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i w:val="0"/>
          <w:color w:val="2E3440"/>
          <w:sz w:val="40"/>
        </w:rPr>
        <w:t>SIGNiX Paid Media — What This Means for the Sales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Prepared for</w:t>
            </w:r>
          </w:p>
        </w:tc>
        <w:tc>
          <w:tcPr>
            <w:tcW w:type="dxa" w:w="4824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18"/>
              </w:rPr>
              <w:t>Chief Revenue Officer — SIGNiX</w:t>
            </w:r>
          </w:p>
        </w:tc>
      </w:tr>
      <w:tr>
        <w:tc>
          <w:tcPr>
            <w:tcW w:type="dxa" w:w="18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Prepared by</w:t>
            </w:r>
          </w:p>
        </w:tc>
        <w:tc>
          <w:tcPr>
            <w:tcW w:type="dxa" w:w="4824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18"/>
              </w:rPr>
              <w:t>Chris, Head of Growth and Marketing</w:t>
            </w:r>
          </w:p>
        </w:tc>
      </w:tr>
      <w:tr>
        <w:tc>
          <w:tcPr>
            <w:tcW w:type="dxa" w:w="18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4824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18"/>
              </w:rPr>
              <w:t>April 6, 2026</w:t>
            </w:r>
          </w:p>
        </w:tc>
      </w:tr>
      <w:tr>
        <w:tc>
          <w:tcPr>
            <w:tcW w:type="dxa" w:w="18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4824"/>
            <w:shd w:val="clear" w:color="auto" w:fill="f8fafb"/>
          </w:tcPr>
          <w:p>
            <w:r>
              <w:rPr>
                <w:rFonts w:ascii="Calibri" w:hAnsi="Calibri"/>
                <w:b w:val="0"/>
                <w:i w:val="0"/>
                <w:color w:val="545454"/>
                <w:sz w:val="18"/>
              </w:rPr>
              <w:t>Set expectations, address concerns about lead volume, and show how sales wins with this approach.</w:t>
            </w:r>
          </w:p>
        </w:tc>
      </w:tr>
    </w:tbl>
    <w:p>
      <w:pPr>
        <w:spacing w:after="40"/>
      </w:pPr>
    </w:p>
    <w:p>
      <w:pPr>
        <w:pBdr>
          <w:bottom w:val="single" w:sz="4" w:space="1" w:color="d8dee9"/>
        </w:pBdr>
        <w:spacing w:before="60" w:after="60"/>
      </w:pPr>
    </w:p>
    <w:p>
      <w:pPr>
        <w:spacing w:before="200" w:after="8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26"/>
        </w:rPr>
        <w:t>The Short Version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We changed the keyword strategy in April. The goal is fewer, higher-quality leads. Not more volume. This brief explains what that means for the sales team and what you can expect in the next 60 days.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The concern about lead volume is fair. Here is why the numbers still work.</w:t>
      </w:r>
    </w:p>
    <w:p>
      <w:pPr>
        <w:pBdr>
          <w:bottom w:val="single" w:sz="4" w:space="1" w:color="d8dee9"/>
        </w:pBdr>
        <w:spacing w:before="60" w:after="60"/>
      </w:pPr>
    </w:p>
    <w:p>
      <w:pPr>
        <w:spacing w:before="200" w:after="8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26"/>
        </w:rPr>
        <w:t>Why We Changed the Approach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 xml:space="preserve">The previous keyword strategy used broad e-signature terms. Those terms attract small businesses and price shoppers. Our average closed deal is </w:t>
      </w:r>
      <w:r>
        <w:rPr>
          <w:rFonts w:ascii="Calibri" w:hAnsi="Calibri"/>
          <w:b/>
          <w:i w:val="0"/>
          <w:color w:val="2E3440"/>
          <w:sz w:val="20"/>
        </w:rPr>
        <w:t>$4,100</w:t>
      </w:r>
      <w:r>
        <w:rPr>
          <w:rFonts w:ascii="Calibri" w:hAnsi="Calibri"/>
          <w:b w:val="0"/>
          <w:i w:val="0"/>
          <w:color w:val="545454"/>
          <w:sz w:val="20"/>
        </w:rPr>
        <w:t>. That buyer does not search 'free DocuSign alternative.'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We tested 75+ keywords in Google Keyword Planner. Here is what we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Finding</w:t>
            </w:r>
          </w:p>
        </w:tc>
        <w:tc>
          <w:tcPr>
            <w:tcW w:type="dxa" w:w="54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We Did</w:t>
            </w:r>
          </w:p>
        </w:tc>
      </w:tr>
      <w:tr>
        <w:tc>
          <w:tcPr>
            <w:tcW w:type="dxa" w:w="403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</w:r>
            <w:r>
              <w:rPr>
                <w:rFonts w:ascii="Calibri" w:hAnsi="Calibri"/>
                <w:b/>
                <w:i w:val="0"/>
                <w:color w:val="2E3440"/>
                <w:sz w:val="20"/>
              </w:rPr>
              <w:t>15 keywords returned zero search volume</w:t>
            </w: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</w:r>
          </w:p>
        </w:tc>
        <w:tc>
          <w:tcPr>
            <w:tcW w:type="dxa" w:w="547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Removed. No budget allocated to dead terms.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4 high-volume competitor terms attract price shoppers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Excluded. 'Free DocuSign alternative' gets 1,900 searches/month. Not our buyer.</w:t>
            </w:r>
          </w:p>
        </w:tc>
      </w:tr>
      <w:tr>
        <w:tc>
          <w:tcPr>
            <w:tcW w:type="dxa" w:w="403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</w:r>
            <w:r>
              <w:rPr>
                <w:rFonts w:ascii="Calibri" w:hAnsi="Calibri"/>
                <w:b/>
                <w:i w:val="0"/>
                <w:color w:val="2E3440"/>
                <w:sz w:val="20"/>
              </w:rPr>
              <w:t>2 keywords validated with real buyer intent</w:t>
            </w: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</w:r>
          </w:p>
        </w:tc>
        <w:tc>
          <w:tcPr>
            <w:tcW w:type="dxa" w:w="547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beneficiary change form (390/mo) and HIPAA compliant e-signature (210/mo). Both in campaign.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docusign competitors gets 1,000 searches/month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Active. Strong intent. Already running.</w:t>
            </w:r>
          </w:p>
        </w:tc>
      </w:tr>
      <w:tr>
        <w:tc>
          <w:tcPr>
            <w:tcW w:type="dxa" w:w="403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~30 new workflow-specific keywords identified</w:t>
            </w:r>
          </w:p>
        </w:tc>
        <w:tc>
          <w:tcPr>
            <w:tcW w:type="dxa" w:w="547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In test queue for Q2. Volume data being collected now.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The new keywords target buyers with a specific problem: a compliance officer who needs HIPAA-compliant signing, a wealth manager who needs a beneficiary form signed with an audit trail, a collection agency that needs consent forms that hold up in court. Those buyers are worth chasing.</w:t>
      </w:r>
    </w:p>
    <w:p>
      <w:pPr>
        <w:pBdr>
          <w:bottom w:val="single" w:sz="4" w:space="1" w:color="d8dee9"/>
        </w:pBdr>
        <w:spacing w:before="60" w:after="60"/>
      </w:pPr>
    </w:p>
    <w:p>
      <w:pPr>
        <w:spacing w:before="200" w:after="8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26"/>
        </w:rPr>
        <w:t>What the Sales Team Can Expect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Lead volume will be lower than a broad campaign. That is by design. Here is the realistic 90-day picture: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Timeframe</w:t>
            </w:r>
          </w:p>
        </w:tc>
        <w:tc>
          <w:tcPr>
            <w:tcW w:type="dxa" w:w="230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Projected Qualified Leads</w:t>
            </w:r>
          </w:p>
        </w:tc>
        <w:tc>
          <w:tcPr>
            <w:tcW w:type="dxa" w:w="230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Closed Deals</w:t>
            </w:r>
          </w:p>
        </w:tc>
        <w:tc>
          <w:tcPr>
            <w:tcW w:type="dxa" w:w="302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Revenue (ACV)</w:t>
            </w:r>
          </w:p>
        </w:tc>
      </w:tr>
      <w:tr>
        <w:tc>
          <w:tcPr>
            <w:tcW w:type="dxa" w:w="187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Month 1–2</w:t>
            </w:r>
          </w:p>
        </w:tc>
        <w:tc>
          <w:tcPr>
            <w:tcW w:type="dxa" w:w="230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2–4 / month</w:t>
            </w:r>
          </w:p>
        </w:tc>
        <w:tc>
          <w:tcPr>
            <w:tcW w:type="dxa" w:w="230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0–1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Ramp phase. Baseline being set.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Month 3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4–8 / month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1–3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$4,100–$12,300</w:t>
            </w:r>
          </w:p>
        </w:tc>
      </w:tr>
      <w:tr>
        <w:tc>
          <w:tcPr>
            <w:tcW w:type="dxa" w:w="1872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Quarter total</w:t>
            </w:r>
          </w:p>
        </w:tc>
        <w:tc>
          <w:tcPr>
            <w:tcW w:type="dxa" w:w="230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12–24</w:t>
            </w:r>
          </w:p>
        </w:tc>
        <w:tc>
          <w:tcPr>
            <w:tcW w:type="dxa" w:w="230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2–4</w:t>
            </w:r>
          </w:p>
        </w:tc>
        <w:tc>
          <w:tcPr>
            <w:tcW w:type="dxa" w:w="302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$8,200–$16,400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Two to three closed deals puts this channel in positive ROI for the quarter. That is the benchmark. Transaction revenue from authenticated signings adds on top of ACV.</w:t>
      </w:r>
    </w:p>
    <w:p>
      <w:pPr>
        <w:spacing w:before="120" w:after="120"/>
        <w:ind w:left="432" w:right="432"/>
        <w:pBdr>
          <w:left w:val="single" w:sz="12" w:space="8" w:color="6da34a"/>
        </w:pBdr>
      </w:pPr>
      <w:r>
        <w:rPr>
          <w:rFonts w:ascii="Calibri" w:hAnsi="Calibri"/>
          <w:b w:val="0"/>
          <w:i/>
          <w:color w:val="545454"/>
          <w:sz w:val="20"/>
        </w:rPr>
        <w:t>Sending the team 50 unqualified leads at a 2% close rate produces 1 deal. Sending them 10 qualified leads at a 20% close rate produces 2 deals, with less time wasted. We are building toward the second scenario.</w:t>
      </w:r>
    </w:p>
    <w:p>
      <w:pPr>
        <w:pBdr>
          <w:bottom w:val="single" w:sz="4" w:space="1" w:color="d8dee9"/>
        </w:pBdr>
        <w:spacing w:before="60" w:after="60"/>
      </w:pPr>
    </w:p>
    <w:p>
      <w:pPr>
        <w:spacing w:before="200" w:after="8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26"/>
        </w:rPr>
        <w:t>What the Team Does While Leads Ramp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Paid media leads will build over 60 days. The sales team does not need to wait.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 xml:space="preserve">We built an </w:t>
      </w:r>
      <w:r>
        <w:rPr>
          <w:rFonts w:ascii="Calibri" w:hAnsi="Calibri"/>
          <w:b/>
          <w:i w:val="0"/>
          <w:color w:val="2E3440"/>
          <w:sz w:val="20"/>
        </w:rPr>
        <w:t>ABM Activity Scorecard</w:t>
      </w:r>
      <w:r>
        <w:rPr>
          <w:rFonts w:ascii="Calibri" w:hAnsi="Calibri"/>
          <w:b w:val="0"/>
          <w:i w:val="0"/>
          <w:color w:val="545454"/>
          <w:sz w:val="20"/>
        </w:rPr>
        <w:t xml:space="preserve"> so the team can track outbound prospecting alongside inbound leads. Both count toward activity. Both show up in the numbers.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i w:val="0"/>
          <w:color w:val="545454"/>
          <w:sz w:val="20"/>
        </w:rPr>
        <w:t>Each rep identifies 5–10 target accounts per week from the ICP list.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i w:val="0"/>
          <w:color w:val="545454"/>
          <w:sz w:val="20"/>
        </w:rPr>
        <w:t>Touches (email, LinkedIn, call) are logged in the scorecard.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i w:val="0"/>
          <w:color w:val="545454"/>
          <w:sz w:val="20"/>
        </w:rPr>
        <w:t>Meeting status, content sent, and next steps are tracked in one view.</w:t>
      </w:r>
    </w:p>
    <w:p>
      <w:pPr>
        <w:pStyle w:val="ListBullet"/>
        <w:spacing w:after="40"/>
        <w:ind w:left="288"/>
      </w:pPr>
      <w:r>
        <w:rPr>
          <w:rFonts w:ascii="Calibri" w:hAnsi="Calibri"/>
          <w:b w:val="0"/>
          <w:i w:val="0"/>
          <w:color w:val="545454"/>
          <w:sz w:val="20"/>
        </w:rPr>
        <w:t>Scorecard is reviewed weekly. Activity is visible to leadership.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This is not extra work. It replaces waiting for the phone to ring with a structured outbound motion that the team controls. The scorecard is ready now.</w:t>
      </w:r>
    </w:p>
    <w:p>
      <w:pPr>
        <w:pBdr>
          <w:bottom w:val="single" w:sz="4" w:space="1" w:color="d8dee9"/>
        </w:pBdr>
        <w:spacing w:before="60" w:after="60"/>
      </w:pPr>
    </w:p>
    <w:p>
      <w:pPr>
        <w:spacing w:before="200" w:after="80"/>
        <w:pBdr>
          <w:bottom w:val="single" w:sz="6" w:space="4" w:color="6da34a"/>
        </w:pBdr>
      </w:pPr>
      <w:r>
        <w:rPr>
          <w:rFonts w:ascii="Calibri" w:hAnsi="Calibri"/>
          <w:b/>
          <w:i w:val="0"/>
          <w:color w:val="2E3440"/>
          <w:sz w:val="26"/>
        </w:rPr>
        <w:t>One Ask from Marketing</w:t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</w:r>
      <w:r>
        <w:rPr>
          <w:rFonts w:ascii="Calibri" w:hAnsi="Calibri"/>
          <w:b/>
          <w:i w:val="0"/>
          <w:color w:val="2E3440"/>
          <w:sz w:val="20"/>
        </w:rPr>
        <w:t>Respond to every paid media lead within 24 hours.</w:t>
      </w:r>
      <w:r>
        <w:rPr>
          <w:rFonts w:ascii="Calibri" w:hAnsi="Calibri"/>
          <w:b w:val="0"/>
          <w:i w:val="0"/>
          <w:color w:val="545454"/>
          <w:sz w:val="20"/>
        </w:rPr>
      </w:r>
    </w:p>
    <w:p>
      <w:pPr>
        <w:spacing w:after="80"/>
      </w:pPr>
      <w:r>
        <w:rPr>
          <w:rFonts w:ascii="Calibri" w:hAnsi="Calibri"/>
          <w:b w:val="0"/>
          <w:i w:val="0"/>
          <w:color w:val="545454"/>
          <w:sz w:val="20"/>
        </w:rPr>
        <w:t>A qualified lead that goes cold is $4,100 left on the table. The keywords we are running attract buyers with a specific problem. Those buyers are also talking to one or two competitors. Speed is the difference between a meeting and a missed deal.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60-Day Success Benchmark</w:t>
            </w:r>
          </w:p>
        </w:tc>
        <w:tc>
          <w:tcPr>
            <w:tcW w:type="dxa" w:w="2016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2304"/>
            <w:shd w:val="clear" w:color="auto" w:fill="2e34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Who Owns It</w:t>
            </w:r>
          </w:p>
        </w:tc>
      </w:tr>
      <w:tr>
        <w:tc>
          <w:tcPr>
            <w:tcW w:type="dxa" w:w="374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Qualified leads per month</w:t>
            </w:r>
          </w:p>
        </w:tc>
        <w:tc>
          <w:tcPr>
            <w:tcW w:type="dxa" w:w="2016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2–8</w:t>
            </w:r>
          </w:p>
        </w:tc>
        <w:tc>
          <w:tcPr>
            <w:tcW w:type="dxa" w:w="230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Marketing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Lead response time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Under 24 hrs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Sales</w:t>
            </w:r>
          </w:p>
        </w:tc>
      </w:tr>
      <w:tr>
        <w:tc>
          <w:tcPr>
            <w:tcW w:type="dxa" w:w="374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Sales-accepted leads (SALs)</w:t>
            </w:r>
          </w:p>
        </w:tc>
        <w:tc>
          <w:tcPr>
            <w:tcW w:type="dxa" w:w="2016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1+ per month</w:t>
            </w:r>
          </w:p>
        </w:tc>
        <w:tc>
          <w:tcPr>
            <w:tcW w:type="dxa" w:w="230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Sales + Marketing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Active late-stage opportunity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1 by Day 60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Sales</w:t>
            </w:r>
          </w:p>
        </w:tc>
      </w:tr>
      <w:tr>
        <w:tc>
          <w:tcPr>
            <w:tcW w:type="dxa" w:w="374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ABM accounts touched per rep/week</w:t>
            </w:r>
          </w:p>
        </w:tc>
        <w:tc>
          <w:tcPr>
            <w:tcW w:type="dxa" w:w="2016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5+</w:t>
            </w:r>
          </w:p>
        </w:tc>
        <w:tc>
          <w:tcPr>
            <w:tcW w:type="dxa" w:w="2304"/>
            <w:shd w:val="clear" w:color="auto" w:fill="f8fafb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545454"/>
                <w:sz w:val="20"/>
              </w:rPr>
              <w:t>Sales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hAnsi="Calibri"/>
          <w:b w:val="0"/>
          <w:i/>
          <w:color w:val="545454"/>
          <w:sz w:val="20"/>
        </w:rPr>
        <w:t>If we hit these benchmarks, we expand the budget and launch LinkedIn outreach in Q3. If we miss, we adjust. Every decision is data-driven from here.</w:t>
      </w:r>
    </w:p>
    <w:p>
      <w:pPr>
        <w:pBdr>
          <w:bottom w:val="single" w:sz="4" w:space="1" w:color="d8dee9"/>
        </w:pBdr>
        <w:spacing w:before="60" w:after="60"/>
      </w:pPr>
    </w:p>
    <w:p>
      <w:pPr>
        <w:spacing w:after="80"/>
      </w:pPr>
      <w:r>
        <w:rPr>
          <w:rFonts w:ascii="Calibri" w:hAnsi="Calibri"/>
          <w:b w:val="0"/>
          <w:i/>
          <w:color w:val="545454"/>
          <w:sz w:val="20"/>
        </w:rPr>
        <w:t>April 6, 2026  ·  Chris, Head of Growth and Marketing  ·  SIGNiX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