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i w:val="0"/>
          <w:color w:val="2E3440"/>
          <w:sz w:val="44"/>
        </w:rPr>
        <w:t>Management Meeting — Talking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34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01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Presenter</w:t>
            </w:r>
          </w:p>
        </w:tc>
        <w:tc>
          <w:tcPr>
            <w:tcW w:type="dxa" w:w="73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 Teague, Head of Growth and Marketing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Date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April 13, 2026</w:t>
            </w:r>
          </w:p>
        </w:tc>
      </w:tr>
      <w:tr>
        <w:tc>
          <w:tcPr>
            <w:tcW w:type="dxa" w:w="201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Dashboards</w:t>
            </w:r>
          </w:p>
        </w:tc>
        <w:tc>
          <w:tcPr>
            <w:tcW w:type="dxa" w:w="73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Marketing Dashboard · TruStage Portfolio Dashboard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Order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Lead with Marketing. Close with TruStage.</w:t>
            </w:r>
          </w:p>
        </w:tc>
      </w:tr>
    </w:tbl>
    <w:p>
      <w:pPr>
        <w:spacing w:after="80"/>
      </w:pPr>
    </w:p>
    <w:p>
      <w:pPr>
        <w:spacing w:before="120" w:after="12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The marketing dashboard shows how we're bringing new leads in. The TruStage dashboard shows the revenue opportunity we already have.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2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0"/>
        </w:rPr>
        <w:t>Part 1 — Marketing Dashboard</w:t>
      </w:r>
    </w:p>
    <w:p>
      <w:pPr>
        <w:spacing w:after="10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Lead with:</w:t>
      </w:r>
      <w:r>
        <w:rPr>
          <w:rFonts w:ascii="Calibri" w:hAnsi="Calibri"/>
          <w:b w:val="0"/>
          <w:i w:val="0"/>
          <w:color w:val="545454"/>
          <w:sz w:val="22"/>
        </w:rPr>
        <w:t xml:space="preserve"> "We launched Google Ads on April 9th. Here's where we stand after the first month of data."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1 — The top of the funnel is working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$5,006 spent over 30 days (March 9 – April 7, 2026)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1,224 clicks. 36 form submissions. Cost per lead: $139.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Branded campaign outperforming RON: 35.6% CTR vs. 5.9% on RON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Branded cost per lead: $48. RON cost per lead: $266.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2 — We fixed three problems immediately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Off-hours spend fixed:</w:t>
      </w:r>
      <w:r>
        <w:rPr>
          <w:rFonts w:ascii="Calibri" w:hAnsi="Calibri"/>
          <w:b w:val="0"/>
          <w:i w:val="0"/>
          <w:color w:val="545454"/>
          <w:sz w:val="22"/>
        </w:rPr>
        <w:t xml:space="preserve"> 31% of spend ($1,560) was running outside business hours. Now restricted to M–F, 9–5 EST.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Zero-conversion keywords paused:</w:t>
      </w:r>
      <w:r>
        <w:rPr>
          <w:rFonts w:ascii="Calibri" w:hAnsi="Calibri"/>
          <w:b w:val="0"/>
          <w:i w:val="0"/>
          <w:color w:val="545454"/>
          <w:sz w:val="22"/>
        </w:rPr>
        <w:t xml:space="preserve"> 41 keywords burned $2,227 (44% of total spend) with zero leads. Paused.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Budget locked:</w:t>
      </w:r>
      <w:r>
        <w:rPr>
          <w:rFonts w:ascii="Calibri" w:hAnsi="Calibri"/>
          <w:b w:val="0"/>
          <w:i w:val="0"/>
          <w:color w:val="545454"/>
          <w:sz w:val="22"/>
        </w:rPr>
        <w:t xml:space="preserve"> $100/day = $3,000/month. Was running higher. Now controlled.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Net savings from these changes: ~$1,470/month redirected to performing keywords.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3 — Lead follow-up is the open issue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 xml:space="preserve">Average response time to a paid lead: </w:t>
      </w:r>
      <w:r>
        <w:rPr>
          <w:rFonts w:ascii="Calibri" w:hAnsi="Calibri"/>
          <w:b/>
          <w:i w:val="0"/>
          <w:color w:val="2E3440"/>
          <w:sz w:val="22"/>
        </w:rPr>
        <w:t>2.2 days</w:t>
      </w:r>
      <w:r>
        <w:rPr>
          <w:rFonts w:ascii="Calibri" w:hAnsi="Calibri"/>
          <w:b w:val="0"/>
          <w:i w:val="0"/>
          <w:color w:val="545454"/>
          <w:sz w:val="22"/>
        </w:rPr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0 out of 8 leads</w:t>
      </w:r>
      <w:r>
        <w:rPr>
          <w:rFonts w:ascii="Calibri" w:hAnsi="Calibri"/>
          <w:b w:val="0"/>
          <w:i w:val="0"/>
          <w:color w:val="545454"/>
          <w:sz w:val="22"/>
        </w:rPr>
        <w:t xml:space="preserve"> contacted within 5 minutes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1 out of 8 contacted within 10 minutes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3 leads waited 24+ hours before any contact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The ads are generating leads. The team needs to respond faster.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If asked about pipeline</w:t>
      </w:r>
    </w:p>
    <w:p>
      <w:pPr>
        <w:spacing w:after="100"/>
      </w:pPr>
      <w:r>
        <w:rPr>
          <w:rFonts w:ascii="Calibri" w:hAnsi="Calibri"/>
          <w:b w:val="0"/>
          <w:i w:val="0"/>
          <w:color w:val="545454"/>
          <w:sz w:val="22"/>
        </w:rPr>
        <w:t>"The pipeline section of the dashboard is pending. We need a HubSpot export by deal stage to populate it. That's the next data connection we're building."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Phase 2 — coming May 7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Three new campaigns launch the week of May 7: Healthcare/Consent, Wealth Management, and Authentication/PKI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Rep assignments confirmed: Aspen primary on all new campaigns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2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0"/>
        </w:rPr>
        <w:t>Part 2 — TruStage Portfolio Dashboard</w:t>
      </w:r>
    </w:p>
    <w:p>
      <w:pPr>
        <w:spacing w:after="10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Lead with:</w:t>
      </w:r>
      <w:r>
        <w:rPr>
          <w:rFonts w:ascii="Calibri" w:hAnsi="Calibri"/>
          <w:b w:val="0"/>
          <w:i w:val="0"/>
          <w:color w:val="545454"/>
          <w:sz w:val="22"/>
        </w:rPr>
        <w:t xml:space="preserve"> "This is the depth-lever story. We already have these customers. The question is whether they're using authentication."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1 — Transaction volume is growing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14,087 total transactions tracked: January 2024 through March 2026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2024: 4,698 transactions. 2025: 6,552 (+39% YoY). 2026 Q1: 2,837 (~945/month).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Pace is accelerating. The base is healthy.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2 — The authentication gap is real and quantifiable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 xml:space="preserve">Overall auth rate across managed portfolio: </w:t>
      </w:r>
      <w:r>
        <w:rPr>
          <w:rFonts w:ascii="Calibri" w:hAnsi="Calibri"/>
          <w:b/>
          <w:i w:val="0"/>
          <w:color w:val="2E3440"/>
          <w:sz w:val="22"/>
        </w:rPr>
        <w:t>61.5%</w:t>
      </w:r>
      <w:r>
        <w:rPr>
          <w:rFonts w:ascii="Calibri" w:hAnsi="Calibri"/>
          <w:b w:val="0"/>
          <w:i w:val="0"/>
          <w:color w:val="545454"/>
          <w:sz w:val="22"/>
        </w:rPr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~40% of transacting FIs use zero or near-zero authentication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Greenville Federal Bank:</w:t>
      </w:r>
      <w:r>
        <w:rPr>
          <w:rFonts w:ascii="Calibri" w:hAnsi="Calibri"/>
          <w:b w:val="0"/>
          <w:i w:val="0"/>
          <w:color w:val="545454"/>
          <w:sz w:val="22"/>
        </w:rPr>
        <w:t xml:space="preserve"> 403 transactions. Zero authentications.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Commercial Bank of Texas:</w:t>
      </w:r>
      <w:r>
        <w:rPr>
          <w:rFonts w:ascii="Calibri" w:hAnsi="Calibri"/>
          <w:b w:val="0"/>
          <w:i w:val="0"/>
          <w:color w:val="545454"/>
          <w:sz w:val="22"/>
        </w:rPr>
        <w:t xml:space="preserve"> 610 transactions. 0.7% auth rate.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First National Bank of Aspermont:</w:t>
      </w:r>
      <w:r>
        <w:rPr>
          <w:rFonts w:ascii="Calibri" w:hAnsi="Calibri"/>
          <w:b w:val="0"/>
          <w:i w:val="0"/>
          <w:color w:val="545454"/>
          <w:sz w:val="22"/>
        </w:rPr>
        <w:t xml:space="preserve"> 289 transactions. 5.2% auth rate.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No new customers needed. These are existing accounts leaving revenue on the table.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Point 3 — One account needs immediate attention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Old Monroe</w:t>
      </w:r>
      <w:r>
        <w:rPr>
          <w:rFonts w:ascii="Calibri" w:hAnsi="Calibri"/>
          <w:b w:val="0"/>
          <w:i w:val="0"/>
          <w:color w:val="545454"/>
          <w:sz w:val="22"/>
        </w:rPr>
        <w:t xml:space="preserve"> was our flagship ID Verify account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ID Verify usage has declined every month since December: 16 → 10 → 6 → 9 → 1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This is a churn signal. It needs a CSM call this week.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If asked about channel mix</w:t>
      </w:r>
    </w:p>
    <w:p>
      <w:pPr>
        <w:spacing w:after="100"/>
      </w:pPr>
      <w:r>
        <w:rPr>
          <w:rFonts w:ascii="Calibri" w:hAnsi="Calibri"/>
          <w:b w:val="0"/>
          <w:i w:val="0"/>
          <w:color w:val="545454"/>
          <w:sz w:val="22"/>
        </w:rPr>
        <w:t>"API adoption is at 51% in Q1 2026. MyDoX is still at 49%. API integrations are where the deal thesis lives. We need that number to move."</w:t>
      </w:r>
    </w:p>
    <w:p>
      <w:pPr>
        <w:spacing w:before="200" w:after="60"/>
      </w:pPr>
      <w:r>
        <w:rPr>
          <w:rFonts w:ascii="Calibri" w:hAnsi="Calibri"/>
          <w:b/>
          <w:i w:val="0"/>
          <w:color w:val="6DA34A"/>
          <w:sz w:val="24"/>
        </w:rPr>
        <w:t>If asked about revenue potential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SMS auth: $0.25/event. ID Verify: $1.50/event.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10 zero-auth accounts represent ~$9/month SMS potential if activated at baseline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At scale, each activated account compounds — every transaction becomes a potential auth event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2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0"/>
        </w:rPr>
        <w:t>Key Numbers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Number</w:t>
            </w:r>
          </w:p>
        </w:tc>
        <w:tc>
          <w:tcPr>
            <w:tcW w:type="dxa" w:w="374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40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 It When...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$139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Cost per lead (Google Ads)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Asked about paid media efficiency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$48 vs $266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Branded CPL vs. RON CPL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Asked which campaign performs better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36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Form submissions this period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Asked about lead volume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2.2 days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Avg. lead response time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Discussing sales follow-up urgency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 / 8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Leads contacted within 5 minutes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Making the response time point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$1,470/mo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Spend recaptured by pausing bad keywords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Showing proactive optimization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14,087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Total TruStage transactions tracked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Setting the scale of the opportunity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+39%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YoY transaction growth 2024 to 2025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Showing the base is healthy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61.5%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Overall portfolio auth rate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Establishing auth baseline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~40%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FIs at zero or near-zero auth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Making the depth-lever argument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403 / 0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Greenville Federal: transactions / auths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Concrete zero-auth example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610 / 0.7%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Commercial Bank of TX: trans / auth rate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Second concrete zero-auth example</w:t>
            </w:r>
          </w:p>
        </w:tc>
      </w:tr>
      <w:tr>
        <w:tc>
          <w:tcPr>
            <w:tcW w:type="dxa" w:w="158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51% API</w:t>
            </w:r>
          </w:p>
        </w:tc>
        <w:tc>
          <w:tcPr>
            <w:tcW w:type="dxa" w:w="374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API share of Q1 2026 transactions</w:t>
            </w:r>
          </w:p>
        </w:tc>
        <w:tc>
          <w:tcPr>
            <w:tcW w:type="dxa" w:w="40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If asked about channel mix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May 7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Phase 2 Google Ads launch date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Showing what's coming next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after="100"/>
      </w:pPr>
      <w:r>
        <w:rPr>
          <w:rFonts w:ascii="Calibri" w:hAnsi="Calibri"/>
          <w:b w:val="0"/>
          <w:i/>
          <w:color w:val="545454"/>
          <w:sz w:val="22"/>
        </w:rPr>
        <w:t>Prepared by Delford for Chris Teague · April 13, 2026 · SIGNiX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