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pPr>
      <w:r>
        <w:rPr>
          <w:rFonts w:ascii="Calibri" w:hAnsi="Calibri"/>
          <w:b/>
          <w:i w:val="0"/>
          <w:color w:val="2E3440"/>
          <w:sz w:val="44"/>
        </w:rPr>
        <w:t>SIGNiX Google Ads — 90-Day Measurement Timeline</w:t>
      </w:r>
    </w:p>
    <w:tbl>
      <w:tblPr>
        <w:tblStyle w:val="TableGrid"/>
        <w:tblW w:type="auto" w:w="0"/>
        <w:tblLook w:firstColumn="1" w:firstRow="1" w:lastColumn="0" w:lastRow="0" w:noHBand="0" w:noVBand="1" w:val="04A0"/>
      </w:tblPr>
      <w:tblGrid>
        <w:gridCol w:w="4680"/>
        <w:gridCol w:w="4680"/>
      </w:tblGrid>
      <w:tr>
        <w:tc>
          <w:tcPr>
            <w:tcW w:type="dxa" w:w="2160"/>
            <w:shd w:val="clear" w:color="auto" w:fill="2e3440"/>
          </w:tcPr>
          <w:p>
            <w:r>
              <w:rPr>
                <w:rFonts w:ascii="Calibri" w:hAnsi="Calibri"/>
                <w:b/>
                <w:i w:val="0"/>
                <w:color w:val="FFFFFF"/>
                <w:sz w:val="20"/>
              </w:rPr>
              <w:t>Prepared by</w:t>
            </w:r>
          </w:p>
        </w:tc>
        <w:tc>
          <w:tcPr>
            <w:tcW w:type="dxa" w:w="4680"/>
            <w:shd w:val="clear" w:color="auto" w:fill="f8fafb"/>
          </w:tcPr>
          <w:p>
            <w:r>
              <w:rPr>
                <w:rFonts w:ascii="Calibri" w:hAnsi="Calibri"/>
                <w:b w:val="0"/>
                <w:i w:val="0"/>
                <w:color w:val="545454"/>
                <w:sz w:val="20"/>
              </w:rPr>
              <w:t>Chris Teague, Head of Growth and Marketing</w:t>
            </w:r>
          </w:p>
        </w:tc>
      </w:tr>
      <w:tr>
        <w:tc>
          <w:tcPr>
            <w:tcW w:type="dxa" w:w="2160"/>
            <w:shd w:val="clear" w:color="auto" w:fill="2e3440"/>
          </w:tcPr>
          <w:p>
            <w:r>
              <w:rPr>
                <w:rFonts w:ascii="Calibri" w:hAnsi="Calibri"/>
                <w:b/>
                <w:i w:val="0"/>
                <w:color w:val="FFFFFF"/>
                <w:sz w:val="20"/>
              </w:rPr>
              <w:t>Date</w:t>
            </w:r>
          </w:p>
        </w:tc>
        <w:tc>
          <w:tcPr>
            <w:tcW w:type="dxa" w:w="4680"/>
            <w:shd w:val="clear" w:color="auto" w:fill="f8fafb"/>
          </w:tcPr>
          <w:p>
            <w:r>
              <w:rPr>
                <w:rFonts w:ascii="Calibri" w:hAnsi="Calibri"/>
                <w:b w:val="0"/>
                <w:i w:val="0"/>
                <w:color w:val="545454"/>
                <w:sz w:val="20"/>
              </w:rPr>
              <w:t>April 2026</w:t>
            </w:r>
          </w:p>
        </w:tc>
      </w:tr>
      <w:tr>
        <w:tc>
          <w:tcPr>
            <w:tcW w:type="dxa" w:w="2160"/>
            <w:shd w:val="clear" w:color="auto" w:fill="2e3440"/>
          </w:tcPr>
          <w:p>
            <w:r>
              <w:rPr>
                <w:rFonts w:ascii="Calibri" w:hAnsi="Calibri"/>
                <w:b/>
                <w:i w:val="0"/>
                <w:color w:val="FFFFFF"/>
                <w:sz w:val="20"/>
              </w:rPr>
              <w:t>Campaign</w:t>
            </w:r>
          </w:p>
        </w:tc>
        <w:tc>
          <w:tcPr>
            <w:tcW w:type="dxa" w:w="4680"/>
            <w:shd w:val="clear" w:color="auto" w:fill="f8fafb"/>
          </w:tcPr>
          <w:p>
            <w:r>
              <w:rPr>
                <w:rFonts w:ascii="Calibri" w:hAnsi="Calibri"/>
                <w:b w:val="0"/>
                <w:i w:val="0"/>
                <w:color w:val="545454"/>
                <w:sz w:val="20"/>
              </w:rPr>
              <w:t>Three audience ad groups — Authentication/Fraud, Wealth Management, Debt/Legal/RON</w:t>
            </w:r>
          </w:p>
        </w:tc>
      </w:tr>
      <w:tr>
        <w:tc>
          <w:tcPr>
            <w:tcW w:type="dxa" w:w="2160"/>
            <w:shd w:val="clear" w:color="auto" w:fill="2e3440"/>
          </w:tcPr>
          <w:p>
            <w:r>
              <w:rPr>
                <w:rFonts w:ascii="Calibri" w:hAnsi="Calibri"/>
                <w:b/>
                <w:i w:val="0"/>
                <w:color w:val="FFFFFF"/>
                <w:sz w:val="20"/>
              </w:rPr>
              <w:t>Budget</w:t>
            </w:r>
          </w:p>
        </w:tc>
        <w:tc>
          <w:tcPr>
            <w:tcW w:type="dxa" w:w="4680"/>
            <w:shd w:val="clear" w:color="auto" w:fill="f8fafb"/>
          </w:tcPr>
          <w:p>
            <w:r>
              <w:rPr>
                <w:rFonts w:ascii="Calibri" w:hAnsi="Calibri"/>
                <w:b w:val="0"/>
                <w:i w:val="0"/>
                <w:color w:val="545454"/>
                <w:sz w:val="20"/>
              </w:rPr>
              <w:t>~$3,000/month</w:t>
            </w:r>
          </w:p>
        </w:tc>
      </w:tr>
      <w:tr>
        <w:tc>
          <w:tcPr>
            <w:tcW w:type="dxa" w:w="2160"/>
            <w:shd w:val="clear" w:color="auto" w:fill="2e3440"/>
          </w:tcPr>
          <w:p>
            <w:r>
              <w:rPr>
                <w:rFonts w:ascii="Calibri" w:hAnsi="Calibri"/>
                <w:b/>
                <w:i w:val="0"/>
                <w:color w:val="FFFFFF"/>
                <w:sz w:val="20"/>
              </w:rPr>
              <w:t>Sales cycle</w:t>
            </w:r>
          </w:p>
        </w:tc>
        <w:tc>
          <w:tcPr>
            <w:tcW w:type="dxa" w:w="4680"/>
            <w:shd w:val="clear" w:color="auto" w:fill="f8fafb"/>
          </w:tcPr>
          <w:p>
            <w:r>
              <w:rPr>
                <w:rFonts w:ascii="Calibri" w:hAnsi="Calibri"/>
                <w:b w:val="0"/>
                <w:i w:val="0"/>
                <w:color w:val="545454"/>
                <w:sz w:val="20"/>
              </w:rPr>
              <w:t>60 to 90 days average close time</w:t>
            </w:r>
          </w:p>
        </w:tc>
      </w:tr>
      <w:tr>
        <w:tc>
          <w:tcPr>
            <w:tcW w:type="dxa" w:w="2160"/>
            <w:shd w:val="clear" w:color="auto" w:fill="2e3440"/>
          </w:tcPr>
          <w:p>
            <w:r>
              <w:rPr>
                <w:rFonts w:ascii="Calibri" w:hAnsi="Calibri"/>
                <w:b/>
                <w:i w:val="0"/>
                <w:color w:val="FFFFFF"/>
                <w:sz w:val="20"/>
              </w:rPr>
              <w:t>Audience</w:t>
            </w:r>
          </w:p>
        </w:tc>
        <w:tc>
          <w:tcPr>
            <w:tcW w:type="dxa" w:w="4680"/>
            <w:shd w:val="clear" w:color="auto" w:fill="f8fafb"/>
          </w:tcPr>
          <w:p>
            <w:r>
              <w:rPr>
                <w:rFonts w:ascii="Calibri" w:hAnsi="Calibri"/>
                <w:b w:val="0"/>
                <w:i w:val="0"/>
                <w:color w:val="545454"/>
                <w:sz w:val="20"/>
              </w:rPr>
              <w:t>CRO, CEO</w:t>
            </w:r>
          </w:p>
        </w:tc>
      </w:tr>
    </w:tbl>
    <w:p>
      <w:pPr>
        <w:spacing w:after="120"/>
      </w:pPr>
    </w:p>
    <w:p>
      <w:pPr>
        <w:spacing w:before="120" w:after="120"/>
        <w:ind w:left="576" w:right="576"/>
        <w:pBdr>
          <w:left w:val="single" w:sz="12" w:space="8" w:color="6da34a"/>
        </w:pBdr>
      </w:pPr>
      <w:r>
        <w:rPr>
          <w:rFonts w:ascii="Calibri" w:hAnsi="Calibri"/>
          <w:b w:val="0"/>
          <w:i/>
          <w:color w:val="545454"/>
          <w:sz w:val="22"/>
        </w:rPr>
        <w:t>Our average sales cycle is 60 to 90 days. Judging this campaign on closed revenue at 30 days is the wrong measure. This document sets the right benchmarks at each stage so we protect the campaign and make informed decisions.</w:t>
      </w:r>
    </w:p>
    <w:p>
      <w:pPr>
        <w:pBdr>
          <w:bottom w:val="single" w:sz="4" w:space="1" w:color="d8dee9"/>
        </w:pBdr>
        <w:spacing w:before="80" w:after="80"/>
      </w:pPr>
    </w:p>
    <w:p>
      <w:pPr>
        <w:spacing w:before="280" w:after="80"/>
        <w:pBdr>
          <w:bottom w:val="single" w:sz="6" w:space="4" w:color="6da34a"/>
        </w:pBdr>
      </w:pPr>
      <w:r>
        <w:rPr>
          <w:rFonts w:ascii="Calibri" w:hAnsi="Calibri"/>
          <w:b/>
          <w:i w:val="0"/>
          <w:color w:val="2E3440"/>
          <w:sz w:val="28"/>
        </w:rPr>
        <w:t>Why the Sales Cycle Changes How We Measure</w:t>
      </w:r>
    </w:p>
    <w:p>
      <w:pPr>
        <w:spacing w:after="100"/>
      </w:pPr>
      <w:r>
        <w:rPr>
          <w:rFonts w:ascii="Calibri" w:hAnsi="Calibri"/>
          <w:b w:val="0"/>
          <w:i w:val="0"/>
          <w:color w:val="545454"/>
          <w:sz w:val="22"/>
        </w:rPr>
        <w:t>A prospect who fills out our demo form today will not close until June or July at the earliest. That is not a campaign failure. That is our sales cycle working normally.</w:t>
      </w:r>
    </w:p>
    <w:p>
      <w:pPr>
        <w:spacing w:after="100"/>
      </w:pPr>
      <w:r>
        <w:rPr>
          <w:rFonts w:ascii="Calibri" w:hAnsi="Calibri"/>
          <w:b w:val="0"/>
          <w:i w:val="0"/>
          <w:color w:val="545454"/>
          <w:sz w:val="22"/>
        </w:rPr>
        <w:t>If we measure only closed deals at 30 days, we will always see zero. That creates pressure to pull budget from a campaign that may already be filling the pipeline. This framework prevents that.</w:t>
      </w:r>
    </w:p>
    <w:p>
      <w:pPr>
        <w:spacing w:after="100"/>
      </w:pPr>
      <w:r>
        <w:rPr>
          <w:rFonts w:ascii="Calibri" w:hAnsi="Calibri"/>
          <w:b w:val="0"/>
          <w:i w:val="0"/>
          <w:color w:val="545454"/>
          <w:sz w:val="22"/>
        </w:rPr>
      </w:r>
      <w:r>
        <w:rPr>
          <w:rFonts w:ascii="Calibri" w:hAnsi="Calibri"/>
          <w:b/>
          <w:i w:val="0"/>
          <w:color w:val="2E3440"/>
          <w:sz w:val="22"/>
        </w:rPr>
        <w:t>Each phase has its own success signal.</w:t>
      </w:r>
      <w:r>
        <w:rPr>
          <w:rFonts w:ascii="Calibri" w:hAnsi="Calibri"/>
          <w:b w:val="0"/>
          <w:i w:val="0"/>
          <w:color w:val="545454"/>
          <w:sz w:val="22"/>
        </w:rPr>
        <w:t xml:space="preserve"> Meet the phase benchmark and the campaign is on track, even before a deal closes.</w:t>
      </w:r>
    </w:p>
    <w:p>
      <w:pPr>
        <w:pBdr>
          <w:bottom w:val="single" w:sz="4" w:space="1" w:color="d8dee9"/>
        </w:pBdr>
        <w:spacing w:before="80" w:after="80"/>
      </w:pPr>
    </w:p>
    <w:p>
      <w:pPr>
        <w:spacing w:before="280" w:after="80"/>
        <w:pBdr>
          <w:bottom w:val="single" w:sz="6" w:space="4" w:color="6da34a"/>
        </w:pBdr>
      </w:pPr>
      <w:r>
        <w:rPr>
          <w:rFonts w:ascii="Calibri" w:hAnsi="Calibri"/>
          <w:b/>
          <w:i w:val="0"/>
          <w:color w:val="2E3440"/>
          <w:sz w:val="28"/>
        </w:rPr>
        <w:t>Phase 1 — Days 1 to 30: Is the Targeting Working?</w:t>
      </w:r>
    </w:p>
    <w:p>
      <w:pPr>
        <w:spacing w:before="200" w:after="60"/>
      </w:pPr>
      <w:r>
        <w:rPr>
          <w:rFonts w:ascii="Calibri" w:hAnsi="Calibri"/>
          <w:b/>
          <w:i w:val="0"/>
          <w:color w:val="6DA34A"/>
          <w:sz w:val="24"/>
        </w:rPr>
        <w:t>What we are measuring</w:t>
      </w:r>
    </w:p>
    <w:p>
      <w:pPr>
        <w:spacing w:after="100"/>
      </w:pPr>
      <w:r>
        <w:rPr>
          <w:rFonts w:ascii="Calibri" w:hAnsi="Calibri"/>
          <w:b w:val="0"/>
          <w:i w:val="0"/>
          <w:color w:val="545454"/>
          <w:sz w:val="22"/>
        </w:rPr>
        <w:t>This phase answers one question: are the right people clicking? We are not measuring revenue. We are measuring signal quality.</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2e3440"/>
          </w:tcPr>
          <w:p>
            <w:r>
              <w:rPr>
                <w:rFonts w:ascii="Calibri" w:hAnsi="Calibri"/>
                <w:b/>
                <w:i w:val="0"/>
                <w:color w:val="FFFFFF"/>
                <w:sz w:val="20"/>
              </w:rPr>
              <w:t>Metric</w:t>
            </w:r>
          </w:p>
        </w:tc>
        <w:tc>
          <w:tcPr>
            <w:tcW w:type="dxa" w:w="2304"/>
            <w:shd w:val="clear" w:color="auto" w:fill="2e3440"/>
          </w:tcPr>
          <w:p>
            <w:r>
              <w:rPr>
                <w:rFonts w:ascii="Calibri" w:hAnsi="Calibri"/>
                <w:b/>
                <w:i w:val="0"/>
                <w:color w:val="FFFFFF"/>
                <w:sz w:val="20"/>
              </w:rPr>
              <w:t>Target</w:t>
            </w:r>
          </w:p>
        </w:tc>
        <w:tc>
          <w:tcPr>
            <w:tcW w:type="dxa" w:w="3888"/>
            <w:shd w:val="clear" w:color="auto" w:fill="2e3440"/>
          </w:tcPr>
          <w:p>
            <w:r>
              <w:rPr>
                <w:rFonts w:ascii="Calibri" w:hAnsi="Calibri"/>
                <w:b/>
                <w:i w:val="0"/>
                <w:color w:val="FFFFFF"/>
                <w:sz w:val="20"/>
              </w:rPr>
              <w:t>What It Tells Us</w:t>
            </w:r>
          </w:p>
        </w:tc>
      </w:tr>
      <w:tr>
        <w:tc>
          <w:tcPr>
            <w:tcW w:type="dxa" w:w="3168"/>
            <w:shd w:val="clear" w:color="auto" w:fill="f8fafb"/>
          </w:tcPr>
          <w:p>
            <w:pPr>
              <w:spacing w:after="40"/>
            </w:pPr>
            <w:r>
              <w:rPr>
                <w:rFonts w:ascii="Calibri" w:hAnsi="Calibri"/>
                <w:b w:val="0"/>
                <w:i w:val="0"/>
                <w:color w:val="545454"/>
                <w:sz w:val="22"/>
              </w:rPr>
              <w:t>Impressions</w:t>
            </w:r>
          </w:p>
        </w:tc>
        <w:tc>
          <w:tcPr>
            <w:tcW w:type="dxa" w:w="2304"/>
            <w:shd w:val="clear" w:color="auto" w:fill="f8fafb"/>
          </w:tcPr>
          <w:p>
            <w:pPr>
              <w:spacing w:after="40"/>
            </w:pPr>
            <w:r>
              <w:rPr>
                <w:rFonts w:ascii="Calibri" w:hAnsi="Calibri"/>
                <w:b w:val="0"/>
                <w:i w:val="0"/>
                <w:color w:val="545454"/>
                <w:sz w:val="22"/>
              </w:rPr>
              <w:t>5,000+ per month</w:t>
            </w:r>
          </w:p>
        </w:tc>
        <w:tc>
          <w:tcPr>
            <w:tcW w:type="dxa" w:w="3888"/>
            <w:shd w:val="clear" w:color="auto" w:fill="f8fafb"/>
          </w:tcPr>
          <w:p>
            <w:pPr>
              <w:spacing w:after="40"/>
            </w:pPr>
            <w:r>
              <w:rPr>
                <w:rFonts w:ascii="Calibri" w:hAnsi="Calibri"/>
                <w:b w:val="0"/>
                <w:i w:val="0"/>
                <w:color w:val="545454"/>
                <w:sz w:val="22"/>
              </w:rPr>
              <w:t>Ads are showing to the right search queries</w:t>
            </w:r>
          </w:p>
        </w:tc>
      </w:tr>
      <w:tr>
        <w:tc>
          <w:tcPr>
            <w:tcW w:type="dxa" w:w="3168"/>
            <w:shd w:val="clear" w:color="auto" w:fill="ffffff"/>
          </w:tcPr>
          <w:p>
            <w:pPr>
              <w:spacing w:after="40"/>
            </w:pPr>
            <w:r>
              <w:rPr>
                <w:rFonts w:ascii="Calibri" w:hAnsi="Calibri"/>
                <w:b w:val="0"/>
                <w:i w:val="0"/>
                <w:color w:val="545454"/>
                <w:sz w:val="22"/>
              </w:rPr>
              <w:t>Click-through rate (CTR)</w:t>
            </w:r>
          </w:p>
        </w:tc>
        <w:tc>
          <w:tcPr>
            <w:tcW w:type="dxa" w:w="2304"/>
            <w:shd w:val="clear" w:color="auto" w:fill="ffffff"/>
          </w:tcPr>
          <w:p>
            <w:pPr>
              <w:spacing w:after="40"/>
            </w:pPr>
            <w:r>
              <w:rPr>
                <w:rFonts w:ascii="Calibri" w:hAnsi="Calibri"/>
                <w:b w:val="0"/>
                <w:i w:val="0"/>
                <w:color w:val="545454"/>
                <w:sz w:val="22"/>
              </w:rPr>
              <w:t>2% or higher</w:t>
            </w:r>
          </w:p>
        </w:tc>
        <w:tc>
          <w:tcPr>
            <w:tcW w:type="dxa" w:w="3888"/>
            <w:shd w:val="clear" w:color="auto" w:fill="ffffff"/>
          </w:tcPr>
          <w:p>
            <w:pPr>
              <w:spacing w:after="40"/>
            </w:pPr>
            <w:r>
              <w:rPr>
                <w:rFonts w:ascii="Calibri" w:hAnsi="Calibri"/>
                <w:b w:val="0"/>
                <w:i w:val="0"/>
                <w:color w:val="545454"/>
                <w:sz w:val="22"/>
              </w:rPr>
              <w:t>Headlines are resonating with the audience</w:t>
            </w:r>
          </w:p>
        </w:tc>
      </w:tr>
      <w:tr>
        <w:tc>
          <w:tcPr>
            <w:tcW w:type="dxa" w:w="3168"/>
            <w:shd w:val="clear" w:color="auto" w:fill="f8fafb"/>
          </w:tcPr>
          <w:p>
            <w:pPr>
              <w:spacing w:after="40"/>
            </w:pPr>
            <w:r>
              <w:rPr>
                <w:rFonts w:ascii="Calibri" w:hAnsi="Calibri"/>
                <w:b w:val="0"/>
                <w:i w:val="0"/>
                <w:color w:val="545454"/>
                <w:sz w:val="22"/>
              </w:rPr>
              <w:t>Cost per click (CPC)</w:t>
            </w:r>
          </w:p>
        </w:tc>
        <w:tc>
          <w:tcPr>
            <w:tcW w:type="dxa" w:w="2304"/>
            <w:shd w:val="clear" w:color="auto" w:fill="f8fafb"/>
          </w:tcPr>
          <w:p>
            <w:pPr>
              <w:spacing w:after="40"/>
            </w:pPr>
            <w:r>
              <w:rPr>
                <w:rFonts w:ascii="Calibri" w:hAnsi="Calibri"/>
                <w:b w:val="0"/>
                <w:i w:val="0"/>
                <w:color w:val="545454"/>
                <w:sz w:val="22"/>
              </w:rPr>
              <w:t>Under $8</w:t>
            </w:r>
          </w:p>
        </w:tc>
        <w:tc>
          <w:tcPr>
            <w:tcW w:type="dxa" w:w="3888"/>
            <w:shd w:val="clear" w:color="auto" w:fill="f8fafb"/>
          </w:tcPr>
          <w:p>
            <w:pPr>
              <w:spacing w:after="40"/>
            </w:pPr>
            <w:r>
              <w:rPr>
                <w:rFonts w:ascii="Calibri" w:hAnsi="Calibri"/>
                <w:b w:val="0"/>
                <w:i w:val="0"/>
                <w:color w:val="545454"/>
                <w:sz w:val="22"/>
              </w:rPr>
              <w:t>Budget is being used efficiently</w:t>
            </w:r>
          </w:p>
        </w:tc>
      </w:tr>
      <w:tr>
        <w:tc>
          <w:tcPr>
            <w:tcW w:type="dxa" w:w="3168"/>
            <w:shd w:val="clear" w:color="auto" w:fill="ffffff"/>
          </w:tcPr>
          <w:p>
            <w:pPr>
              <w:spacing w:after="40"/>
            </w:pPr>
            <w:r>
              <w:rPr>
                <w:rFonts w:ascii="Calibri" w:hAnsi="Calibri"/>
                <w:b w:val="0"/>
                <w:i w:val="0"/>
                <w:color w:val="545454"/>
                <w:sz w:val="22"/>
              </w:rPr>
              <w:t>Demo form submissions</w:t>
            </w:r>
          </w:p>
        </w:tc>
        <w:tc>
          <w:tcPr>
            <w:tcW w:type="dxa" w:w="2304"/>
            <w:shd w:val="clear" w:color="auto" w:fill="ffffff"/>
          </w:tcPr>
          <w:p>
            <w:pPr>
              <w:spacing w:after="40"/>
            </w:pPr>
            <w:r>
              <w:rPr>
                <w:rFonts w:ascii="Calibri" w:hAnsi="Calibri"/>
                <w:b w:val="0"/>
                <w:i w:val="0"/>
                <w:color w:val="545454"/>
                <w:sz w:val="22"/>
              </w:rPr>
              <w:t>10+ per month</w:t>
            </w:r>
          </w:p>
        </w:tc>
        <w:tc>
          <w:tcPr>
            <w:tcW w:type="dxa" w:w="3888"/>
            <w:shd w:val="clear" w:color="auto" w:fill="ffffff"/>
          </w:tcPr>
          <w:p>
            <w:pPr>
              <w:spacing w:after="40"/>
            </w:pPr>
            <w:r>
              <w:rPr>
                <w:rFonts w:ascii="Calibri" w:hAnsi="Calibri"/>
                <w:b w:val="0"/>
                <w:i w:val="0"/>
                <w:color w:val="545454"/>
                <w:sz w:val="22"/>
              </w:rPr>
              <w:t>Landing page and CTA are converting</w:t>
            </w:r>
          </w:p>
        </w:tc>
      </w:tr>
      <w:tr>
        <w:tc>
          <w:tcPr>
            <w:tcW w:type="dxa" w:w="3168"/>
            <w:shd w:val="clear" w:color="auto" w:fill="f8fafb"/>
          </w:tcPr>
          <w:p>
            <w:pPr>
              <w:spacing w:after="40"/>
            </w:pPr>
            <w:r>
              <w:rPr>
                <w:rFonts w:ascii="Calibri" w:hAnsi="Calibri"/>
                <w:b w:val="0"/>
                <w:i w:val="0"/>
                <w:color w:val="545454"/>
                <w:sz w:val="22"/>
              </w:rPr>
              <w:t>Cost per lead (CPL)</w:t>
            </w:r>
          </w:p>
        </w:tc>
        <w:tc>
          <w:tcPr>
            <w:tcW w:type="dxa" w:w="2304"/>
            <w:shd w:val="clear" w:color="auto" w:fill="f8fafb"/>
          </w:tcPr>
          <w:p>
            <w:pPr>
              <w:spacing w:after="40"/>
            </w:pPr>
            <w:r>
              <w:rPr>
                <w:rFonts w:ascii="Calibri" w:hAnsi="Calibri"/>
                <w:b w:val="0"/>
                <w:i w:val="0"/>
                <w:color w:val="545454"/>
                <w:sz w:val="22"/>
              </w:rPr>
              <w:t>Under $300</w:t>
            </w:r>
          </w:p>
        </w:tc>
        <w:tc>
          <w:tcPr>
            <w:tcW w:type="dxa" w:w="3888"/>
            <w:shd w:val="clear" w:color="auto" w:fill="f8fafb"/>
          </w:tcPr>
          <w:p>
            <w:pPr>
              <w:spacing w:after="40"/>
            </w:pPr>
            <w:r>
              <w:rPr>
                <w:rFonts w:ascii="Calibri" w:hAnsi="Calibri"/>
                <w:b w:val="0"/>
                <w:i w:val="0"/>
                <w:color w:val="545454"/>
                <w:sz w:val="22"/>
              </w:rPr>
              <w:t>Acquisition cost is sustainable vs. deal value</w:t>
            </w:r>
          </w:p>
        </w:tc>
      </w:tr>
    </w:tbl>
    <w:p>
      <w:pPr>
        <w:spacing w:after="80"/>
      </w:pPr>
    </w:p>
    <w:p>
      <w:pPr>
        <w:spacing w:before="200" w:after="60"/>
      </w:pPr>
      <w:r>
        <w:rPr>
          <w:rFonts w:ascii="Calibri" w:hAnsi="Calibri"/>
          <w:b/>
          <w:i w:val="0"/>
          <w:color w:val="6DA34A"/>
          <w:sz w:val="24"/>
        </w:rPr>
        <w:t>What to report to leadership at Day 30</w:t>
      </w:r>
    </w:p>
    <w:p>
      <w:pPr>
        <w:spacing w:after="100"/>
      </w:pPr>
      <w:r>
        <w:rPr>
          <w:rFonts w:ascii="Calibri" w:hAnsi="Calibri"/>
          <w:b w:val="0"/>
          <w:i w:val="0"/>
          <w:color w:val="545454"/>
          <w:sz w:val="22"/>
        </w:rPr>
        <w:t xml:space="preserve">Share CTR, total form fills, and cost per lead. Frame it this way: </w:t>
      </w:r>
      <w:r>
        <w:rPr>
          <w:rFonts w:ascii="Calibri" w:hAnsi="Calibri"/>
          <w:b/>
          <w:i w:val="0"/>
          <w:color w:val="2E3440"/>
          <w:sz w:val="22"/>
        </w:rPr>
        <w:t>'We have X qualified leads in the pipeline at $Y per lead. First deals are expected to close in June based on our 60 to 90 day cycle.'</w:t>
      </w:r>
      <w:r>
        <w:rPr>
          <w:rFonts w:ascii="Calibri" w:hAnsi="Calibri"/>
          <w:b w:val="0"/>
          <w:i w:val="0"/>
          <w:color w:val="545454"/>
          <w:sz w:val="22"/>
        </w:rPr>
      </w:r>
    </w:p>
    <w:p>
      <w:pPr>
        <w:spacing w:after="80"/>
      </w:pPr>
      <w:r>
        <w:rPr>
          <w:rFonts w:ascii="Calibri" w:hAnsi="Calibri"/>
          <w:b w:val="0"/>
          <w:i/>
          <w:color w:val="6B7280"/>
          <w:sz w:val="20"/>
        </w:rPr>
        <w:t>Do not report on closed revenue at Day 30. It is not yet possible and sets a false expectation.</w:t>
      </w:r>
    </w:p>
    <w:p>
      <w:pPr>
        <w:pBdr>
          <w:bottom w:val="single" w:sz="4" w:space="1" w:color="d8dee9"/>
        </w:pBdr>
        <w:spacing w:before="80" w:after="80"/>
      </w:pPr>
    </w:p>
    <w:p>
      <w:pPr>
        <w:spacing w:before="280" w:after="80"/>
        <w:pBdr>
          <w:bottom w:val="single" w:sz="6" w:space="4" w:color="6da34a"/>
        </w:pBdr>
      </w:pPr>
      <w:r>
        <w:rPr>
          <w:rFonts w:ascii="Calibri" w:hAnsi="Calibri"/>
          <w:b/>
          <w:i w:val="0"/>
          <w:color w:val="2E3440"/>
          <w:sz w:val="28"/>
        </w:rPr>
        <w:t>Phase 2 — Days 30 to 60: Is the Pipeline Building?</w:t>
      </w:r>
    </w:p>
    <w:p>
      <w:pPr>
        <w:spacing w:before="200" w:after="60"/>
      </w:pPr>
      <w:r>
        <w:rPr>
          <w:rFonts w:ascii="Calibri" w:hAnsi="Calibri"/>
          <w:b/>
          <w:i w:val="0"/>
          <w:color w:val="6DA34A"/>
          <w:sz w:val="24"/>
        </w:rPr>
        <w:t>What we are measuring</w:t>
      </w:r>
    </w:p>
    <w:p>
      <w:pPr>
        <w:spacing w:after="100"/>
      </w:pPr>
      <w:r>
        <w:rPr>
          <w:rFonts w:ascii="Calibri" w:hAnsi="Calibri"/>
          <w:b w:val="0"/>
          <w:i w:val="0"/>
          <w:color w:val="545454"/>
          <w:sz w:val="22"/>
        </w:rPr>
        <w:t>This phase answers: are leads turning into real conversations? Sales activity in HubSpot is the primary data source here.</w:t>
      </w:r>
    </w:p>
    <w:tbl>
      <w:tblPr>
        <w:tblStyle w:val="TableGrid"/>
        <w:tblW w:type="auto" w:w="0"/>
        <w:tblLook w:firstColumn="1" w:firstRow="1" w:lastColumn="0" w:lastRow="0" w:noHBand="0" w:noVBand="1" w:val="04A0"/>
      </w:tblPr>
      <w:tblGrid>
        <w:gridCol w:w="3120"/>
        <w:gridCol w:w="3120"/>
        <w:gridCol w:w="3120"/>
      </w:tblGrid>
      <w:tr>
        <w:tc>
          <w:tcPr>
            <w:tcW w:type="dxa" w:w="3600"/>
            <w:shd w:val="clear" w:color="auto" w:fill="2e3440"/>
          </w:tcPr>
          <w:p>
            <w:r>
              <w:rPr>
                <w:rFonts w:ascii="Calibri" w:hAnsi="Calibri"/>
                <w:b/>
                <w:i w:val="0"/>
                <w:color w:val="FFFFFF"/>
                <w:sz w:val="20"/>
              </w:rPr>
              <w:t>Metric</w:t>
            </w:r>
          </w:p>
        </w:tc>
        <w:tc>
          <w:tcPr>
            <w:tcW w:type="dxa" w:w="2880"/>
            <w:shd w:val="clear" w:color="auto" w:fill="2e3440"/>
          </w:tcPr>
          <w:p>
            <w:r>
              <w:rPr>
                <w:rFonts w:ascii="Calibri" w:hAnsi="Calibri"/>
                <w:b/>
                <w:i w:val="0"/>
                <w:color w:val="FFFFFF"/>
                <w:sz w:val="20"/>
              </w:rPr>
              <w:t>Target</w:t>
            </w:r>
          </w:p>
        </w:tc>
        <w:tc>
          <w:tcPr>
            <w:tcW w:type="dxa" w:w="2880"/>
            <w:shd w:val="clear" w:color="auto" w:fill="2e3440"/>
          </w:tcPr>
          <w:p>
            <w:r>
              <w:rPr>
                <w:rFonts w:ascii="Calibri" w:hAnsi="Calibri"/>
                <w:b/>
                <w:i w:val="0"/>
                <w:color w:val="FFFFFF"/>
                <w:sz w:val="20"/>
              </w:rPr>
              <w:t>What It Tells Us</w:t>
            </w:r>
          </w:p>
        </w:tc>
      </w:tr>
      <w:tr>
        <w:tc>
          <w:tcPr>
            <w:tcW w:type="dxa" w:w="3600"/>
            <w:shd w:val="clear" w:color="auto" w:fill="f8fafb"/>
          </w:tcPr>
          <w:p>
            <w:pPr>
              <w:spacing w:after="40"/>
            </w:pPr>
            <w:r>
              <w:rPr>
                <w:rFonts w:ascii="Calibri" w:hAnsi="Calibri"/>
                <w:b w:val="0"/>
                <w:i w:val="0"/>
                <w:color w:val="545454"/>
                <w:sz w:val="22"/>
              </w:rPr>
              <w:t>Leads contacted by sales</w:t>
            </w:r>
          </w:p>
        </w:tc>
        <w:tc>
          <w:tcPr>
            <w:tcW w:type="dxa" w:w="2880"/>
            <w:shd w:val="clear" w:color="auto" w:fill="f8fafb"/>
          </w:tcPr>
          <w:p>
            <w:pPr>
              <w:spacing w:after="40"/>
            </w:pPr>
            <w:r>
              <w:rPr>
                <w:rFonts w:ascii="Calibri" w:hAnsi="Calibri"/>
                <w:b w:val="0"/>
                <w:i w:val="0"/>
                <w:color w:val="545454"/>
                <w:sz w:val="22"/>
              </w:rPr>
              <w:t>80% of form fills within 48 hours</w:t>
            </w:r>
          </w:p>
        </w:tc>
        <w:tc>
          <w:tcPr>
            <w:tcW w:type="dxa" w:w="2880"/>
            <w:shd w:val="clear" w:color="auto" w:fill="f8fafb"/>
          </w:tcPr>
          <w:p>
            <w:pPr>
              <w:spacing w:after="40"/>
            </w:pPr>
            <w:r>
              <w:rPr>
                <w:rFonts w:ascii="Calibri" w:hAnsi="Calibri"/>
                <w:b w:val="0"/>
                <w:i w:val="0"/>
                <w:color w:val="545454"/>
                <w:sz w:val="22"/>
              </w:rPr>
              <w:t>Sales is following up on paid leads</w:t>
            </w:r>
          </w:p>
        </w:tc>
      </w:tr>
      <w:tr>
        <w:tc>
          <w:tcPr>
            <w:tcW w:type="dxa" w:w="3600"/>
            <w:shd w:val="clear" w:color="auto" w:fill="ffffff"/>
          </w:tcPr>
          <w:p>
            <w:pPr>
              <w:spacing w:after="40"/>
            </w:pPr>
            <w:r>
              <w:rPr>
                <w:rFonts w:ascii="Calibri" w:hAnsi="Calibri"/>
                <w:b w:val="0"/>
                <w:i w:val="0"/>
                <w:color w:val="545454"/>
                <w:sz w:val="22"/>
              </w:rPr>
              <w:t>Qualified conversations</w:t>
            </w:r>
          </w:p>
        </w:tc>
        <w:tc>
          <w:tcPr>
            <w:tcW w:type="dxa" w:w="2880"/>
            <w:shd w:val="clear" w:color="auto" w:fill="ffffff"/>
          </w:tcPr>
          <w:p>
            <w:pPr>
              <w:spacing w:after="40"/>
            </w:pPr>
            <w:r>
              <w:rPr>
                <w:rFonts w:ascii="Calibri" w:hAnsi="Calibri"/>
                <w:b w:val="0"/>
                <w:i w:val="0"/>
                <w:color w:val="545454"/>
                <w:sz w:val="22"/>
              </w:rPr>
              <w:t>5+ active evaluations</w:t>
            </w:r>
          </w:p>
        </w:tc>
        <w:tc>
          <w:tcPr>
            <w:tcW w:type="dxa" w:w="2880"/>
            <w:shd w:val="clear" w:color="auto" w:fill="ffffff"/>
          </w:tcPr>
          <w:p>
            <w:pPr>
              <w:spacing w:after="40"/>
            </w:pPr>
            <w:r>
              <w:rPr>
                <w:rFonts w:ascii="Calibri" w:hAnsi="Calibri"/>
                <w:b w:val="0"/>
                <w:i w:val="0"/>
                <w:color w:val="545454"/>
                <w:sz w:val="22"/>
              </w:rPr>
              <w:t>Leads have real intent, not just curiosity</w:t>
            </w:r>
          </w:p>
        </w:tc>
      </w:tr>
      <w:tr>
        <w:tc>
          <w:tcPr>
            <w:tcW w:type="dxa" w:w="3600"/>
            <w:shd w:val="clear" w:color="auto" w:fill="f8fafb"/>
          </w:tcPr>
          <w:p>
            <w:pPr>
              <w:spacing w:after="40"/>
            </w:pPr>
            <w:r>
              <w:rPr>
                <w:rFonts w:ascii="Calibri" w:hAnsi="Calibri"/>
                <w:b w:val="0"/>
                <w:i w:val="0"/>
                <w:color w:val="545454"/>
                <w:sz w:val="22"/>
              </w:rPr>
              <w:t>Pipeline value influenced</w:t>
            </w:r>
          </w:p>
        </w:tc>
        <w:tc>
          <w:tcPr>
            <w:tcW w:type="dxa" w:w="2880"/>
            <w:shd w:val="clear" w:color="auto" w:fill="f8fafb"/>
          </w:tcPr>
          <w:p>
            <w:pPr>
              <w:spacing w:after="40"/>
            </w:pPr>
            <w:r>
              <w:rPr>
                <w:rFonts w:ascii="Calibri" w:hAnsi="Calibri"/>
                <w:b w:val="0"/>
                <w:i w:val="0"/>
                <w:color w:val="545454"/>
                <w:sz w:val="22"/>
              </w:rPr>
              <w:t>$50,000+</w:t>
            </w:r>
          </w:p>
        </w:tc>
        <w:tc>
          <w:tcPr>
            <w:tcW w:type="dxa" w:w="2880"/>
            <w:shd w:val="clear" w:color="auto" w:fill="f8fafb"/>
          </w:tcPr>
          <w:p>
            <w:pPr>
              <w:spacing w:after="40"/>
            </w:pPr>
            <w:r>
              <w:rPr>
                <w:rFonts w:ascii="Calibri" w:hAnsi="Calibri"/>
                <w:b w:val="0"/>
                <w:i w:val="0"/>
                <w:color w:val="545454"/>
                <w:sz w:val="22"/>
              </w:rPr>
              <w:t>Campaign is building measurable revenue potential</w:t>
            </w:r>
          </w:p>
        </w:tc>
      </w:tr>
      <w:tr>
        <w:tc>
          <w:tcPr>
            <w:tcW w:type="dxa" w:w="3600"/>
            <w:shd w:val="clear" w:color="auto" w:fill="ffffff"/>
          </w:tcPr>
          <w:p>
            <w:pPr>
              <w:spacing w:after="40"/>
            </w:pPr>
            <w:r>
              <w:rPr>
                <w:rFonts w:ascii="Calibri" w:hAnsi="Calibri"/>
                <w:b w:val="0"/>
                <w:i w:val="0"/>
                <w:color w:val="545454"/>
                <w:sz w:val="22"/>
              </w:rPr>
              <w:t>Demo-to-conversation rate</w:t>
            </w:r>
          </w:p>
        </w:tc>
        <w:tc>
          <w:tcPr>
            <w:tcW w:type="dxa" w:w="2880"/>
            <w:shd w:val="clear" w:color="auto" w:fill="ffffff"/>
          </w:tcPr>
          <w:p>
            <w:pPr>
              <w:spacing w:after="40"/>
            </w:pPr>
            <w:r>
              <w:rPr>
                <w:rFonts w:ascii="Calibri" w:hAnsi="Calibri"/>
                <w:b w:val="0"/>
                <w:i w:val="0"/>
                <w:color w:val="545454"/>
                <w:sz w:val="22"/>
              </w:rPr>
              <w:t>50% or higher</w:t>
            </w:r>
          </w:p>
        </w:tc>
        <w:tc>
          <w:tcPr>
            <w:tcW w:type="dxa" w:w="2880"/>
            <w:shd w:val="clear" w:color="auto" w:fill="ffffff"/>
          </w:tcPr>
          <w:p>
            <w:pPr>
              <w:spacing w:after="40"/>
            </w:pPr>
            <w:r>
              <w:rPr>
                <w:rFonts w:ascii="Calibri" w:hAnsi="Calibri"/>
                <w:b w:val="0"/>
                <w:i w:val="0"/>
                <w:color w:val="545454"/>
                <w:sz w:val="22"/>
              </w:rPr>
              <w:t>Demo form is attracting the right buyers</w:t>
            </w:r>
          </w:p>
        </w:tc>
      </w:tr>
      <w:tr>
        <w:tc>
          <w:tcPr>
            <w:tcW w:type="dxa" w:w="3600"/>
            <w:shd w:val="clear" w:color="auto" w:fill="f8fafb"/>
          </w:tcPr>
          <w:p>
            <w:pPr>
              <w:spacing w:after="40"/>
            </w:pPr>
            <w:r>
              <w:rPr>
                <w:rFonts w:ascii="Calibri" w:hAnsi="Calibri"/>
                <w:b w:val="0"/>
                <w:i w:val="0"/>
                <w:color w:val="545454"/>
                <w:sz w:val="22"/>
              </w:rPr>
              <w:t>Accounts in active evaluation</w:t>
            </w:r>
          </w:p>
        </w:tc>
        <w:tc>
          <w:tcPr>
            <w:tcW w:type="dxa" w:w="2880"/>
            <w:shd w:val="clear" w:color="auto" w:fill="f8fafb"/>
          </w:tcPr>
          <w:p>
            <w:pPr>
              <w:spacing w:after="40"/>
            </w:pPr>
            <w:r>
              <w:rPr>
                <w:rFonts w:ascii="Calibri" w:hAnsi="Calibri"/>
                <w:b w:val="0"/>
                <w:i w:val="0"/>
                <w:color w:val="545454"/>
                <w:sz w:val="22"/>
              </w:rPr>
              <w:t>3 or more</w:t>
            </w:r>
          </w:p>
        </w:tc>
        <w:tc>
          <w:tcPr>
            <w:tcW w:type="dxa" w:w="2880"/>
            <w:shd w:val="clear" w:color="auto" w:fill="f8fafb"/>
          </w:tcPr>
          <w:p>
            <w:pPr>
              <w:spacing w:after="40"/>
            </w:pPr>
            <w:r>
              <w:rPr>
                <w:rFonts w:ascii="Calibri" w:hAnsi="Calibri"/>
                <w:b w:val="0"/>
                <w:i w:val="0"/>
                <w:color w:val="545454"/>
                <w:sz w:val="22"/>
              </w:rPr>
              <w:t>Sales cycle is progressing normally</w:t>
            </w:r>
          </w:p>
        </w:tc>
      </w:tr>
    </w:tbl>
    <w:p>
      <w:pPr>
        <w:spacing w:after="80"/>
      </w:pPr>
    </w:p>
    <w:p>
      <w:pPr>
        <w:spacing w:before="200" w:after="60"/>
      </w:pPr>
      <w:r>
        <w:rPr>
          <w:rFonts w:ascii="Calibri" w:hAnsi="Calibri"/>
          <w:b/>
          <w:i w:val="0"/>
          <w:color w:val="6DA34A"/>
          <w:sz w:val="24"/>
        </w:rPr>
        <w:t>What to report to leadership at Day 60</w:t>
      </w:r>
    </w:p>
    <w:p>
      <w:pPr>
        <w:spacing w:after="100"/>
      </w:pPr>
      <w:r>
        <w:rPr>
          <w:rFonts w:ascii="Calibri" w:hAnsi="Calibri"/>
          <w:b w:val="0"/>
          <w:i w:val="0"/>
          <w:color w:val="545454"/>
          <w:sz w:val="22"/>
        </w:rPr>
        <w:t xml:space="preserve">Share pipeline value and active account count. Frame it: </w:t>
      </w:r>
      <w:r>
        <w:rPr>
          <w:rFonts w:ascii="Calibri" w:hAnsi="Calibri"/>
          <w:b/>
          <w:i w:val="0"/>
          <w:color w:val="2E3440"/>
          <w:sz w:val="22"/>
        </w:rPr>
        <w:t>'We have $X in influenced pipeline across Y accounts. Based on our close rate, we expect Z deals to close by [date].'</w:t>
      </w:r>
      <w:r>
        <w:rPr>
          <w:rFonts w:ascii="Calibri" w:hAnsi="Calibri"/>
          <w:b w:val="0"/>
          <w:i w:val="0"/>
          <w:color w:val="545454"/>
          <w:sz w:val="22"/>
        </w:rPr>
      </w:r>
    </w:p>
    <w:p>
      <w:pPr>
        <w:spacing w:after="80"/>
      </w:pPr>
      <w:r>
        <w:rPr>
          <w:rFonts w:ascii="Calibri" w:hAnsi="Calibri"/>
          <w:b w:val="0"/>
          <w:i/>
          <w:color w:val="6B7280"/>
          <w:sz w:val="20"/>
        </w:rPr>
        <w:t>If HubSpot is not logging lead source and sales activity consistently, pipeline reporting will be incomplete. Flag this to the CRO now, not at Day 60.</w:t>
      </w:r>
    </w:p>
    <w:p>
      <w:pPr>
        <w:pBdr>
          <w:bottom w:val="single" w:sz="4" w:space="1" w:color="d8dee9"/>
        </w:pBdr>
        <w:spacing w:before="80" w:after="80"/>
      </w:pPr>
    </w:p>
    <w:p>
      <w:pPr>
        <w:spacing w:before="280" w:after="80"/>
        <w:pBdr>
          <w:bottom w:val="single" w:sz="6" w:space="4" w:color="6da34a"/>
        </w:pBdr>
      </w:pPr>
      <w:r>
        <w:rPr>
          <w:rFonts w:ascii="Calibri" w:hAnsi="Calibri"/>
          <w:b/>
          <w:i w:val="0"/>
          <w:color w:val="2E3440"/>
          <w:sz w:val="28"/>
        </w:rPr>
        <w:t>Phase 3 — Days 60 to 90: Is the Campaign Generating Revenue?</w:t>
      </w:r>
    </w:p>
    <w:p>
      <w:pPr>
        <w:spacing w:before="200" w:after="60"/>
      </w:pPr>
      <w:r>
        <w:rPr>
          <w:rFonts w:ascii="Calibri" w:hAnsi="Calibri"/>
          <w:b/>
          <w:i w:val="0"/>
          <w:color w:val="6DA34A"/>
          <w:sz w:val="24"/>
        </w:rPr>
        <w:t>What we are measuring</w:t>
      </w:r>
    </w:p>
    <w:p>
      <w:pPr>
        <w:spacing w:after="100"/>
      </w:pPr>
      <w:r>
        <w:rPr>
          <w:rFonts w:ascii="Calibri" w:hAnsi="Calibri"/>
          <w:b w:val="0"/>
          <w:i w:val="0"/>
          <w:color w:val="545454"/>
          <w:sz w:val="22"/>
        </w:rPr>
        <w:t>This is the first phase where closed revenue is a fair measure. Deals from Day 1 form fills are now old enough to have closed or advanced to final stage.</w:t>
      </w:r>
    </w:p>
    <w:tbl>
      <w:tblPr>
        <w:tblStyle w:val="TableGrid"/>
        <w:tblW w:type="auto" w:w="0"/>
        <w:tblLook w:firstColumn="1" w:firstRow="1" w:lastColumn="0" w:lastRow="0" w:noHBand="0" w:noVBand="1" w:val="04A0"/>
      </w:tblPr>
      <w:tblGrid>
        <w:gridCol w:w="3120"/>
        <w:gridCol w:w="3120"/>
        <w:gridCol w:w="3120"/>
      </w:tblGrid>
      <w:tr>
        <w:tc>
          <w:tcPr>
            <w:tcW w:type="dxa" w:w="4032"/>
            <w:shd w:val="clear" w:color="auto" w:fill="2e3440"/>
          </w:tcPr>
          <w:p>
            <w:r>
              <w:rPr>
                <w:rFonts w:ascii="Calibri" w:hAnsi="Calibri"/>
                <w:b/>
                <w:i w:val="0"/>
                <w:color w:val="FFFFFF"/>
                <w:sz w:val="20"/>
              </w:rPr>
              <w:t>Metric</w:t>
            </w:r>
          </w:p>
        </w:tc>
        <w:tc>
          <w:tcPr>
            <w:tcW w:type="dxa" w:w="2160"/>
            <w:shd w:val="clear" w:color="auto" w:fill="2e3440"/>
          </w:tcPr>
          <w:p>
            <w:r>
              <w:rPr>
                <w:rFonts w:ascii="Calibri" w:hAnsi="Calibri"/>
                <w:b/>
                <w:i w:val="0"/>
                <w:color w:val="FFFFFF"/>
                <w:sz w:val="20"/>
              </w:rPr>
              <w:t>Target</w:t>
            </w:r>
          </w:p>
        </w:tc>
        <w:tc>
          <w:tcPr>
            <w:tcW w:type="dxa" w:w="3168"/>
            <w:shd w:val="clear" w:color="auto" w:fill="2e3440"/>
          </w:tcPr>
          <w:p>
            <w:r>
              <w:rPr>
                <w:rFonts w:ascii="Calibri" w:hAnsi="Calibri"/>
                <w:b/>
                <w:i w:val="0"/>
                <w:color w:val="FFFFFF"/>
                <w:sz w:val="20"/>
              </w:rPr>
              <w:t>What It Tells Us</w:t>
            </w:r>
          </w:p>
        </w:tc>
      </w:tr>
      <w:tr>
        <w:tc>
          <w:tcPr>
            <w:tcW w:type="dxa" w:w="4032"/>
            <w:shd w:val="clear" w:color="auto" w:fill="f8fafb"/>
          </w:tcPr>
          <w:p>
            <w:pPr>
              <w:spacing w:after="40"/>
            </w:pPr>
            <w:r>
              <w:rPr>
                <w:rFonts w:ascii="Calibri" w:hAnsi="Calibri"/>
                <w:b w:val="0"/>
                <w:i w:val="0"/>
                <w:color w:val="545454"/>
                <w:sz w:val="22"/>
              </w:rPr>
              <w:t>Closed deals from campaign leads</w:t>
            </w:r>
          </w:p>
        </w:tc>
        <w:tc>
          <w:tcPr>
            <w:tcW w:type="dxa" w:w="2160"/>
            <w:shd w:val="clear" w:color="auto" w:fill="f8fafb"/>
          </w:tcPr>
          <w:p>
            <w:pPr>
              <w:spacing w:after="40"/>
            </w:pPr>
            <w:r>
              <w:rPr>
                <w:rFonts w:ascii="Calibri" w:hAnsi="Calibri"/>
                <w:b w:val="0"/>
                <w:i w:val="0"/>
                <w:color w:val="545454"/>
                <w:sz w:val="22"/>
              </w:rPr>
              <w:t>2 or more</w:t>
            </w:r>
          </w:p>
        </w:tc>
        <w:tc>
          <w:tcPr>
            <w:tcW w:type="dxa" w:w="3168"/>
            <w:shd w:val="clear" w:color="auto" w:fill="f8fafb"/>
          </w:tcPr>
          <w:p>
            <w:pPr>
              <w:spacing w:after="40"/>
            </w:pPr>
            <w:r>
              <w:rPr>
                <w:rFonts w:ascii="Calibri" w:hAnsi="Calibri"/>
                <w:b w:val="0"/>
                <w:i w:val="0"/>
                <w:color w:val="545454"/>
                <w:sz w:val="22"/>
              </w:rPr>
              <w:t>Campaign is generating revenue</w:t>
            </w:r>
          </w:p>
        </w:tc>
      </w:tr>
      <w:tr>
        <w:tc>
          <w:tcPr>
            <w:tcW w:type="dxa" w:w="4032"/>
            <w:shd w:val="clear" w:color="auto" w:fill="ffffff"/>
          </w:tcPr>
          <w:p>
            <w:pPr>
              <w:spacing w:after="40"/>
            </w:pPr>
            <w:r>
              <w:rPr>
                <w:rFonts w:ascii="Calibri" w:hAnsi="Calibri"/>
                <w:b w:val="0"/>
                <w:i w:val="0"/>
                <w:color w:val="545454"/>
                <w:sz w:val="22"/>
              </w:rPr>
              <w:t>Revenue closed or contracted</w:t>
            </w:r>
          </w:p>
        </w:tc>
        <w:tc>
          <w:tcPr>
            <w:tcW w:type="dxa" w:w="2160"/>
            <w:shd w:val="clear" w:color="auto" w:fill="ffffff"/>
          </w:tcPr>
          <w:p>
            <w:pPr>
              <w:spacing w:after="40"/>
            </w:pPr>
            <w:r>
              <w:rPr>
                <w:rFonts w:ascii="Calibri" w:hAnsi="Calibri"/>
                <w:b w:val="0"/>
                <w:i w:val="0"/>
                <w:color w:val="545454"/>
                <w:sz w:val="22"/>
              </w:rPr>
              <w:t>$40,000+</w:t>
            </w:r>
          </w:p>
        </w:tc>
        <w:tc>
          <w:tcPr>
            <w:tcW w:type="dxa" w:w="3168"/>
            <w:shd w:val="clear" w:color="auto" w:fill="ffffff"/>
          </w:tcPr>
          <w:p>
            <w:pPr>
              <w:spacing w:after="40"/>
            </w:pPr>
            <w:r>
              <w:rPr>
                <w:rFonts w:ascii="Calibri" w:hAnsi="Calibri"/>
                <w:b w:val="0"/>
                <w:i w:val="0"/>
                <w:color w:val="545454"/>
                <w:sz w:val="22"/>
              </w:rPr>
              <w:t>Campaign ROI is positive vs. $9K spend</w:t>
            </w:r>
          </w:p>
        </w:tc>
      </w:tr>
      <w:tr>
        <w:tc>
          <w:tcPr>
            <w:tcW w:type="dxa" w:w="4032"/>
            <w:shd w:val="clear" w:color="auto" w:fill="f8fafb"/>
          </w:tcPr>
          <w:p>
            <w:pPr>
              <w:spacing w:after="40"/>
            </w:pPr>
            <w:r>
              <w:rPr>
                <w:rFonts w:ascii="Calibri" w:hAnsi="Calibri"/>
                <w:b w:val="0"/>
                <w:i w:val="0"/>
                <w:color w:val="545454"/>
                <w:sz w:val="22"/>
              </w:rPr>
              <w:t>Deals in final stage (not yet closed)</w:t>
            </w:r>
          </w:p>
        </w:tc>
        <w:tc>
          <w:tcPr>
            <w:tcW w:type="dxa" w:w="2160"/>
            <w:shd w:val="clear" w:color="auto" w:fill="f8fafb"/>
          </w:tcPr>
          <w:p>
            <w:pPr>
              <w:spacing w:after="40"/>
            </w:pPr>
            <w:r>
              <w:rPr>
                <w:rFonts w:ascii="Calibri" w:hAnsi="Calibri"/>
                <w:b w:val="0"/>
                <w:i w:val="0"/>
                <w:color w:val="545454"/>
                <w:sz w:val="22"/>
              </w:rPr>
              <w:t>3 or more</w:t>
            </w:r>
          </w:p>
        </w:tc>
        <w:tc>
          <w:tcPr>
            <w:tcW w:type="dxa" w:w="3168"/>
            <w:shd w:val="clear" w:color="auto" w:fill="f8fafb"/>
          </w:tcPr>
          <w:p>
            <w:pPr>
              <w:spacing w:after="40"/>
            </w:pPr>
            <w:r>
              <w:rPr>
                <w:rFonts w:ascii="Calibri" w:hAnsi="Calibri"/>
                <w:b w:val="0"/>
                <w:i w:val="0"/>
                <w:color w:val="545454"/>
                <w:sz w:val="22"/>
              </w:rPr>
              <w:t>Pipeline health for next 30 days</w:t>
            </w:r>
          </w:p>
        </w:tc>
      </w:tr>
      <w:tr>
        <w:tc>
          <w:tcPr>
            <w:tcW w:type="dxa" w:w="4032"/>
            <w:shd w:val="clear" w:color="auto" w:fill="ffffff"/>
          </w:tcPr>
          <w:p>
            <w:pPr>
              <w:spacing w:after="40"/>
            </w:pPr>
            <w:r>
              <w:rPr>
                <w:rFonts w:ascii="Calibri" w:hAnsi="Calibri"/>
                <w:b w:val="0"/>
                <w:i w:val="0"/>
                <w:color w:val="545454"/>
                <w:sz w:val="22"/>
              </w:rPr>
              <w:t>Cost per closed deal</w:t>
            </w:r>
          </w:p>
        </w:tc>
        <w:tc>
          <w:tcPr>
            <w:tcW w:type="dxa" w:w="2160"/>
            <w:shd w:val="clear" w:color="auto" w:fill="ffffff"/>
          </w:tcPr>
          <w:p>
            <w:pPr>
              <w:spacing w:after="40"/>
            </w:pPr>
            <w:r>
              <w:rPr>
                <w:rFonts w:ascii="Calibri" w:hAnsi="Calibri"/>
                <w:b w:val="0"/>
                <w:i w:val="0"/>
                <w:color w:val="545454"/>
                <w:sz w:val="22"/>
              </w:rPr>
              <w:t>Under $4,500</w:t>
            </w:r>
          </w:p>
        </w:tc>
        <w:tc>
          <w:tcPr>
            <w:tcW w:type="dxa" w:w="3168"/>
            <w:shd w:val="clear" w:color="auto" w:fill="ffffff"/>
          </w:tcPr>
          <w:p>
            <w:pPr>
              <w:spacing w:after="40"/>
            </w:pPr>
            <w:r>
              <w:rPr>
                <w:rFonts w:ascii="Calibri" w:hAnsi="Calibri"/>
                <w:b w:val="0"/>
                <w:i w:val="0"/>
                <w:color w:val="545454"/>
                <w:sz w:val="22"/>
              </w:rPr>
              <w:t>Acquisition cost vs. deal value is sound</w:t>
            </w:r>
          </w:p>
        </w:tc>
      </w:tr>
      <w:tr>
        <w:tc>
          <w:tcPr>
            <w:tcW w:type="dxa" w:w="4032"/>
            <w:shd w:val="clear" w:color="auto" w:fill="f8fafb"/>
          </w:tcPr>
          <w:p>
            <w:pPr>
              <w:spacing w:after="40"/>
            </w:pPr>
            <w:r>
              <w:rPr>
                <w:rFonts w:ascii="Calibri" w:hAnsi="Calibri"/>
                <w:b w:val="0"/>
                <w:i w:val="0"/>
                <w:color w:val="545454"/>
                <w:sz w:val="22"/>
              </w:rPr>
              <w:t>Authentication activations</w:t>
            </w:r>
          </w:p>
        </w:tc>
        <w:tc>
          <w:tcPr>
            <w:tcW w:type="dxa" w:w="2160"/>
            <w:shd w:val="clear" w:color="auto" w:fill="f8fafb"/>
          </w:tcPr>
          <w:p>
            <w:pPr>
              <w:spacing w:after="40"/>
            </w:pPr>
            <w:r>
              <w:rPr>
                <w:rFonts w:ascii="Calibri" w:hAnsi="Calibri"/>
                <w:b w:val="0"/>
                <w:i w:val="0"/>
                <w:color w:val="545454"/>
                <w:sz w:val="22"/>
              </w:rPr>
              <w:t>1 FI pilot active</w:t>
            </w:r>
          </w:p>
        </w:tc>
        <w:tc>
          <w:tcPr>
            <w:tcW w:type="dxa" w:w="3168"/>
            <w:shd w:val="clear" w:color="auto" w:fill="f8fafb"/>
          </w:tcPr>
          <w:p>
            <w:pPr>
              <w:spacing w:after="40"/>
            </w:pPr>
            <w:r>
              <w:rPr>
                <w:rFonts w:ascii="Calibri" w:hAnsi="Calibri"/>
                <w:b w:val="0"/>
                <w:i w:val="0"/>
                <w:color w:val="545454"/>
                <w:sz w:val="22"/>
              </w:rPr>
              <w:t>Depth strategy is moving</w:t>
            </w:r>
          </w:p>
        </w:tc>
      </w:tr>
    </w:tbl>
    <w:p>
      <w:pPr>
        <w:spacing w:after="80"/>
      </w:pPr>
    </w:p>
    <w:p>
      <w:pPr>
        <w:spacing w:before="200" w:after="60"/>
      </w:pPr>
      <w:r>
        <w:rPr>
          <w:rFonts w:ascii="Calibri" w:hAnsi="Calibri"/>
          <w:b/>
          <w:i w:val="0"/>
          <w:color w:val="6DA34A"/>
          <w:sz w:val="24"/>
        </w:rPr>
        <w:t>What to report to leadership at Day 90</w:t>
      </w:r>
    </w:p>
    <w:p>
      <w:pPr>
        <w:spacing w:after="100"/>
      </w:pPr>
      <w:r>
        <w:rPr>
          <w:rFonts w:ascii="Calibri" w:hAnsi="Calibri"/>
          <w:b w:val="0"/>
          <w:i w:val="0"/>
          <w:color w:val="545454"/>
          <w:sz w:val="22"/>
        </w:rPr>
        <w:t xml:space="preserve">This is the full ROI report. Share closed revenue, pipeline value, cost per deal, and a recommendation: continue, adjust, or expand. </w:t>
      </w:r>
      <w:r>
        <w:rPr>
          <w:rFonts w:ascii="Calibri" w:hAnsi="Calibri"/>
          <w:b/>
          <w:i w:val="0"/>
          <w:color w:val="2E3440"/>
          <w:sz w:val="22"/>
        </w:rPr>
        <w:t>At $3,000/month, two closed deals in 90 days with any meaningful transaction volume pays for the campaign many times over.</w:t>
      </w:r>
      <w:r>
        <w:rPr>
          <w:rFonts w:ascii="Calibri" w:hAnsi="Calibri"/>
          <w:b w:val="0"/>
          <w:i w:val="0"/>
          <w:color w:val="545454"/>
          <w:sz w:val="22"/>
        </w:rPr>
      </w:r>
    </w:p>
    <w:p>
      <w:pPr>
        <w:pBdr>
          <w:bottom w:val="single" w:sz="4" w:space="1" w:color="d8dee9"/>
        </w:pBdr>
        <w:spacing w:before="80" w:after="80"/>
      </w:pPr>
    </w:p>
    <w:p>
      <w:pPr>
        <w:spacing w:before="280" w:after="80"/>
        <w:pBdr>
          <w:bottom w:val="single" w:sz="6" w:space="4" w:color="6da34a"/>
        </w:pBdr>
      </w:pPr>
      <w:r>
        <w:rPr>
          <w:rFonts w:ascii="Calibri" w:hAnsi="Calibri"/>
          <w:b/>
          <w:i w:val="0"/>
          <w:color w:val="2E3440"/>
          <w:sz w:val="28"/>
        </w:rPr>
        <w:t>ROI Reference Frame</w:t>
      </w:r>
    </w:p>
    <w:p>
      <w:pPr>
        <w:spacing w:after="100"/>
      </w:pPr>
      <w:r>
        <w:rPr>
          <w:rFonts w:ascii="Calibri" w:hAnsi="Calibri"/>
          <w:b w:val="0"/>
          <w:i w:val="0"/>
          <w:color w:val="545454"/>
          <w:sz w:val="22"/>
        </w:rPr>
        <w:t>Use this to anchor leadership conversations at any phase.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160"/>
            <w:shd w:val="clear" w:color="auto" w:fill="2e3440"/>
          </w:tcPr>
          <w:p>
            <w:r>
              <w:rPr>
                <w:rFonts w:ascii="Calibri" w:hAnsi="Calibri"/>
                <w:b/>
                <w:i w:val="0"/>
                <w:color w:val="FFFFFF"/>
                <w:sz w:val="20"/>
              </w:rPr>
              <w:t>Scenario</w:t>
            </w:r>
          </w:p>
        </w:tc>
        <w:tc>
          <w:tcPr>
            <w:tcW w:type="dxa" w:w="1584"/>
            <w:shd w:val="clear" w:color="auto" w:fill="2e3440"/>
          </w:tcPr>
          <w:p>
            <w:r>
              <w:rPr>
                <w:rFonts w:ascii="Calibri" w:hAnsi="Calibri"/>
                <w:b/>
                <w:i w:val="0"/>
                <w:color w:val="FFFFFF"/>
                <w:sz w:val="20"/>
              </w:rPr>
              <w:t>Deals Closed</w:t>
            </w:r>
          </w:p>
        </w:tc>
        <w:tc>
          <w:tcPr>
            <w:tcW w:type="dxa" w:w="3168"/>
            <w:shd w:val="clear" w:color="auto" w:fill="2e3440"/>
          </w:tcPr>
          <w:p>
            <w:r>
              <w:rPr>
                <w:rFonts w:ascii="Calibri" w:hAnsi="Calibri"/>
                <w:b/>
                <w:i w:val="0"/>
                <w:color w:val="FFFFFF"/>
                <w:sz w:val="20"/>
              </w:rPr>
              <w:t>Est. Annual Transaction Value</w:t>
            </w:r>
          </w:p>
        </w:tc>
        <w:tc>
          <w:tcPr>
            <w:tcW w:type="dxa" w:w="2592"/>
            <w:shd w:val="clear" w:color="auto" w:fill="2e3440"/>
          </w:tcPr>
          <w:p>
            <w:r>
              <w:rPr>
                <w:rFonts w:ascii="Calibri" w:hAnsi="Calibri"/>
                <w:b/>
                <w:i w:val="0"/>
                <w:color w:val="FFFFFF"/>
                <w:sz w:val="20"/>
              </w:rPr>
              <w:t>Campaign Cost (90 days)</w:t>
            </w:r>
          </w:p>
        </w:tc>
        <w:tc>
          <w:tcPr>
            <w:tcW w:type="dxa" w:w="1296"/>
            <w:shd w:val="clear" w:color="auto" w:fill="2e3440"/>
          </w:tcPr>
          <w:p>
            <w:r>
              <w:rPr>
                <w:rFonts w:ascii="Calibri" w:hAnsi="Calibri"/>
                <w:b/>
                <w:i w:val="0"/>
                <w:color w:val="FFFFFF"/>
                <w:sz w:val="20"/>
              </w:rPr>
              <w:t>ROI</w:t>
            </w:r>
          </w:p>
        </w:tc>
      </w:tr>
      <w:tr>
        <w:tc>
          <w:tcPr>
            <w:tcW w:type="dxa" w:w="2160"/>
            <w:shd w:val="clear" w:color="auto" w:fill="f8fafb"/>
          </w:tcPr>
          <w:p>
            <w:pPr>
              <w:spacing w:after="40"/>
            </w:pPr>
            <w:r>
              <w:rPr>
                <w:rFonts w:ascii="Calibri" w:hAnsi="Calibri"/>
                <w:b w:val="0"/>
                <w:i w:val="0"/>
                <w:color w:val="545454"/>
                <w:sz w:val="22"/>
              </w:rPr>
              <w:t>Conservative</w:t>
            </w:r>
          </w:p>
        </w:tc>
        <w:tc>
          <w:tcPr>
            <w:tcW w:type="dxa" w:w="1584"/>
            <w:shd w:val="clear" w:color="auto" w:fill="f8fafb"/>
          </w:tcPr>
          <w:p>
            <w:pPr>
              <w:spacing w:after="40"/>
            </w:pPr>
            <w:r>
              <w:rPr>
                <w:rFonts w:ascii="Calibri" w:hAnsi="Calibri"/>
                <w:b w:val="0"/>
                <w:i w:val="0"/>
                <w:color w:val="545454"/>
                <w:sz w:val="22"/>
              </w:rPr>
              <w:t>1</w:t>
            </w:r>
          </w:p>
        </w:tc>
        <w:tc>
          <w:tcPr>
            <w:tcW w:type="dxa" w:w="3168"/>
            <w:shd w:val="clear" w:color="auto" w:fill="f8fafb"/>
          </w:tcPr>
          <w:p>
            <w:pPr>
              <w:spacing w:after="40"/>
            </w:pPr>
            <w:r>
              <w:rPr>
                <w:rFonts w:ascii="Calibri" w:hAnsi="Calibri"/>
                <w:b w:val="0"/>
                <w:i w:val="0"/>
                <w:color w:val="545454"/>
                <w:sz w:val="22"/>
              </w:rPr>
              <w:t>$20,000</w:t>
            </w:r>
          </w:p>
        </w:tc>
        <w:tc>
          <w:tcPr>
            <w:tcW w:type="dxa" w:w="2592"/>
            <w:shd w:val="clear" w:color="auto" w:fill="f8fafb"/>
          </w:tcPr>
          <w:p>
            <w:pPr>
              <w:spacing w:after="40"/>
            </w:pPr>
            <w:r>
              <w:rPr>
                <w:rFonts w:ascii="Calibri" w:hAnsi="Calibri"/>
                <w:b w:val="0"/>
                <w:i w:val="0"/>
                <w:color w:val="545454"/>
                <w:sz w:val="22"/>
              </w:rPr>
              <w:t>$9,000</w:t>
            </w:r>
          </w:p>
        </w:tc>
        <w:tc>
          <w:tcPr>
            <w:tcW w:type="dxa" w:w="1296"/>
            <w:shd w:val="clear" w:color="auto" w:fill="f8fafb"/>
          </w:tcPr>
          <w:p>
            <w:pPr>
              <w:spacing w:after="40"/>
            </w:pPr>
            <w:r>
              <w:rPr>
                <w:rFonts w:ascii="Calibri" w:hAnsi="Calibri"/>
                <w:b w:val="0"/>
                <w:i w:val="0"/>
                <w:color w:val="545454"/>
                <w:sz w:val="22"/>
              </w:rPr>
              <w:t>2.2x</w:t>
            </w:r>
          </w:p>
        </w:tc>
      </w:tr>
      <w:tr>
        <w:tc>
          <w:tcPr>
            <w:tcW w:type="dxa" w:w="2160"/>
            <w:shd w:val="clear" w:color="auto" w:fill="ffffff"/>
          </w:tcPr>
          <w:p>
            <w:pPr>
              <w:spacing w:after="40"/>
            </w:pPr>
            <w:r>
              <w:rPr>
                <w:rFonts w:ascii="Calibri" w:hAnsi="Calibri"/>
                <w:b w:val="0"/>
                <w:i w:val="0"/>
                <w:color w:val="545454"/>
                <w:sz w:val="22"/>
              </w:rPr>
              <w:t>Base case</w:t>
            </w:r>
          </w:p>
        </w:tc>
        <w:tc>
          <w:tcPr>
            <w:tcW w:type="dxa" w:w="1584"/>
            <w:shd w:val="clear" w:color="auto" w:fill="ffffff"/>
          </w:tcPr>
          <w:p>
            <w:pPr>
              <w:spacing w:after="40"/>
            </w:pPr>
            <w:r>
              <w:rPr>
                <w:rFonts w:ascii="Calibri" w:hAnsi="Calibri"/>
                <w:b w:val="0"/>
                <w:i w:val="0"/>
                <w:color w:val="545454"/>
                <w:sz w:val="22"/>
              </w:rPr>
              <w:t>2</w:t>
            </w:r>
          </w:p>
        </w:tc>
        <w:tc>
          <w:tcPr>
            <w:tcW w:type="dxa" w:w="3168"/>
            <w:shd w:val="clear" w:color="auto" w:fill="ffffff"/>
          </w:tcPr>
          <w:p>
            <w:pPr>
              <w:spacing w:after="40"/>
            </w:pPr>
            <w:r>
              <w:rPr>
                <w:rFonts w:ascii="Calibri" w:hAnsi="Calibri"/>
                <w:b w:val="0"/>
                <w:i w:val="0"/>
                <w:color w:val="545454"/>
                <w:sz w:val="22"/>
              </w:rPr>
              <w:t>$50,000</w:t>
            </w:r>
          </w:p>
        </w:tc>
        <w:tc>
          <w:tcPr>
            <w:tcW w:type="dxa" w:w="2592"/>
            <w:shd w:val="clear" w:color="auto" w:fill="ffffff"/>
          </w:tcPr>
          <w:p>
            <w:pPr>
              <w:spacing w:after="40"/>
            </w:pPr>
            <w:r>
              <w:rPr>
                <w:rFonts w:ascii="Calibri" w:hAnsi="Calibri"/>
                <w:b w:val="0"/>
                <w:i w:val="0"/>
                <w:color w:val="545454"/>
                <w:sz w:val="22"/>
              </w:rPr>
              <w:t>$9,000</w:t>
            </w:r>
          </w:p>
        </w:tc>
        <w:tc>
          <w:tcPr>
            <w:tcW w:type="dxa" w:w="1296"/>
            <w:shd w:val="clear" w:color="auto" w:fill="ffffff"/>
          </w:tcPr>
          <w:p>
            <w:pPr>
              <w:spacing w:after="40"/>
            </w:pPr>
            <w:r>
              <w:rPr>
                <w:rFonts w:ascii="Calibri" w:hAnsi="Calibri"/>
                <w:b w:val="0"/>
                <w:i w:val="0"/>
                <w:color w:val="545454"/>
                <w:sz w:val="22"/>
              </w:rPr>
              <w:t>5.6x</w:t>
            </w:r>
          </w:p>
        </w:tc>
      </w:tr>
      <w:tr>
        <w:tc>
          <w:tcPr>
            <w:tcW w:type="dxa" w:w="2160"/>
            <w:shd w:val="clear" w:color="auto" w:fill="f8fafb"/>
          </w:tcPr>
          <w:p>
            <w:pPr>
              <w:spacing w:after="40"/>
            </w:pPr>
            <w:r>
              <w:rPr>
                <w:rFonts w:ascii="Calibri" w:hAnsi="Calibri"/>
                <w:b w:val="0"/>
                <w:i w:val="0"/>
                <w:color w:val="545454"/>
                <w:sz w:val="22"/>
              </w:rPr>
              <w:t>Strong</w:t>
            </w:r>
          </w:p>
        </w:tc>
        <w:tc>
          <w:tcPr>
            <w:tcW w:type="dxa" w:w="1584"/>
            <w:shd w:val="clear" w:color="auto" w:fill="f8fafb"/>
          </w:tcPr>
          <w:p>
            <w:pPr>
              <w:spacing w:after="40"/>
            </w:pPr>
            <w:r>
              <w:rPr>
                <w:rFonts w:ascii="Calibri" w:hAnsi="Calibri"/>
                <w:b w:val="0"/>
                <w:i w:val="0"/>
                <w:color w:val="545454"/>
                <w:sz w:val="22"/>
              </w:rPr>
              <w:t>3+</w:t>
            </w:r>
          </w:p>
        </w:tc>
        <w:tc>
          <w:tcPr>
            <w:tcW w:type="dxa" w:w="3168"/>
            <w:shd w:val="clear" w:color="auto" w:fill="f8fafb"/>
          </w:tcPr>
          <w:p>
            <w:pPr>
              <w:spacing w:after="40"/>
            </w:pPr>
            <w:r>
              <w:rPr>
                <w:rFonts w:ascii="Calibri" w:hAnsi="Calibri"/>
                <w:b w:val="0"/>
                <w:i w:val="0"/>
                <w:color w:val="545454"/>
                <w:sz w:val="22"/>
              </w:rPr>
              <w:t>$100,000+</w:t>
            </w:r>
          </w:p>
        </w:tc>
        <w:tc>
          <w:tcPr>
            <w:tcW w:type="dxa" w:w="2592"/>
            <w:shd w:val="clear" w:color="auto" w:fill="f8fafb"/>
          </w:tcPr>
          <w:p>
            <w:pPr>
              <w:spacing w:after="40"/>
            </w:pPr>
            <w:r>
              <w:rPr>
                <w:rFonts w:ascii="Calibri" w:hAnsi="Calibri"/>
                <w:b w:val="0"/>
                <w:i w:val="0"/>
                <w:color w:val="545454"/>
                <w:sz w:val="22"/>
              </w:rPr>
              <w:t>$9,000</w:t>
            </w:r>
          </w:p>
        </w:tc>
        <w:tc>
          <w:tcPr>
            <w:tcW w:type="dxa" w:w="1296"/>
            <w:shd w:val="clear" w:color="auto" w:fill="f8fafb"/>
          </w:tcPr>
          <w:p>
            <w:pPr>
              <w:spacing w:after="40"/>
            </w:pPr>
            <w:r>
              <w:rPr>
                <w:rFonts w:ascii="Calibri" w:hAnsi="Calibri"/>
                <w:b w:val="0"/>
                <w:i w:val="0"/>
                <w:color w:val="545454"/>
                <w:sz w:val="22"/>
              </w:rPr>
              <w:t>11x+</w:t>
            </w:r>
          </w:p>
        </w:tc>
      </w:tr>
    </w:tbl>
    <w:p>
      <w:pPr>
        <w:spacing w:after="80"/>
      </w:pPr>
    </w:p>
    <w:p>
      <w:pPr>
        <w:spacing w:after="80"/>
      </w:pPr>
      <w:r>
        <w:rPr>
          <w:rFonts w:ascii="Calibri" w:hAnsi="Calibri"/>
          <w:b w:val="0"/>
          <w:i/>
          <w:color w:val="6B7280"/>
          <w:sz w:val="20"/>
        </w:rPr>
        <w:t>Transaction value estimates based on average FI deal size. Adjust with CRO input once first deals close.</w:t>
      </w:r>
    </w:p>
    <w:p>
      <w:pPr>
        <w:pBdr>
          <w:bottom w:val="single" w:sz="4" w:space="1" w:color="d8dee9"/>
        </w:pBdr>
        <w:spacing w:before="80" w:after="80"/>
      </w:pPr>
    </w:p>
    <w:p>
      <w:pPr>
        <w:spacing w:before="280" w:after="80"/>
        <w:pBdr>
          <w:bottom w:val="single" w:sz="6" w:space="4" w:color="6da34a"/>
        </w:pBdr>
      </w:pPr>
      <w:r>
        <w:rPr>
          <w:rFonts w:ascii="Calibri" w:hAnsi="Calibri"/>
          <w:b/>
          <w:i w:val="0"/>
          <w:color w:val="2E3440"/>
          <w:sz w:val="28"/>
        </w:rPr>
        <w:t>Decision Rules — When to Adjust vs. Stay the Course</w:t>
      </w:r>
    </w:p>
    <w:tbl>
      <w:tblPr>
        <w:tblStyle w:val="TableGrid"/>
        <w:tblW w:type="auto" w:w="0"/>
        <w:tblLook w:firstColumn="1" w:firstRow="1" w:lastColumn="0" w:lastRow="0" w:noHBand="0" w:noVBand="1" w:val="04A0"/>
      </w:tblPr>
      <w:tblGrid>
        <w:gridCol w:w="4680"/>
        <w:gridCol w:w="4680"/>
      </w:tblGrid>
      <w:tr>
        <w:tc>
          <w:tcPr>
            <w:tcW w:type="dxa" w:w="4608"/>
            <w:shd w:val="clear" w:color="auto" w:fill="2e3440"/>
          </w:tcPr>
          <w:p>
            <w:r>
              <w:rPr>
                <w:rFonts w:ascii="Calibri" w:hAnsi="Calibri"/>
                <w:b/>
                <w:i w:val="0"/>
                <w:color w:val="FFFFFF"/>
                <w:sz w:val="20"/>
              </w:rPr>
              <w:t>Signal</w:t>
            </w:r>
          </w:p>
        </w:tc>
        <w:tc>
          <w:tcPr>
            <w:tcW w:type="dxa" w:w="4752"/>
            <w:shd w:val="clear" w:color="auto" w:fill="2e3440"/>
          </w:tcPr>
          <w:p>
            <w:r>
              <w:rPr>
                <w:rFonts w:ascii="Calibri" w:hAnsi="Calibri"/>
                <w:b/>
                <w:i w:val="0"/>
                <w:color w:val="FFFFFF"/>
                <w:sz w:val="20"/>
              </w:rPr>
              <w:t>Action</w:t>
            </w:r>
          </w:p>
        </w:tc>
      </w:tr>
      <w:tr>
        <w:tc>
          <w:tcPr>
            <w:tcW w:type="dxa" w:w="4608"/>
            <w:shd w:val="clear" w:color="auto" w:fill="f8fafb"/>
          </w:tcPr>
          <w:p>
            <w:pPr>
              <w:spacing w:after="40"/>
            </w:pPr>
            <w:r>
              <w:rPr>
                <w:rFonts w:ascii="Calibri" w:hAnsi="Calibri"/>
                <w:b w:val="0"/>
                <w:i w:val="0"/>
                <w:color w:val="545454"/>
                <w:sz w:val="22"/>
              </w:rPr>
              <w:t>CTR below 1% at Day 30</w:t>
            </w:r>
          </w:p>
        </w:tc>
        <w:tc>
          <w:tcPr>
            <w:tcW w:type="dxa" w:w="4752"/>
            <w:shd w:val="clear" w:color="auto" w:fill="f8fafb"/>
          </w:tcPr>
          <w:p>
            <w:pPr>
              <w:spacing w:after="40"/>
            </w:pPr>
            <w:r>
              <w:rPr>
                <w:rFonts w:ascii="Calibri" w:hAnsi="Calibri"/>
                <w:b w:val="0"/>
                <w:i w:val="0"/>
                <w:color w:val="545454"/>
                <w:sz w:val="22"/>
              </w:rPr>
              <w:t>Test new headlines. Do not cut budget yet.</w:t>
            </w:r>
          </w:p>
        </w:tc>
      </w:tr>
      <w:tr>
        <w:tc>
          <w:tcPr>
            <w:tcW w:type="dxa" w:w="4608"/>
            <w:shd w:val="clear" w:color="auto" w:fill="ffffff"/>
          </w:tcPr>
          <w:p>
            <w:pPr>
              <w:spacing w:after="40"/>
            </w:pPr>
            <w:r>
              <w:rPr>
                <w:rFonts w:ascii="Calibri" w:hAnsi="Calibri"/>
                <w:b w:val="0"/>
                <w:i w:val="0"/>
                <w:color w:val="545454"/>
                <w:sz w:val="22"/>
              </w:rPr>
              <w:t>CPL above $500 at Day 30</w:t>
            </w:r>
          </w:p>
        </w:tc>
        <w:tc>
          <w:tcPr>
            <w:tcW w:type="dxa" w:w="4752"/>
            <w:shd w:val="clear" w:color="auto" w:fill="ffffff"/>
          </w:tcPr>
          <w:p>
            <w:pPr>
              <w:spacing w:after="40"/>
            </w:pPr>
            <w:r>
              <w:rPr>
                <w:rFonts w:ascii="Calibri" w:hAnsi="Calibri"/>
                <w:b w:val="0"/>
                <w:i w:val="0"/>
                <w:color w:val="545454"/>
                <w:sz w:val="22"/>
              </w:rPr>
              <w:t>Tighten keyword match types. Review negative keyword list.</w:t>
            </w:r>
          </w:p>
        </w:tc>
      </w:tr>
      <w:tr>
        <w:tc>
          <w:tcPr>
            <w:tcW w:type="dxa" w:w="4608"/>
            <w:shd w:val="clear" w:color="auto" w:fill="f8fafb"/>
          </w:tcPr>
          <w:p>
            <w:pPr>
              <w:spacing w:after="40"/>
            </w:pPr>
            <w:r>
              <w:rPr>
                <w:rFonts w:ascii="Calibri" w:hAnsi="Calibri"/>
                <w:b w:val="0"/>
                <w:i w:val="0"/>
                <w:color w:val="545454"/>
                <w:sz w:val="22"/>
              </w:rPr>
              <w:t>Fewer than 5 form fills at Day 30</w:t>
            </w:r>
          </w:p>
        </w:tc>
        <w:tc>
          <w:tcPr>
            <w:tcW w:type="dxa" w:w="4752"/>
            <w:shd w:val="clear" w:color="auto" w:fill="f8fafb"/>
          </w:tcPr>
          <w:p>
            <w:pPr>
              <w:spacing w:after="40"/>
            </w:pPr>
            <w:r>
              <w:rPr>
                <w:rFonts w:ascii="Calibri" w:hAnsi="Calibri"/>
                <w:b w:val="0"/>
                <w:i w:val="0"/>
                <w:color w:val="545454"/>
                <w:sz w:val="22"/>
              </w:rPr>
              <w:t>Check landing page — may be the conversion bottleneck, not the ads.</w:t>
            </w:r>
          </w:p>
        </w:tc>
      </w:tr>
      <w:tr>
        <w:tc>
          <w:tcPr>
            <w:tcW w:type="dxa" w:w="4608"/>
            <w:shd w:val="clear" w:color="auto" w:fill="ffffff"/>
          </w:tcPr>
          <w:p>
            <w:pPr>
              <w:spacing w:after="40"/>
            </w:pPr>
            <w:r>
              <w:rPr>
                <w:rFonts w:ascii="Calibri" w:hAnsi="Calibri"/>
                <w:b w:val="0"/>
                <w:i w:val="0"/>
                <w:color w:val="545454"/>
                <w:sz w:val="22"/>
              </w:rPr>
              <w:t>Sales not following up within 48 hours</w:t>
            </w:r>
          </w:p>
        </w:tc>
        <w:tc>
          <w:tcPr>
            <w:tcW w:type="dxa" w:w="4752"/>
            <w:shd w:val="clear" w:color="auto" w:fill="ffffff"/>
          </w:tcPr>
          <w:p>
            <w:pPr>
              <w:spacing w:after="40"/>
            </w:pPr>
            <w:r>
              <w:rPr>
                <w:rFonts w:ascii="Calibri" w:hAnsi="Calibri"/>
                <w:b w:val="0"/>
                <w:i w:val="0"/>
                <w:color w:val="545454"/>
                <w:sz w:val="22"/>
              </w:rPr>
              <w:t>Escalate to CRO. A lead problem is not an ad problem.</w:t>
            </w:r>
          </w:p>
        </w:tc>
      </w:tr>
      <w:tr>
        <w:tc>
          <w:tcPr>
            <w:tcW w:type="dxa" w:w="4608"/>
            <w:shd w:val="clear" w:color="auto" w:fill="f8fafb"/>
          </w:tcPr>
          <w:p>
            <w:pPr>
              <w:spacing w:after="40"/>
            </w:pPr>
            <w:r>
              <w:rPr>
                <w:rFonts w:ascii="Calibri" w:hAnsi="Calibri"/>
                <w:b w:val="0"/>
                <w:i w:val="0"/>
                <w:color w:val="545454"/>
                <w:sz w:val="22"/>
              </w:rPr>
              <w:t>Zero qualified conversations at Day 60</w:t>
            </w:r>
          </w:p>
        </w:tc>
        <w:tc>
          <w:tcPr>
            <w:tcW w:type="dxa" w:w="4752"/>
            <w:shd w:val="clear" w:color="auto" w:fill="f8fafb"/>
          </w:tcPr>
          <w:p>
            <w:pPr>
              <w:spacing w:after="40"/>
            </w:pPr>
            <w:r>
              <w:rPr>
                <w:rFonts w:ascii="Calibri" w:hAnsi="Calibri"/>
                <w:b w:val="0"/>
                <w:i w:val="0"/>
                <w:color w:val="545454"/>
                <w:sz w:val="22"/>
              </w:rPr>
              <w:t>Review lead quality. Consider tightening audience targeting.</w:t>
            </w:r>
          </w:p>
        </w:tc>
      </w:tr>
      <w:tr>
        <w:tc>
          <w:tcPr>
            <w:tcW w:type="dxa" w:w="4608"/>
            <w:shd w:val="clear" w:color="auto" w:fill="ffffff"/>
          </w:tcPr>
          <w:p>
            <w:pPr>
              <w:spacing w:after="40"/>
            </w:pPr>
            <w:r>
              <w:rPr>
                <w:rFonts w:ascii="Calibri" w:hAnsi="Calibri"/>
                <w:b w:val="0"/>
                <w:i w:val="0"/>
                <w:color w:val="545454"/>
                <w:sz w:val="22"/>
              </w:rPr>
              <w:t>Pipeline value under $20K at Day 60</w:t>
            </w:r>
          </w:p>
        </w:tc>
        <w:tc>
          <w:tcPr>
            <w:tcW w:type="dxa" w:w="4752"/>
            <w:shd w:val="clear" w:color="auto" w:fill="ffffff"/>
          </w:tcPr>
          <w:p>
            <w:pPr>
              <w:spacing w:after="40"/>
            </w:pPr>
            <w:r>
              <w:rPr>
                <w:rFonts w:ascii="Calibri" w:hAnsi="Calibri"/>
                <w:b w:val="0"/>
                <w:i w:val="0"/>
                <w:color w:val="545454"/>
                <w:sz w:val="22"/>
              </w:rPr>
              <w:t>Assess whether ICP is right. May need segment adjustment.</w:t>
            </w:r>
          </w:p>
        </w:tc>
      </w:tr>
      <w:tr>
        <w:tc>
          <w:tcPr>
            <w:tcW w:type="dxa" w:w="4608"/>
            <w:shd w:val="clear" w:color="auto" w:fill="f8fafb"/>
          </w:tcPr>
          <w:p>
            <w:pPr>
              <w:spacing w:after="40"/>
            </w:pPr>
            <w:r>
              <w:rPr>
                <w:rFonts w:ascii="Calibri" w:hAnsi="Calibri"/>
                <w:b w:val="0"/>
                <w:i w:val="0"/>
                <w:color w:val="545454"/>
                <w:sz w:val="22"/>
              </w:rPr>
              <w:t>2 or more deals closed or in final stage at 90</w:t>
            </w:r>
          </w:p>
        </w:tc>
        <w:tc>
          <w:tcPr>
            <w:tcW w:type="dxa" w:w="4752"/>
            <w:shd w:val="clear" w:color="auto" w:fill="f8fafb"/>
          </w:tcPr>
          <w:p>
            <w:pPr>
              <w:spacing w:after="40"/>
            </w:pPr>
            <w:r>
              <w:rPr>
                <w:rFonts w:ascii="Calibri" w:hAnsi="Calibri"/>
                <w:b w:val="0"/>
                <w:i w:val="0"/>
                <w:color w:val="545454"/>
                <w:sz w:val="22"/>
              </w:rPr>
              <w:t>Expand budget. The model is working.</w:t>
            </w:r>
          </w:p>
        </w:tc>
      </w:tr>
    </w:tbl>
    <w:p>
      <w:pPr>
        <w:spacing w:after="80"/>
      </w:pPr>
    </w:p>
    <w:p>
      <w:pPr>
        <w:pBdr>
          <w:bottom w:val="single" w:sz="4" w:space="1" w:color="d8dee9"/>
        </w:pBdr>
        <w:spacing w:before="80" w:after="80"/>
      </w:pPr>
    </w:p>
    <w:p>
      <w:pPr>
        <w:spacing w:after="80"/>
      </w:pPr>
      <w:r>
        <w:rPr>
          <w:rFonts w:ascii="Calibri" w:hAnsi="Calibri"/>
          <w:b w:val="0"/>
          <w:i/>
          <w:color w:val="6B7280"/>
          <w:sz w:val="20"/>
        </w:rPr>
        <w:t>Source of truth: PROJECT-DOCS/build-scripts/build_signix_measurement_timeline_docx.py | Generated April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