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6479" w:rsidRDefault="00876479" w:rsidP="00876479">
      <w:pPr>
        <w:autoSpaceDE w:val="0"/>
        <w:autoSpaceDN w:val="0"/>
        <w:adjustRightInd w:val="0"/>
        <w:jc w:val="center"/>
        <w:rPr>
          <w:rFonts w:ascii="Helvetica Neue" w:hAnsi="Helvetica Neue" w:cs="Helvetica Neue"/>
          <w:b/>
          <w:bCs/>
          <w:color w:val="000000"/>
          <w:sz w:val="22"/>
          <w:szCs w:val="22"/>
          <w:u w:val="single" w:color="000000"/>
          <w:lang w:val="fr-FR"/>
        </w:rPr>
      </w:pPr>
      <w:r>
        <w:rPr>
          <w:rFonts w:ascii="Helvetica Neue" w:hAnsi="Helvetica Neue" w:cs="Helvetica Neue"/>
          <w:b/>
          <w:bCs/>
          <w:color w:val="000000"/>
          <w:sz w:val="22"/>
          <w:szCs w:val="22"/>
          <w:u w:val="single" w:color="000000"/>
          <w:lang w:val="fr-FR"/>
        </w:rPr>
        <w:t>PROJET PIF - 25/8/2020</w:t>
      </w:r>
    </w:p>
    <w:p w:rsidR="00876479" w:rsidRDefault="00876479" w:rsidP="00876479">
      <w:pPr>
        <w:autoSpaceDE w:val="0"/>
        <w:autoSpaceDN w:val="0"/>
        <w:adjustRightInd w:val="0"/>
        <w:jc w:val="center"/>
        <w:rPr>
          <w:rFonts w:ascii="Helvetica Neue" w:hAnsi="Helvetica Neue" w:cs="Helvetica Neue"/>
          <w:color w:val="000000"/>
          <w:sz w:val="22"/>
          <w:szCs w:val="22"/>
          <w:u w:color="000000"/>
          <w:lang w:val="fr-FR"/>
        </w:rPr>
      </w:pPr>
    </w:p>
    <w:tbl>
      <w:tblPr>
        <w:tblW w:w="9322" w:type="dxa"/>
        <w:tblInd w:w="-118" w:type="dxa"/>
        <w:tblBorders>
          <w:top w:val="nil"/>
          <w:left w:val="nil"/>
          <w:right w:val="nil"/>
        </w:tblBorders>
        <w:tblLayout w:type="fixed"/>
        <w:tblLook w:val="0000" w:firstRow="0" w:lastRow="0" w:firstColumn="0" w:lastColumn="0" w:noHBand="0" w:noVBand="0"/>
      </w:tblPr>
      <w:tblGrid>
        <w:gridCol w:w="1420"/>
        <w:gridCol w:w="956"/>
        <w:gridCol w:w="1964"/>
        <w:gridCol w:w="2540"/>
        <w:gridCol w:w="1308"/>
        <w:gridCol w:w="1134"/>
      </w:tblGrid>
      <w:tr w:rsidR="00876479" w:rsidTr="00876479">
        <w:tblPrEx>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Nom</w:t>
            </w:r>
          </w:p>
        </w:tc>
        <w:tc>
          <w:tcPr>
            <w:tcW w:w="956"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Durée</w:t>
            </w:r>
          </w:p>
        </w:tc>
        <w:tc>
          <w:tcPr>
            <w:tcW w:w="1964"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Objectif</w:t>
            </w:r>
          </w:p>
        </w:tc>
        <w:tc>
          <w:tcPr>
            <w:tcW w:w="254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Contenu</w:t>
            </w:r>
          </w:p>
        </w:tc>
        <w:tc>
          <w:tcPr>
            <w:tcW w:w="1308"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Prérecquis</w:t>
            </w:r>
          </w:p>
        </w:tc>
        <w:tc>
          <w:tcPr>
            <w:tcW w:w="1134"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Dates</w:t>
            </w:r>
          </w:p>
        </w:tc>
      </w:tr>
      <w:tr w:rsidR="00876479" w:rsidTr="00876479">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D4D4D4"/>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Travaillez mieux en équipe et apprenez à manager</w:t>
            </w:r>
          </w:p>
        </w:tc>
        <w:tc>
          <w:tcPr>
            <w:tcW w:w="95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2 jours</w:t>
            </w:r>
          </w:p>
        </w:tc>
        <w:tc>
          <w:tcPr>
            <w:tcW w:w="196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000000"/>
                <w:sz w:val="18"/>
                <w:szCs w:val="18"/>
                <w:u w:color="000000"/>
                <w:lang w:val="fr-FR"/>
              </w:rPr>
            </w:pPr>
            <w:r>
              <w:rPr>
                <w:rFonts w:ascii="Helvetica Neue" w:hAnsi="Helvetica Neue" w:cs="Helvetica Neue"/>
                <w:color w:val="000000"/>
                <w:sz w:val="18"/>
                <w:szCs w:val="18"/>
                <w:u w:color="000000"/>
                <w:lang w:val="fr-FR"/>
              </w:rPr>
              <w:t>• Mieux travailler en équipe et en cohésion, apprendre à manager une équipe</w:t>
            </w:r>
          </w:p>
          <w:p w:rsidR="00876479" w:rsidRDefault="00876479">
            <w:pPr>
              <w:autoSpaceDE w:val="0"/>
              <w:autoSpaceDN w:val="0"/>
              <w:adjustRightInd w:val="0"/>
              <w:rPr>
                <w:rFonts w:ascii="Helvetica Neue" w:hAnsi="Helvetica Neue" w:cs="Helvetica Neue"/>
                <w:color w:val="000000"/>
                <w:sz w:val="18"/>
                <w:szCs w:val="18"/>
                <w:u w:color="000000"/>
                <w:lang w:val="fr-FR"/>
              </w:rPr>
            </w:pPr>
            <w:r>
              <w:rPr>
                <w:rFonts w:ascii="Helvetica Neue" w:hAnsi="Helvetica Neue" w:cs="Helvetica Neue"/>
                <w:color w:val="000000"/>
                <w:sz w:val="18"/>
                <w:szCs w:val="18"/>
                <w:u w:color="000000"/>
                <w:lang w:val="fr-FR"/>
              </w:rPr>
              <w:t>• Développer des relations harmonieuses et savoir gérer les personnes difficiles</w:t>
            </w:r>
          </w:p>
          <w:p w:rsidR="00876479" w:rsidRDefault="00876479">
            <w:pPr>
              <w:autoSpaceDE w:val="0"/>
              <w:autoSpaceDN w:val="0"/>
              <w:adjustRightInd w:val="0"/>
              <w:rPr>
                <w:rFonts w:ascii="Helvetica Neue" w:hAnsi="Helvetica Neue" w:cs="Helvetica Neue"/>
                <w:color w:val="000000"/>
                <w:sz w:val="18"/>
                <w:szCs w:val="18"/>
                <w:u w:color="000000"/>
                <w:lang w:val="fr-FR"/>
              </w:rPr>
            </w:pPr>
            <w:r>
              <w:rPr>
                <w:rFonts w:ascii="Helvetica Neue" w:hAnsi="Helvetica Neue" w:cs="Helvetica Neue"/>
                <w:color w:val="000000"/>
                <w:sz w:val="18"/>
                <w:szCs w:val="18"/>
                <w:u w:color="000000"/>
                <w:lang w:val="fr-FR"/>
              </w:rPr>
              <w:t>• Apprendre à résoudre des problèmes ou des tensions</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 Mieux réagir face aux conflits et les traiter</w:t>
            </w:r>
          </w:p>
        </w:tc>
        <w:tc>
          <w:tcPr>
            <w:tcW w:w="2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000000"/>
                <w:sz w:val="18"/>
                <w:szCs w:val="18"/>
                <w:u w:color="000000"/>
                <w:lang w:val="fr-FR"/>
              </w:rPr>
            </w:pPr>
            <w:r>
              <w:rPr>
                <w:rFonts w:ascii="Helvetica Neue" w:hAnsi="Helvetica Neue" w:cs="Helvetica Neue"/>
                <w:color w:val="000000"/>
                <w:sz w:val="18"/>
                <w:szCs w:val="18"/>
                <w:u w:color="000000"/>
                <w:lang w:val="fr-FR"/>
              </w:rPr>
              <w:t>• S’entraîner à travailler en équipe et développer un management participatif</w:t>
            </w:r>
          </w:p>
          <w:p w:rsidR="00876479" w:rsidRDefault="00876479">
            <w:pPr>
              <w:autoSpaceDE w:val="0"/>
              <w:autoSpaceDN w:val="0"/>
              <w:adjustRightInd w:val="0"/>
              <w:rPr>
                <w:rFonts w:ascii="Helvetica Neue" w:hAnsi="Helvetica Neue" w:cs="Helvetica Neue"/>
                <w:color w:val="000000"/>
                <w:sz w:val="18"/>
                <w:szCs w:val="18"/>
                <w:u w:color="000000"/>
                <w:lang w:val="fr-FR"/>
              </w:rPr>
            </w:pPr>
            <w:r>
              <w:rPr>
                <w:rFonts w:ascii="Helvetica Neue" w:hAnsi="Helvetica Neue" w:cs="Helvetica Neue"/>
                <w:color w:val="000000"/>
                <w:sz w:val="18"/>
                <w:szCs w:val="18"/>
                <w:u w:color="000000"/>
                <w:lang w:val="fr-FR"/>
              </w:rPr>
              <w:t>• Développer sa confiance en soi et sa communication relationnelle avec les autres</w:t>
            </w:r>
          </w:p>
          <w:p w:rsidR="00876479" w:rsidRDefault="00876479">
            <w:pPr>
              <w:autoSpaceDE w:val="0"/>
              <w:autoSpaceDN w:val="0"/>
              <w:adjustRightInd w:val="0"/>
              <w:rPr>
                <w:rFonts w:ascii="Helvetica Neue" w:hAnsi="Helvetica Neue" w:cs="Helvetica Neue"/>
                <w:color w:val="000000"/>
                <w:sz w:val="18"/>
                <w:szCs w:val="18"/>
                <w:u w:color="000000"/>
                <w:lang w:val="fr-FR"/>
              </w:rPr>
            </w:pPr>
            <w:r>
              <w:rPr>
                <w:rFonts w:ascii="Helvetica Neue" w:hAnsi="Helvetica Neue" w:cs="Helvetica Neue"/>
                <w:color w:val="000000"/>
                <w:sz w:val="18"/>
                <w:szCs w:val="18"/>
                <w:u w:color="000000"/>
                <w:lang w:val="fr-FR"/>
              </w:rPr>
              <w:t>• Comprendre les mécanismes du conflit et éviter d’être déstabilisé</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 Utiliser des techniques et des outils de résolutions de problèmes et de conflits</w:t>
            </w:r>
          </w:p>
        </w:tc>
        <w:tc>
          <w:tcPr>
            <w:tcW w:w="130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 xml:space="preserve">avoir suivi le séminaire S-PM </w:t>
            </w:r>
            <w:r>
              <w:rPr>
                <w:rFonts w:ascii="Helvetica Neue" w:hAnsi="Helvetica Neue" w:cs="Helvetica Neue"/>
                <w:color w:val="E6000E"/>
                <w:sz w:val="18"/>
                <w:szCs w:val="18"/>
                <w:u w:color="000000"/>
                <w:lang w:val="fr-FR"/>
              </w:rPr>
              <w:t>"Découvrez les grands principes du management"</w:t>
            </w:r>
          </w:p>
        </w:tc>
        <w:tc>
          <w:tcPr>
            <w:tcW w:w="11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r>
      <w:tr w:rsidR="00876479" w:rsidTr="00876479">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D4D4D4"/>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Entrepreneunariat innovant</w:t>
            </w:r>
          </w:p>
        </w:tc>
        <w:tc>
          <w:tcPr>
            <w:tcW w:w="956"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 xml:space="preserve">1 jour </w:t>
            </w:r>
          </w:p>
        </w:tc>
        <w:tc>
          <w:tcPr>
            <w:tcW w:w="1964"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Décrypter les spécificités de l’entrepreneuriat innovant  </w:t>
            </w:r>
          </w:p>
          <w:p w:rsidR="00876479" w:rsidRDefault="008764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000000"/>
                <w:lang w:val="fr-FR"/>
              </w:rPr>
            </w:pPr>
          </w:p>
        </w:tc>
        <w:tc>
          <w:tcPr>
            <w:tcW w:w="25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Valorisation et le transfert de technologies,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Structures d’accompagnement des projets de création d’entreprise innovante,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Présentation d’un incubateur public</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Maturation de technologies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Acteurs de l’écosystème de l’innovation</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Études de cas sectorielles</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 Témoignages de deux entrepreneurs</w:t>
            </w:r>
          </w:p>
        </w:tc>
        <w:tc>
          <w:tcPr>
            <w:tcW w:w="1308"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r>
      <w:tr w:rsidR="00876479" w:rsidTr="00876479">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D4D4D4"/>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Histoire des sciences, histoire de l’innovation</w:t>
            </w:r>
          </w:p>
        </w:tc>
        <w:tc>
          <w:tcPr>
            <w:tcW w:w="95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2 heures</w:t>
            </w:r>
          </w:p>
        </w:tc>
        <w:tc>
          <w:tcPr>
            <w:tcW w:w="196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numPr>
                <w:ilvl w:val="0"/>
                <w:numId w:val="1"/>
              </w:numPr>
              <w:tabs>
                <w:tab w:val="left" w:pos="20"/>
                <w:tab w:val="left" w:pos="147"/>
              </w:tabs>
              <w:autoSpaceDE w:val="0"/>
              <w:autoSpaceDN w:val="0"/>
              <w:adjustRightInd w:val="0"/>
              <w:ind w:left="147" w:hanging="148"/>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Développer une culture générale sur l’histoire contemporaine des sciences et des techniques</w:t>
            </w:r>
          </w:p>
          <w:p w:rsidR="00876479" w:rsidRDefault="00876479">
            <w:pPr>
              <w:numPr>
                <w:ilvl w:val="0"/>
                <w:numId w:val="1"/>
              </w:numPr>
              <w:tabs>
                <w:tab w:val="left" w:pos="20"/>
                <w:tab w:val="left" w:pos="147"/>
              </w:tabs>
              <w:autoSpaceDE w:val="0"/>
              <w:autoSpaceDN w:val="0"/>
              <w:adjustRightInd w:val="0"/>
              <w:ind w:left="147" w:hanging="148"/>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S’initier aux modes de pensée en sciences humaines et sociales et à la recherche contemporaine sur l’histoire des sciences et de l’innovation</w:t>
            </w:r>
          </w:p>
          <w:p w:rsidR="00876479" w:rsidRDefault="00876479">
            <w:pPr>
              <w:numPr>
                <w:ilvl w:val="0"/>
                <w:numId w:val="1"/>
              </w:numPr>
              <w:tabs>
                <w:tab w:val="left" w:pos="20"/>
                <w:tab w:val="left" w:pos="147"/>
              </w:tabs>
              <w:autoSpaceDE w:val="0"/>
              <w:autoSpaceDN w:val="0"/>
              <w:adjustRightInd w:val="0"/>
              <w:ind w:left="147" w:hanging="148"/>
              <w:rPr>
                <w:rFonts w:ascii="Helvetica" w:hAnsi="Helvetica" w:cs="Helvetica"/>
                <w:u w:color="000000"/>
                <w:lang w:val="fr-FR"/>
              </w:rPr>
            </w:pPr>
            <w:r>
              <w:rPr>
                <w:rFonts w:ascii="Helvetica Neue" w:hAnsi="Helvetica Neue" w:cs="Helvetica Neue"/>
                <w:color w:val="262626"/>
                <w:sz w:val="18"/>
                <w:szCs w:val="18"/>
                <w:u w:color="000000"/>
                <w:lang w:val="fr-FR"/>
              </w:rPr>
              <w:t>Apprendre à poser des questions aux intervenants</w:t>
            </w:r>
          </w:p>
        </w:tc>
        <w:tc>
          <w:tcPr>
            <w:tcW w:w="2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Ce séminaire de recherche est ouvert aux doctorants qui désirent s’initier aux thématiques de l’histoire des sciences et de l’histoire de l’innovation, essentiellement pendant la période contemporaine de 1800 à aujourd’hui</w:t>
            </w:r>
          </w:p>
        </w:tc>
        <w:tc>
          <w:tcPr>
            <w:tcW w:w="130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c>
          <w:tcPr>
            <w:tcW w:w="11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r>
      <w:tr w:rsidR="00876479" w:rsidTr="00876479">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D4D4D4"/>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Découvrez les grands principes du management</w:t>
            </w:r>
          </w:p>
        </w:tc>
        <w:tc>
          <w:tcPr>
            <w:tcW w:w="956"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4 heures</w:t>
            </w:r>
          </w:p>
        </w:tc>
        <w:tc>
          <w:tcPr>
            <w:tcW w:w="1964"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Connaître les principales étapes de l’évolution des organisations et du management</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Identifier les différents styles de management</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xml:space="preserve">• Appréhender les caractéristiques d’une équipe en </w:t>
            </w:r>
            <w:r>
              <w:rPr>
                <w:rFonts w:ascii="Helvetica Neue" w:hAnsi="Helvetica Neue" w:cs="Helvetica Neue"/>
                <w:color w:val="262626"/>
                <w:sz w:val="18"/>
                <w:szCs w:val="18"/>
                <w:u w:color="000000"/>
                <w:lang w:val="fr-FR"/>
              </w:rPr>
              <w:lastRenderedPageBreak/>
              <w:t>situation de management</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Repérer les compétences du manager</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 Résister à la pression et faire face au stress</w:t>
            </w:r>
          </w:p>
        </w:tc>
        <w:tc>
          <w:tcPr>
            <w:tcW w:w="25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lastRenderedPageBreak/>
              <w:t>• Histoire du management</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Les styles de management et les types d’équipes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Le management et le travail d’équipe</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 Les compétences du manager en situation. Gérer son stress, faire face à la pression et positiver son énergie (exercices de sophrologie)</w:t>
            </w:r>
          </w:p>
        </w:tc>
        <w:tc>
          <w:tcPr>
            <w:tcW w:w="1308"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r>
      <w:tr w:rsidR="00876479" w:rsidTr="00876479">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D4D4D4"/>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Cryptologie-sécurisation de l’information</w:t>
            </w:r>
          </w:p>
        </w:tc>
        <w:tc>
          <w:tcPr>
            <w:tcW w:w="95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1/2 journée</w:t>
            </w:r>
          </w:p>
        </w:tc>
        <w:tc>
          <w:tcPr>
            <w:tcW w:w="196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numPr>
                <w:ilvl w:val="0"/>
                <w:numId w:val="2"/>
              </w:numPr>
              <w:tabs>
                <w:tab w:val="left" w:pos="20"/>
                <w:tab w:val="left" w:pos="147"/>
              </w:tabs>
              <w:autoSpaceDE w:val="0"/>
              <w:autoSpaceDN w:val="0"/>
              <w:adjustRightInd w:val="0"/>
              <w:ind w:left="147" w:hanging="148"/>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Comprendre les enjeux de la cybersécurité aujourd'hui.</w:t>
            </w:r>
          </w:p>
          <w:p w:rsidR="00876479" w:rsidRDefault="00876479">
            <w:pPr>
              <w:numPr>
                <w:ilvl w:val="0"/>
                <w:numId w:val="2"/>
              </w:numPr>
              <w:tabs>
                <w:tab w:val="left" w:pos="20"/>
                <w:tab w:val="left" w:pos="147"/>
              </w:tabs>
              <w:autoSpaceDE w:val="0"/>
              <w:autoSpaceDN w:val="0"/>
              <w:adjustRightInd w:val="0"/>
              <w:ind w:left="147" w:hanging="148"/>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Mesurer la réalité de la cybercriminalité aujourd'hui. </w:t>
            </w:r>
          </w:p>
          <w:p w:rsidR="00876479" w:rsidRDefault="00876479">
            <w:pPr>
              <w:numPr>
                <w:ilvl w:val="0"/>
                <w:numId w:val="2"/>
              </w:numPr>
              <w:tabs>
                <w:tab w:val="left" w:pos="20"/>
                <w:tab w:val="left" w:pos="147"/>
              </w:tabs>
              <w:autoSpaceDE w:val="0"/>
              <w:autoSpaceDN w:val="0"/>
              <w:adjustRightInd w:val="0"/>
              <w:ind w:left="147" w:hanging="148"/>
              <w:rPr>
                <w:rFonts w:ascii="Helvetica" w:hAnsi="Helvetica" w:cs="Helvetica"/>
                <w:u w:color="000000"/>
                <w:lang w:val="fr-FR"/>
              </w:rPr>
            </w:pPr>
            <w:r>
              <w:rPr>
                <w:rFonts w:ascii="Helvetica Neue" w:hAnsi="Helvetica Neue" w:cs="Helvetica Neue"/>
                <w:color w:val="262626"/>
                <w:sz w:val="18"/>
                <w:szCs w:val="18"/>
                <w:u w:color="000000"/>
                <w:lang w:val="fr-FR"/>
              </w:rPr>
              <w:t>Adopter les bonnes pratiques en cybersécurité.</w:t>
            </w:r>
          </w:p>
        </w:tc>
        <w:tc>
          <w:tcPr>
            <w:tcW w:w="2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Les enjeux de la cybersécurité : </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-la confidentialité de l'information</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l'intégrité des données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-l’authentification des données et des entités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-la protection de données personnelles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Notions de cryptologie (vulgarisation) :</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cryptographie symétrique et asymétrique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chiffrement, signatures, fonctions de hachage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La cybercriminalité aujourd'hui </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le phishing</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les rançongiciels (logiciel de rançon à chiffrement)</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la prise de contrôle à distance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la fraude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Bonnes pratiques en cybersécurité</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identifier ses risques et son attractivité</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utiliser et gérer des mots de passe robustes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utiliser des supports amovibles</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 protéger sa messagerie personnelle</w:t>
            </w:r>
          </w:p>
        </w:tc>
        <w:tc>
          <w:tcPr>
            <w:tcW w:w="130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 xml:space="preserve">avoir suivi le séminaire </w:t>
            </w:r>
            <w:r>
              <w:rPr>
                <w:rFonts w:ascii="Helvetica Neue" w:hAnsi="Helvetica Neue" w:cs="Helvetica Neue"/>
                <w:color w:val="E6000E"/>
                <w:sz w:val="18"/>
                <w:szCs w:val="18"/>
                <w:u w:color="000000"/>
                <w:lang w:val="fr-FR"/>
              </w:rPr>
              <w:t>Intelligence économique</w:t>
            </w:r>
          </w:p>
        </w:tc>
        <w:tc>
          <w:tcPr>
            <w:tcW w:w="11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r>
      <w:tr w:rsidR="00876479" w:rsidTr="00876479">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D4D4D4"/>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Intelligence économique</w:t>
            </w:r>
          </w:p>
        </w:tc>
        <w:tc>
          <w:tcPr>
            <w:tcW w:w="956"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1/2 journée</w:t>
            </w:r>
          </w:p>
        </w:tc>
        <w:tc>
          <w:tcPr>
            <w:tcW w:w="1964"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Sensibiliser les doctorants, futurs cadres en entreprises ou dans les laboratoires de recherche publics, aux principales problématiques que recouvrent l’intelligence économique.</w:t>
            </w:r>
          </w:p>
        </w:tc>
        <w:tc>
          <w:tcPr>
            <w:tcW w:w="25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L’intelligence économique consiste, pour une société ou un organisme gouvernemental, à connaître, comprendre et anticiper professionnellement son environnement pour éclairer les décisions, prévenir les risques notamment immatériels (image, savoir, savoir-faire, capital) et à l’influencer au lieu de le subir. </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xml:space="preserve">Au sein d’un laboratoire, l’IE se décline ainsi en deux pôles : d’une part protéger son savoir-faire, d’autre part maitriser ses risques. La protection de son savoir-faire contre le vol (données, brevets, informations) et contre les atteintes de </w:t>
            </w:r>
            <w:r>
              <w:rPr>
                <w:rFonts w:ascii="Helvetica Neue" w:hAnsi="Helvetica Neue" w:cs="Helvetica Neue"/>
                <w:color w:val="262626"/>
                <w:sz w:val="18"/>
                <w:szCs w:val="18"/>
                <w:u w:color="000000"/>
                <w:lang w:val="fr-FR"/>
              </w:rPr>
              <w:lastRenderedPageBreak/>
              <w:t>notoriété sont une garantie de pérennité et de renommée pour le laboratoire. Cela passe par la maitrise de son empreinte informationnelle et par la formation de ses membres aux problématiques d’IE. </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Dans un monde de plus en plus globalisé, la concurrence devient de plus en plus rude et oblige les scientifiques à protéger ce qui fait la spécificité de leur entreprise ou de leur laboratoire. L’IE est cet outil qui permet de jauger les activités de ses concurrents et de savoir comment gérer les siennes.</w:t>
            </w:r>
          </w:p>
          <w:p w:rsidR="00876479" w:rsidRDefault="00876479">
            <w:pPr>
              <w:autoSpaceDE w:val="0"/>
              <w:autoSpaceDN w:val="0"/>
              <w:adjustRightInd w:val="0"/>
              <w:rPr>
                <w:rFonts w:ascii="Helvetica Neue" w:hAnsi="Helvetica Neue" w:cs="Helvetica Neue"/>
                <w:color w:val="262626"/>
                <w:sz w:val="18"/>
                <w:szCs w:val="18"/>
                <w:u w:color="000000"/>
                <w:lang w:val="fr-FR"/>
              </w:rPr>
            </w:pP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Ce séminaire de sensibilisation est ouvert à tous les doctorants qui désirent s’initier à l’Intelligence Economique et à tout ce que cette notion recouvre : gestion de l’information, protection des données, sécurité informatique, protection et valorisation du patrimoine scientifique et économique.</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Ce séminaire sera suivi de plusieurs ateliers d’approfondissement d’une demi-journée chacun tels que : Normes et réseaux d’influence, cryptologie,… Des spécialistes de ces domaines spécifiques animeront ces ateliers et des cadres de grands groupes industriels illustreront la démarche de leur Société.</w:t>
            </w:r>
          </w:p>
        </w:tc>
        <w:tc>
          <w:tcPr>
            <w:tcW w:w="1308"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lastRenderedPageBreak/>
              <w:t>/</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r>
      <w:tr w:rsidR="00876479" w:rsidTr="00876479">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D4D4D4"/>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Ma thèse en 180 secondes</w:t>
            </w:r>
          </w:p>
        </w:tc>
        <w:tc>
          <w:tcPr>
            <w:tcW w:w="95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5 demis journées</w:t>
            </w:r>
          </w:p>
        </w:tc>
        <w:tc>
          <w:tcPr>
            <w:tcW w:w="196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Se centrer sur son public</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Définir un message essentiel et choisir un angle original</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Mettre en histoire : donner une dramaturgie au discours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Exprimer clairement ses idées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Passionner à l’oral, transmettre sa passion</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 Surmonter son trac</w:t>
            </w:r>
          </w:p>
        </w:tc>
        <w:tc>
          <w:tcPr>
            <w:tcW w:w="2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Principes d’élaboration du discours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Cibler son public</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Choisir un angle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Trouver des images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Ancrer son discours dans son époque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Susciter une émotion</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Structurer efficacement sa prise de parole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Identifier le message essentiel</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Adapter son vocabulaire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Accrocher le public dès la première phrase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Donner du rythme, choisir ses transitions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Soigner sa chute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lastRenderedPageBreak/>
              <w:t>• Améliorer ses qualités d’orateur</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Se connaître à l’oral</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Prendre conscience de la communication non verbale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Capitaliser sur ses atouts et rester authentique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Maîtriser ses appuis physiques (voix, regards, respiration, gestes)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Choisir son support visuel</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 Trucs et astuces pour se préparer</w:t>
            </w:r>
          </w:p>
        </w:tc>
        <w:tc>
          <w:tcPr>
            <w:tcW w:w="130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lastRenderedPageBreak/>
              <w:t>/</w:t>
            </w:r>
          </w:p>
        </w:tc>
        <w:tc>
          <w:tcPr>
            <w:tcW w:w="11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r>
      <w:tr w:rsidR="00876479" w:rsidTr="00876479">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D4D4D4"/>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Finding he right job</w:t>
            </w:r>
          </w:p>
        </w:tc>
        <w:tc>
          <w:tcPr>
            <w:tcW w:w="956"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2 journées</w:t>
            </w:r>
          </w:p>
        </w:tc>
        <w:tc>
          <w:tcPr>
            <w:tcW w:w="1964"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This workshop will help you improve your communication skills in order to:</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Search for international job opportunities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Rewrite your CV to highlight your main personal qualities, skills and potentials</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 Convince recruiters in a job interview</w:t>
            </w:r>
          </w:p>
        </w:tc>
        <w:tc>
          <w:tcPr>
            <w:tcW w:w="25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What are the skills required in the research and business world today?</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What is your personal profile? Your strengths and weaknesses? Your potential?</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What information can be found in a job ad? What can you read between the lines?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What are some of the new ways of recruitment?</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How can you increase your chances to be shortlisted with a powerful CV?</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How to prepare for a job interview?</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 How to answer typical job interview questions?</w:t>
            </w:r>
          </w:p>
        </w:tc>
        <w:tc>
          <w:tcPr>
            <w:tcW w:w="1308"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Requisites :</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xml:space="preserve">1. </w:t>
            </w:r>
            <w:r>
              <w:rPr>
                <w:rFonts w:ascii="Helvetica Neue" w:hAnsi="Helvetica Neue" w:cs="Helvetica Neue"/>
                <w:color w:val="E6000E"/>
                <w:sz w:val="18"/>
                <w:szCs w:val="18"/>
                <w:u w:color="000000"/>
                <w:lang w:val="fr-FR"/>
              </w:rPr>
              <w:t>Taking the English assessment test and achieving Level B2</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2. Have attended the personalised professionnal project module, part of the future career programme</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3. Bring your CV in any language, be prepared to share any online CV</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r>
      <w:tr w:rsidR="00876479" w:rsidTr="00876479">
        <w:tblPrEx>
          <w:tblBorders>
            <w:top w:val="none" w:sz="0" w:space="0" w:color="auto"/>
          </w:tblBorders>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D4D4D4"/>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t>Concrétiser son intégration professionnelle: candidater</w:t>
            </w:r>
          </w:p>
        </w:tc>
        <w:tc>
          <w:tcPr>
            <w:tcW w:w="95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3 demi journées</w:t>
            </w:r>
          </w:p>
        </w:tc>
        <w:tc>
          <w:tcPr>
            <w:tcW w:w="196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Mettre en action son projet et le transformer en offre de service </w:t>
            </w:r>
          </w:p>
          <w:p w:rsidR="00876479" w:rsidRDefault="008764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000000"/>
                <w:lang w:val="fr-FR"/>
              </w:rPr>
            </w:pPr>
          </w:p>
        </w:tc>
        <w:tc>
          <w:tcPr>
            <w:tcW w:w="2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Préparer sa candidature, quel que soit le secteur professionnel choisi, public et/ou privé : </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-Identifier les processus de recrutement :</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Ordonner ses critères prioritaires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Adapter les outils et techniques RH pour faire son « dossier candidat »</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-Préparer ses entretiens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Donner du sens à son projet – le motiver</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Argumenter ses réponses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-Tester son « pitch »</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-Lancer et suivre sa candidature</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Rebondir, négocier…</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Préparer son intégration et sa prise de fonction</w:t>
            </w:r>
          </w:p>
          <w:p w:rsidR="00876479" w:rsidRDefault="00876479">
            <w:pPr>
              <w:autoSpaceDE w:val="0"/>
              <w:autoSpaceDN w:val="0"/>
              <w:adjustRightInd w:val="0"/>
              <w:rPr>
                <w:rFonts w:ascii="Helvetica Neue" w:hAnsi="Helvetica Neue" w:cs="Helvetica Neue"/>
                <w:color w:val="262626"/>
                <w:sz w:val="18"/>
                <w:szCs w:val="18"/>
                <w:u w:color="000000"/>
                <w:lang w:val="fr-FR"/>
              </w:rPr>
            </w:pP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Appropriation des outils d’application</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Travail interactif sur ses cas personnalisés</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Mises en situation professionnelles et jeux de rôles</w:t>
            </w:r>
          </w:p>
        </w:tc>
        <w:tc>
          <w:tcPr>
            <w:tcW w:w="130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Il est obligatoire d’avoir suivi l’un des ateliers suivants : </w:t>
            </w:r>
          </w:p>
          <w:p w:rsidR="00876479" w:rsidRDefault="00876479">
            <w:pPr>
              <w:autoSpaceDE w:val="0"/>
              <w:autoSpaceDN w:val="0"/>
              <w:adjustRightInd w:val="0"/>
              <w:rPr>
                <w:rFonts w:ascii="Helvetica Neue" w:hAnsi="Helvetica Neue" w:cs="Helvetica Neue"/>
                <w:color w:val="E6000E"/>
                <w:sz w:val="18"/>
                <w:szCs w:val="18"/>
                <w:u w:color="000000"/>
                <w:lang w:val="fr-FR"/>
              </w:rPr>
            </w:pPr>
            <w:r>
              <w:rPr>
                <w:rFonts w:ascii="Helvetica Neue" w:hAnsi="Helvetica Neue" w:cs="Helvetica Neue"/>
                <w:color w:val="E6000E"/>
                <w:sz w:val="18"/>
                <w:szCs w:val="18"/>
                <w:u w:color="000000"/>
                <w:lang w:val="fr-FR"/>
              </w:rPr>
              <w:t>-A-PPd : « Découvrir son potentiel et ses perspectives professionnelles » ou A-PPc : « Expliciter son projet professionnel personnalisé et élaborer des stratégies d’évolution »</w:t>
            </w:r>
          </w:p>
          <w:p w:rsidR="00876479" w:rsidRDefault="008764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000000"/>
                <w:lang w:val="fr-FR"/>
              </w:rPr>
            </w:pPr>
          </w:p>
        </w:tc>
        <w:tc>
          <w:tcPr>
            <w:tcW w:w="11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w:t>
            </w:r>
          </w:p>
        </w:tc>
      </w:tr>
      <w:tr w:rsidR="00876479" w:rsidTr="00876479">
        <w:tblPrEx>
          <w:tblCellMar>
            <w:top w:w="0" w:type="dxa"/>
            <w:bottom w:w="0" w:type="dxa"/>
          </w:tblCellMar>
        </w:tblPrEx>
        <w:tc>
          <w:tcPr>
            <w:tcW w:w="1420" w:type="dxa"/>
            <w:tcBorders>
              <w:top w:val="single" w:sz="8" w:space="0" w:color="000000"/>
              <w:left w:val="single" w:sz="8" w:space="0" w:color="000000"/>
              <w:bottom w:val="single" w:sz="8" w:space="0" w:color="000000"/>
              <w:right w:val="single" w:sz="8" w:space="0" w:color="000000"/>
            </w:tcBorders>
            <w:shd w:val="clear" w:color="auto" w:fill="D4D4D4"/>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b/>
                <w:bCs/>
                <w:color w:val="000000"/>
                <w:sz w:val="18"/>
                <w:szCs w:val="18"/>
                <w:u w:color="000000"/>
                <w:lang w:val="fr-FR"/>
              </w:rPr>
              <w:lastRenderedPageBreak/>
              <w:t>Expliciter son projet professionnel personnalisé et élaborer des stratégies d’évolution</w:t>
            </w:r>
          </w:p>
        </w:tc>
        <w:tc>
          <w:tcPr>
            <w:tcW w:w="956"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000000"/>
                <w:sz w:val="18"/>
                <w:szCs w:val="18"/>
                <w:u w:color="000000"/>
                <w:lang w:val="fr-FR"/>
              </w:rPr>
              <w:t>3 demi journées</w:t>
            </w:r>
          </w:p>
        </w:tc>
        <w:tc>
          <w:tcPr>
            <w:tcW w:w="1964"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Exprimer le plus précisément possible son projet professionnel personnalisé</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Dresser le tableau des compétences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Identifier sa ou ses places possibles dans une organisation</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Repérer la cible de sa recherche d’emploi à court et moyen terme : poste, type d’organisation,</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nature des projets, environnement professionnel</w:t>
            </w:r>
          </w:p>
        </w:tc>
        <w:tc>
          <w:tcPr>
            <w:tcW w:w="25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Exploration du « métier propre » de chacun</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Bilan des compétences acquises</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Analyse des compétences « propres » liées à sa personnalité</w:t>
            </w:r>
          </w:p>
          <w:p w:rsidR="00876479" w:rsidRDefault="00876479">
            <w:pPr>
              <w:autoSpaceDE w:val="0"/>
              <w:autoSpaceDN w:val="0"/>
              <w:adjustRightInd w:val="0"/>
              <w:rPr>
                <w:rFonts w:ascii="Helvetica Neue" w:hAnsi="Helvetica Neue" w:cs="Helvetica Neue"/>
                <w:color w:val="262626"/>
                <w:sz w:val="18"/>
                <w:szCs w:val="18"/>
                <w:u w:color="000000"/>
                <w:lang w:val="fr-FR"/>
              </w:rPr>
            </w:pPr>
            <w:r>
              <w:rPr>
                <w:rFonts w:ascii="Helvetica Neue" w:hAnsi="Helvetica Neue" w:cs="Helvetica Neue"/>
                <w:color w:val="262626"/>
                <w:sz w:val="18"/>
                <w:szCs w:val="18"/>
                <w:u w:color="000000"/>
                <w:lang w:val="fr-FR"/>
              </w:rPr>
              <w:t>• Identification de son potentiel de concourance dans une organisation</w:t>
            </w:r>
          </w:p>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 Construction d’une stratégie de recherche d’emploi et d’évolution professionnelle</w:t>
            </w:r>
          </w:p>
        </w:tc>
        <w:tc>
          <w:tcPr>
            <w:tcW w:w="1308"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w:hAnsi="Helvetica" w:cs="Helvetica"/>
                <w:u w:color="000000"/>
                <w:lang w:val="fr-FR"/>
              </w:rPr>
            </w:pPr>
            <w:r>
              <w:rPr>
                <w:rFonts w:ascii="Helvetica Neue" w:hAnsi="Helvetica Neue" w:cs="Helvetica Neue"/>
                <w:color w:val="262626"/>
                <w:sz w:val="18"/>
                <w:szCs w:val="18"/>
                <w:u w:color="000000"/>
                <w:lang w:val="fr-FR"/>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rsidR="00876479" w:rsidRDefault="00876479">
            <w:pPr>
              <w:autoSpaceDE w:val="0"/>
              <w:autoSpaceDN w:val="0"/>
              <w:adjustRightInd w:val="0"/>
              <w:rPr>
                <w:rFonts w:ascii="Helvetica Neue" w:hAnsi="Helvetica Neue" w:cs="Helvetica Neue"/>
                <w:color w:val="000000"/>
                <w:sz w:val="22"/>
                <w:szCs w:val="22"/>
                <w:u w:color="000000"/>
                <w:lang w:val="fr-FR"/>
              </w:rPr>
            </w:pPr>
            <w:r>
              <w:rPr>
                <w:rFonts w:ascii="Helvetica Neue" w:hAnsi="Helvetica Neue" w:cs="Helvetica Neue"/>
                <w:color w:val="000000"/>
                <w:sz w:val="18"/>
                <w:szCs w:val="18"/>
                <w:u w:color="000000"/>
                <w:lang w:val="fr-FR"/>
              </w:rPr>
              <w:t>/</w:t>
            </w:r>
          </w:p>
        </w:tc>
      </w:tr>
    </w:tbl>
    <w:p w:rsidR="00876479" w:rsidRDefault="00876479" w:rsidP="00876479">
      <w:pPr>
        <w:autoSpaceDE w:val="0"/>
        <w:autoSpaceDN w:val="0"/>
        <w:adjustRightInd w:val="0"/>
        <w:rPr>
          <w:rFonts w:ascii="Helvetica Neue" w:hAnsi="Helvetica Neue" w:cs="Helvetica Neue"/>
          <w:color w:val="000000"/>
          <w:sz w:val="22"/>
          <w:szCs w:val="22"/>
          <w:u w:color="000000"/>
          <w:lang w:val="fr-FR"/>
        </w:rPr>
      </w:pPr>
    </w:p>
    <w:p w:rsidR="00876479" w:rsidRDefault="00876479" w:rsidP="00876479">
      <w:pPr>
        <w:autoSpaceDE w:val="0"/>
        <w:autoSpaceDN w:val="0"/>
        <w:adjustRightInd w:val="0"/>
        <w:rPr>
          <w:rFonts w:ascii="Helvetica Neue" w:hAnsi="Helvetica Neue" w:cs="Helvetica Neue"/>
          <w:color w:val="000000"/>
          <w:sz w:val="22"/>
          <w:szCs w:val="22"/>
          <w:u w:color="000000"/>
          <w:lang w:val="fr-FR"/>
        </w:rPr>
      </w:pPr>
    </w:p>
    <w:p w:rsidR="00876479" w:rsidRDefault="00876479" w:rsidP="00876479">
      <w:pPr>
        <w:autoSpaceDE w:val="0"/>
        <w:autoSpaceDN w:val="0"/>
        <w:adjustRightInd w:val="0"/>
        <w:rPr>
          <w:rFonts w:ascii="Helvetica Neue" w:hAnsi="Helvetica Neue" w:cs="Helvetica Neue"/>
          <w:color w:val="000000"/>
          <w:sz w:val="22"/>
          <w:szCs w:val="22"/>
          <w:u w:color="000000"/>
          <w:lang w:val="fr-FR"/>
        </w:rPr>
      </w:pPr>
    </w:p>
    <w:p w:rsidR="00876479" w:rsidRDefault="00876479" w:rsidP="00876479">
      <w:r>
        <w:rPr>
          <w:rFonts w:ascii="Helvetica Neue" w:hAnsi="Helvetica Neue" w:cs="Helvetica Neue"/>
          <w:b/>
          <w:bCs/>
          <w:color w:val="000000"/>
          <w:sz w:val="22"/>
          <w:szCs w:val="22"/>
          <w:u w:color="000000"/>
          <w:lang w:val="fr-FR"/>
        </w:rPr>
        <w:t>Total : 10 formations ; Durée: 11.5 journées + 6 heures</w:t>
      </w:r>
    </w:p>
    <w:sectPr w:rsidR="00876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79"/>
    <w:rsid w:val="008764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D02DEB5-529A-A748-8B2A-8B054791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1363</Words>
  <Characters>7499</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1</cp:revision>
  <dcterms:created xsi:type="dcterms:W3CDTF">2020-08-26T09:11:00Z</dcterms:created>
  <dcterms:modified xsi:type="dcterms:W3CDTF">2020-08-26T09:12:00Z</dcterms:modified>
</cp:coreProperties>
</file>