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Pr="00157A7B" w:rsidRDefault="001369BC">
      <w:pPr>
        <w:ind w:firstLine="0"/>
        <w:jc w:val="center"/>
      </w:pPr>
      <w:bookmarkStart w:id="0" w:name="_Hlk110796497"/>
      <w:bookmarkEnd w:id="0"/>
      <w:r w:rsidRPr="00157A7B">
        <w:softHyphen/>
      </w:r>
    </w:p>
    <w:p w14:paraId="00000002" w14:textId="77777777" w:rsidR="001B0742" w:rsidRPr="00157A7B" w:rsidRDefault="001B0742">
      <w:pPr>
        <w:ind w:firstLine="0"/>
        <w:jc w:val="center"/>
      </w:pPr>
    </w:p>
    <w:p w14:paraId="00000003" w14:textId="77777777" w:rsidR="001B0742" w:rsidRPr="00157A7B" w:rsidRDefault="001B0742">
      <w:pPr>
        <w:ind w:firstLine="0"/>
        <w:jc w:val="center"/>
        <w:rPr>
          <w:b/>
        </w:rPr>
      </w:pPr>
    </w:p>
    <w:p w14:paraId="00000004" w14:textId="51D3BDD4" w:rsidR="001B0742" w:rsidRDefault="00861433" w:rsidP="4F7EDDD8">
      <w:pPr>
        <w:ind w:firstLine="0"/>
        <w:jc w:val="center"/>
        <w:rPr>
          <w:b/>
          <w:bCs/>
        </w:rPr>
      </w:pPr>
      <w:r>
        <w:rPr>
          <w:b/>
          <w:bCs/>
        </w:rPr>
        <w:t xml:space="preserve">Data Mining II, Task </w:t>
      </w:r>
      <w:r w:rsidR="0045307E">
        <w:rPr>
          <w:b/>
          <w:bCs/>
        </w:rPr>
        <w:t>I</w:t>
      </w:r>
      <w:r w:rsidR="00D62726">
        <w:rPr>
          <w:b/>
          <w:bCs/>
        </w:rPr>
        <w:t>I</w:t>
      </w:r>
      <w:r w:rsidR="0045307E">
        <w:rPr>
          <w:b/>
          <w:bCs/>
        </w:rPr>
        <w:t>I</w:t>
      </w:r>
      <w:r w:rsidR="00327FA0" w:rsidRPr="00157A7B">
        <w:rPr>
          <w:b/>
          <w:bCs/>
        </w:rPr>
        <w:t xml:space="preserve">: </w:t>
      </w:r>
      <w:r w:rsidR="000941F6" w:rsidRPr="00157A7B">
        <w:rPr>
          <w:b/>
          <w:bCs/>
        </w:rPr>
        <w:t>Churn Data</w:t>
      </w:r>
    </w:p>
    <w:p w14:paraId="432641EF" w14:textId="47C8983F" w:rsidR="00D62726" w:rsidRPr="00157A7B" w:rsidRDefault="00D62726" w:rsidP="4F7EDDD8">
      <w:pPr>
        <w:ind w:firstLine="0"/>
        <w:jc w:val="center"/>
        <w:rPr>
          <w:b/>
          <w:bCs/>
        </w:rPr>
      </w:pPr>
      <w:r>
        <w:rPr>
          <w:b/>
          <w:bCs/>
        </w:rPr>
        <w:t xml:space="preserve">Association Rules </w:t>
      </w:r>
      <w:r w:rsidR="00E71C47">
        <w:rPr>
          <w:b/>
          <w:bCs/>
        </w:rPr>
        <w:t>&amp;</w:t>
      </w:r>
      <w:r>
        <w:rPr>
          <w:b/>
          <w:bCs/>
        </w:rPr>
        <w:t xml:space="preserve"> Lift Analysis</w:t>
      </w:r>
    </w:p>
    <w:p w14:paraId="00000005" w14:textId="77777777" w:rsidR="001B0742" w:rsidRPr="00157A7B" w:rsidRDefault="001B0742" w:rsidP="4F7EDDD8">
      <w:pPr>
        <w:ind w:firstLine="0"/>
        <w:jc w:val="center"/>
        <w:rPr>
          <w:b/>
          <w:bCs/>
        </w:rPr>
      </w:pPr>
    </w:p>
    <w:p w14:paraId="00000006" w14:textId="3E614D27" w:rsidR="001B0742" w:rsidRPr="00157A7B" w:rsidRDefault="000941F6" w:rsidP="4F7EDDD8">
      <w:pPr>
        <w:ind w:firstLine="0"/>
        <w:jc w:val="center"/>
      </w:pPr>
      <w:r w:rsidRPr="00157A7B">
        <w:t>Stephen E. Porter</w:t>
      </w:r>
    </w:p>
    <w:p w14:paraId="00000007" w14:textId="3A2B99F9" w:rsidR="001B0742" w:rsidRPr="00157A7B" w:rsidRDefault="4F7EDDD8" w:rsidP="4F7EDDD8">
      <w:pPr>
        <w:ind w:firstLine="0"/>
        <w:jc w:val="center"/>
      </w:pPr>
      <w:r w:rsidRPr="00157A7B">
        <w:t xml:space="preserve">College of </w:t>
      </w:r>
      <w:r w:rsidR="000941F6" w:rsidRPr="00157A7B">
        <w:t>Information Technology</w:t>
      </w:r>
      <w:r w:rsidRPr="00157A7B">
        <w:t>, Western Governors University</w:t>
      </w:r>
    </w:p>
    <w:p w14:paraId="35F631B4" w14:textId="362ED4F2" w:rsidR="00D25B64" w:rsidRPr="00157A7B" w:rsidRDefault="000941F6" w:rsidP="4F7EDDD8">
      <w:pPr>
        <w:ind w:firstLine="0"/>
        <w:jc w:val="center"/>
      </w:pPr>
      <w:r w:rsidRPr="00157A7B">
        <w:t xml:space="preserve">Dr. </w:t>
      </w:r>
      <w:proofErr w:type="spellStart"/>
      <w:r w:rsidR="00861433">
        <w:t>Keiona</w:t>
      </w:r>
      <w:proofErr w:type="spellEnd"/>
      <w:r w:rsidR="00861433">
        <w:t xml:space="preserve"> Middleton</w:t>
      </w:r>
    </w:p>
    <w:p w14:paraId="00000009" w14:textId="1B4AD572" w:rsidR="001B0742" w:rsidRPr="00157A7B" w:rsidRDefault="007C1331" w:rsidP="4F7EDDD8">
      <w:pPr>
        <w:ind w:firstLine="0"/>
        <w:jc w:val="center"/>
      </w:pPr>
      <w:r>
        <w:t xml:space="preserve">September </w:t>
      </w:r>
      <w:r w:rsidR="0045307E">
        <w:t>2</w:t>
      </w:r>
      <w:r w:rsidR="00D62726">
        <w:t>5</w:t>
      </w:r>
      <w:r w:rsidR="00B43BF0" w:rsidRPr="00157A7B">
        <w:t>, 2022</w:t>
      </w:r>
    </w:p>
    <w:p w14:paraId="0F1C4F57" w14:textId="52FDAAE1" w:rsidR="3C44F8A1" w:rsidRPr="00157A7B" w:rsidRDefault="3C44F8A1" w:rsidP="3C44F8A1">
      <w:pPr>
        <w:ind w:firstLine="0"/>
        <w:jc w:val="center"/>
      </w:pPr>
    </w:p>
    <w:p w14:paraId="1E452B83" w14:textId="38B3673A" w:rsidR="3C44F8A1" w:rsidRPr="00157A7B" w:rsidRDefault="3C44F8A1" w:rsidP="3C44F8A1">
      <w:pPr>
        <w:ind w:firstLine="0"/>
        <w:jc w:val="center"/>
      </w:pPr>
    </w:p>
    <w:p w14:paraId="7C1CCC93" w14:textId="61E5FA00" w:rsidR="3C44F8A1" w:rsidRPr="00157A7B" w:rsidRDefault="3C44F8A1" w:rsidP="3C44F8A1">
      <w:pPr>
        <w:ind w:firstLine="0"/>
        <w:jc w:val="center"/>
      </w:pPr>
    </w:p>
    <w:p w14:paraId="35F57E9F" w14:textId="15734BF5" w:rsidR="3C44F8A1" w:rsidRPr="00157A7B" w:rsidRDefault="3C44F8A1" w:rsidP="3C44F8A1">
      <w:pPr>
        <w:ind w:firstLine="0"/>
        <w:jc w:val="center"/>
      </w:pPr>
    </w:p>
    <w:p w14:paraId="46277959" w14:textId="360F04FC" w:rsidR="3C44F8A1" w:rsidRPr="00157A7B" w:rsidRDefault="3C44F8A1" w:rsidP="3C44F8A1">
      <w:pPr>
        <w:ind w:firstLine="0"/>
        <w:jc w:val="center"/>
      </w:pPr>
    </w:p>
    <w:p w14:paraId="5DEB5897" w14:textId="3604FEB8" w:rsidR="3C44F8A1" w:rsidRPr="00157A7B" w:rsidRDefault="3C44F8A1" w:rsidP="3C44F8A1">
      <w:pPr>
        <w:ind w:firstLine="0"/>
        <w:jc w:val="center"/>
      </w:pPr>
    </w:p>
    <w:p w14:paraId="3978CFDD" w14:textId="7881CB91" w:rsidR="3C44F8A1" w:rsidRPr="00157A7B" w:rsidRDefault="3C44F8A1" w:rsidP="3C44F8A1">
      <w:pPr>
        <w:ind w:firstLine="0"/>
        <w:jc w:val="center"/>
      </w:pPr>
    </w:p>
    <w:p w14:paraId="4E59BDFE" w14:textId="03DC55A3" w:rsidR="3C44F8A1" w:rsidRPr="00157A7B" w:rsidRDefault="3C44F8A1" w:rsidP="3C44F8A1">
      <w:pPr>
        <w:ind w:firstLine="0"/>
        <w:jc w:val="center"/>
      </w:pPr>
    </w:p>
    <w:p w14:paraId="795D7F52" w14:textId="77D03308" w:rsidR="3C44F8A1" w:rsidRPr="00157A7B" w:rsidRDefault="3C44F8A1" w:rsidP="3C44F8A1">
      <w:pPr>
        <w:ind w:firstLine="0"/>
        <w:jc w:val="center"/>
      </w:pPr>
    </w:p>
    <w:p w14:paraId="03DEE10A" w14:textId="79A937F0" w:rsidR="3C44F8A1" w:rsidRPr="00157A7B" w:rsidRDefault="3C44F8A1" w:rsidP="3C44F8A1">
      <w:pPr>
        <w:ind w:firstLine="0"/>
        <w:jc w:val="center"/>
      </w:pPr>
    </w:p>
    <w:p w14:paraId="34695E0A" w14:textId="207387E9" w:rsidR="3C44F8A1" w:rsidRPr="00157A7B" w:rsidRDefault="3C44F8A1" w:rsidP="3C44F8A1">
      <w:pPr>
        <w:ind w:firstLine="0"/>
        <w:jc w:val="center"/>
      </w:pPr>
    </w:p>
    <w:p w14:paraId="0000000A" w14:textId="045DAD3A" w:rsidR="001B0742" w:rsidRPr="00157A7B" w:rsidRDefault="00EE21ED" w:rsidP="4F7EDDD8">
      <w:pPr>
        <w:pStyle w:val="Title"/>
        <w:rPr>
          <w:b/>
          <w:bCs/>
        </w:rPr>
      </w:pPr>
      <w:r w:rsidRPr="00157A7B">
        <w:br w:type="page"/>
      </w:r>
      <w:r w:rsidR="000F2D61">
        <w:rPr>
          <w:b/>
          <w:bCs/>
        </w:rPr>
        <w:lastRenderedPageBreak/>
        <w:t xml:space="preserve">Data Mining II, Task </w:t>
      </w:r>
      <w:r w:rsidR="00E71C47">
        <w:rPr>
          <w:b/>
          <w:bCs/>
        </w:rPr>
        <w:t>III</w:t>
      </w:r>
      <w:r w:rsidR="00DE2DDB" w:rsidRPr="00157A7B">
        <w:rPr>
          <w:b/>
          <w:bCs/>
        </w:rPr>
        <w:t>:</w:t>
      </w:r>
      <w:r w:rsidR="00C445DA" w:rsidRPr="00157A7B">
        <w:rPr>
          <w:b/>
          <w:bCs/>
        </w:rPr>
        <w:t xml:space="preserve"> Churn Data</w:t>
      </w:r>
      <w:r w:rsidR="00E71C47">
        <w:rPr>
          <w:b/>
          <w:bCs/>
        </w:rPr>
        <w:t xml:space="preserve"> – Association Rules &amp; Lift Analysis</w:t>
      </w:r>
    </w:p>
    <w:p w14:paraId="49956004" w14:textId="05040079" w:rsidR="73FAEA7D" w:rsidRPr="00157A7B" w:rsidRDefault="00DC1ADA" w:rsidP="246CACA2">
      <w:r w:rsidRPr="00157A7B">
        <w:t>In this paper, I wil</w:t>
      </w:r>
      <w:r w:rsidR="005C634C" w:rsidRPr="00157A7B">
        <w:t xml:space="preserve">l use </w:t>
      </w:r>
      <w:r w:rsidR="00B43BF0" w:rsidRPr="00157A7B">
        <w:t>the provided</w:t>
      </w:r>
      <w:r w:rsidR="005C634C" w:rsidRPr="00157A7B">
        <w:t xml:space="preserve"> data set containing </w:t>
      </w:r>
      <w:r w:rsidR="00785B45" w:rsidRPr="00157A7B">
        <w:t>customer</w:t>
      </w:r>
      <w:r w:rsidR="00E71C47">
        <w:t xml:space="preserve"> purchase</w:t>
      </w:r>
      <w:r w:rsidR="00785B45" w:rsidRPr="00157A7B">
        <w:t xml:space="preserve"> data from a </w:t>
      </w:r>
      <w:r w:rsidR="00344114" w:rsidRPr="00157A7B">
        <w:t>fictional telecommunications company</w:t>
      </w:r>
      <w:r w:rsidR="00663D3B" w:rsidRPr="00157A7B">
        <w:t>.</w:t>
      </w:r>
      <w:r w:rsidR="00B43BF0" w:rsidRPr="00157A7B">
        <w:t xml:space="preserve"> </w:t>
      </w:r>
      <w:r w:rsidR="000F2D61">
        <w:t xml:space="preserve">I will use </w:t>
      </w:r>
      <w:r w:rsidR="00E71C47">
        <w:t>market basket analysis</w:t>
      </w:r>
      <w:r w:rsidR="000F2D61">
        <w:t xml:space="preserve"> to </w:t>
      </w:r>
      <w:r w:rsidR="00E71C47">
        <w:t xml:space="preserve">determine relationships between items purchased together to gain a better understanding </w:t>
      </w:r>
      <w:r w:rsidR="000F2D61">
        <w:t xml:space="preserve">of our customers. The goal is to determine </w:t>
      </w:r>
      <w:r w:rsidR="00E71C47">
        <w:t>which items are popular together to inform business decisions</w:t>
      </w:r>
      <w:r w:rsidR="000F2D61">
        <w:t>.</w:t>
      </w:r>
    </w:p>
    <w:p w14:paraId="490BB866" w14:textId="77777777" w:rsidR="005A366E" w:rsidRPr="00157A7B" w:rsidRDefault="005A366E" w:rsidP="005A366E">
      <w:pPr>
        <w:ind w:firstLine="0"/>
      </w:pPr>
    </w:p>
    <w:p w14:paraId="709116DF" w14:textId="4556A542" w:rsidR="00393284" w:rsidRPr="00393284" w:rsidRDefault="000941F6" w:rsidP="00393284">
      <w:pPr>
        <w:pStyle w:val="Heading1"/>
        <w:ind w:firstLine="0"/>
      </w:pPr>
      <w:r w:rsidRPr="00157A7B">
        <w:t>Part I</w:t>
      </w:r>
      <w:r w:rsidR="00682AD3" w:rsidRPr="00157A7B">
        <w:t xml:space="preserve">: </w:t>
      </w:r>
      <w:r w:rsidR="000F2D61">
        <w:t>Research Question</w:t>
      </w:r>
    </w:p>
    <w:p w14:paraId="1405490B" w14:textId="436706C2" w:rsidR="00682AD3" w:rsidRPr="00157A7B" w:rsidRDefault="00682AD3" w:rsidP="00682AD3">
      <w:pPr>
        <w:pStyle w:val="Heading2"/>
        <w:rPr>
          <w:bCs/>
        </w:rPr>
      </w:pPr>
      <w:r w:rsidRPr="00157A7B">
        <w:t>A</w:t>
      </w:r>
      <w:r w:rsidR="000F2D61">
        <w:t>1. Proposal of Question</w:t>
      </w:r>
    </w:p>
    <w:p w14:paraId="1CE0696F" w14:textId="159DB7CF" w:rsidR="00F66595" w:rsidRPr="00157A7B" w:rsidRDefault="00C636D2" w:rsidP="00704A6A">
      <w:r>
        <w:t xml:space="preserve">The key question I would like to answer is </w:t>
      </w:r>
      <w:r w:rsidR="00590FA1">
        <w:t>“</w:t>
      </w:r>
      <w:r w:rsidR="00E71C47">
        <w:t>which items are frequently purchased together</w:t>
      </w:r>
      <w:r w:rsidR="00590FA1">
        <w:t>”</w:t>
      </w:r>
      <w:r w:rsidR="00E71C47">
        <w:t xml:space="preserve"> so that we might better understand our customers and their purchase behaviors.</w:t>
      </w:r>
      <w:r w:rsidR="00590FA1">
        <w:t xml:space="preserve"> </w:t>
      </w:r>
    </w:p>
    <w:p w14:paraId="1D684152" w14:textId="77777777" w:rsidR="00393284" w:rsidRDefault="00393284" w:rsidP="00682AD3">
      <w:pPr>
        <w:pStyle w:val="Heading2"/>
      </w:pPr>
    </w:p>
    <w:p w14:paraId="4748BEF3" w14:textId="46081AB5" w:rsidR="00682AD3" w:rsidRPr="00157A7B" w:rsidRDefault="00682AD3" w:rsidP="00682AD3">
      <w:pPr>
        <w:pStyle w:val="Heading2"/>
        <w:rPr>
          <w:bCs/>
          <w:vertAlign w:val="subscript"/>
        </w:rPr>
      </w:pPr>
      <w:r w:rsidRPr="00157A7B">
        <w:t>A</w:t>
      </w:r>
      <w:r w:rsidR="000F2D61">
        <w:t>2. Defined Goal</w:t>
      </w:r>
    </w:p>
    <w:p w14:paraId="166F4F10" w14:textId="7381C4B3" w:rsidR="0030765E" w:rsidRDefault="0033037D" w:rsidP="00854E2B">
      <w:r>
        <w:t xml:space="preserve">I will perform a </w:t>
      </w:r>
      <w:r w:rsidR="00E71C47">
        <w:t>Market Basket Analysis</w:t>
      </w:r>
      <w:r w:rsidR="00854E2B">
        <w:t xml:space="preserve"> (</w:t>
      </w:r>
      <w:r w:rsidR="00E71C47">
        <w:t>MBA</w:t>
      </w:r>
      <w:r w:rsidR="00854E2B">
        <w:t>) to determine which</w:t>
      </w:r>
      <w:r w:rsidR="00A133D6">
        <w:t xml:space="preserve"> </w:t>
      </w:r>
      <w:r w:rsidR="00BC0AD6">
        <w:t xml:space="preserve">items are frequently purchased together. </w:t>
      </w:r>
      <w:r w:rsidR="00590FA1">
        <w:t>The resulting association rules can offer insights into product placement and sales/marketing strategy.</w:t>
      </w:r>
    </w:p>
    <w:p w14:paraId="1281F2E3" w14:textId="77777777" w:rsidR="00FF258A" w:rsidRPr="00157A7B" w:rsidRDefault="00FF258A" w:rsidP="00682AD3">
      <w:pPr>
        <w:ind w:firstLine="0"/>
      </w:pPr>
    </w:p>
    <w:p w14:paraId="76EEBC68" w14:textId="7F62BE75" w:rsidR="0030765E" w:rsidRPr="00393284" w:rsidRDefault="0030765E" w:rsidP="0030765E">
      <w:pPr>
        <w:pStyle w:val="Heading1"/>
        <w:ind w:firstLine="0"/>
      </w:pPr>
      <w:r w:rsidRPr="00157A7B">
        <w:t>Part I</w:t>
      </w:r>
      <w:r>
        <w:t>I</w:t>
      </w:r>
      <w:r w:rsidRPr="00157A7B">
        <w:t xml:space="preserve">: </w:t>
      </w:r>
      <w:r w:rsidR="00BC0AD6">
        <w:t>Market Basket</w:t>
      </w:r>
      <w:r>
        <w:t xml:space="preserve"> Justification</w:t>
      </w:r>
    </w:p>
    <w:p w14:paraId="38C73AE6" w14:textId="77777777" w:rsidR="00393284" w:rsidRDefault="00393284" w:rsidP="0043110F">
      <w:pPr>
        <w:pStyle w:val="Heading2"/>
      </w:pPr>
    </w:p>
    <w:p w14:paraId="1BF11CA0" w14:textId="677DA8C1" w:rsidR="0043110F" w:rsidRPr="00157A7B" w:rsidRDefault="000F2D61" w:rsidP="0043110F">
      <w:pPr>
        <w:pStyle w:val="Heading2"/>
        <w:rPr>
          <w:bCs/>
          <w:vertAlign w:val="subscript"/>
        </w:rPr>
      </w:pPr>
      <w:r>
        <w:t>B1</w:t>
      </w:r>
      <w:r w:rsidR="0043110F" w:rsidRPr="00157A7B">
        <w:t xml:space="preserve">. </w:t>
      </w:r>
      <w:r w:rsidR="0030765E">
        <w:t xml:space="preserve">Explanation of </w:t>
      </w:r>
      <w:r w:rsidR="00BC0AD6">
        <w:t>Market Basket</w:t>
      </w:r>
    </w:p>
    <w:p w14:paraId="45F375EE" w14:textId="59AED150" w:rsidR="002C77CE" w:rsidRPr="00E17AF6" w:rsidRDefault="00AF4332" w:rsidP="001C47D2">
      <w:pPr>
        <w:ind w:firstLine="0"/>
      </w:pPr>
      <w:r>
        <w:tab/>
      </w:r>
      <w:r w:rsidR="001C47D2">
        <w:t xml:space="preserve">Market Basket Analysis (MBA) is a relatively simple </w:t>
      </w:r>
      <w:r w:rsidR="00315623">
        <w:t xml:space="preserve">concept with a broadly understood application – shopping at the grocery store (however, the concept can apply to other scenarios). </w:t>
      </w:r>
      <w:r w:rsidR="00B4283E">
        <w:t>Knowing</w:t>
      </w:r>
      <w:r w:rsidR="00315623">
        <w:t xml:space="preserve"> </w:t>
      </w:r>
      <w:r w:rsidR="00B4283E">
        <w:t xml:space="preserve">which </w:t>
      </w:r>
      <w:r w:rsidR="00315623">
        <w:t xml:space="preserve">products are frequently purchased together can help inform business decisions such as discounting items, offering bundles, or product placement. </w:t>
      </w:r>
      <w:r w:rsidR="002C77CE">
        <w:t>(</w:t>
      </w:r>
      <w:proofErr w:type="spellStart"/>
      <w:r w:rsidR="002C77CE">
        <w:t>Jabeen</w:t>
      </w:r>
      <w:proofErr w:type="spellEnd"/>
      <w:r w:rsidR="002C77CE">
        <w:t xml:space="preserve">, 2018) </w:t>
      </w:r>
      <w:r w:rsidR="00E17AF6">
        <w:t xml:space="preserve">These </w:t>
      </w:r>
      <w:r w:rsidR="00E17AF6">
        <w:lastRenderedPageBreak/>
        <w:t xml:space="preserve">relationships are called </w:t>
      </w:r>
      <w:r w:rsidR="00E17AF6">
        <w:rPr>
          <w:b/>
          <w:bCs/>
        </w:rPr>
        <w:t>association rules</w:t>
      </w:r>
      <w:r w:rsidR="00E17AF6">
        <w:t xml:space="preserve"> and essentially follow the structure </w:t>
      </w:r>
      <w:r w:rsidR="007C2BD6">
        <w:t xml:space="preserve">of conditional probability – </w:t>
      </w:r>
      <w:r w:rsidR="007C2BD6">
        <w:rPr>
          <w:i/>
          <w:iCs/>
        </w:rPr>
        <w:t xml:space="preserve">If </w:t>
      </w:r>
      <w:r w:rsidR="007C2BD6">
        <w:rPr>
          <w:b/>
          <w:bCs/>
          <w:i/>
          <w:iCs/>
        </w:rPr>
        <w:t>A</w:t>
      </w:r>
      <w:r w:rsidR="007C2BD6">
        <w:rPr>
          <w:i/>
          <w:iCs/>
        </w:rPr>
        <w:t xml:space="preserve"> then </w:t>
      </w:r>
      <w:r w:rsidR="007C2BD6">
        <w:rPr>
          <w:b/>
          <w:bCs/>
          <w:i/>
          <w:iCs/>
        </w:rPr>
        <w:t>B</w:t>
      </w:r>
      <w:r w:rsidR="00767CFF">
        <w:t xml:space="preserve">, or </w:t>
      </w:r>
      <w:r w:rsidR="00767CFF">
        <w:rPr>
          <w:i/>
          <w:iCs/>
        </w:rPr>
        <w:t>antecedent implies consequent</w:t>
      </w:r>
      <w:r w:rsidR="00767CFF">
        <w:t xml:space="preserve">. </w:t>
      </w:r>
      <w:r w:rsidR="002C77CE">
        <w:t>By offering incentives or simply placing related products near each other, customers may make an additional purchase (or “impulse buy”) who may not have originally intended to purchase that item.</w:t>
      </w:r>
      <w:r w:rsidR="00E17AF6">
        <w:t xml:space="preserve"> </w:t>
      </w:r>
      <w:r w:rsidR="00C13F7E">
        <w:t>(</w:t>
      </w:r>
      <w:proofErr w:type="spellStart"/>
      <w:r w:rsidR="00C13F7E">
        <w:t>Smartbridge</w:t>
      </w:r>
      <w:proofErr w:type="spellEnd"/>
      <w:r w:rsidR="00C13F7E">
        <w:t>, 2022)</w:t>
      </w:r>
    </w:p>
    <w:p w14:paraId="5CCA7221" w14:textId="1E502829" w:rsidR="00B4283E" w:rsidRPr="00E17AF6" w:rsidRDefault="002C77CE" w:rsidP="001C47D2">
      <w:pPr>
        <w:ind w:firstLine="0"/>
      </w:pPr>
      <w:r>
        <w:tab/>
      </w:r>
      <w:r w:rsidR="00E17AF6">
        <w:t xml:space="preserve">The </w:t>
      </w:r>
      <w:proofErr w:type="spellStart"/>
      <w:r w:rsidR="00E17AF6">
        <w:rPr>
          <w:i/>
          <w:iCs/>
        </w:rPr>
        <w:t>apriori</w:t>
      </w:r>
      <w:proofErr w:type="spellEnd"/>
      <w:r w:rsidR="00E17AF6">
        <w:t xml:space="preserve"> function in R can efficiently mine the association rules for a given data set and provide measurements of </w:t>
      </w:r>
      <w:r w:rsidR="00E17AF6">
        <w:rPr>
          <w:b/>
          <w:bCs/>
        </w:rPr>
        <w:t xml:space="preserve">support, confidence, </w:t>
      </w:r>
      <w:r w:rsidR="00E17AF6">
        <w:t xml:space="preserve">and </w:t>
      </w:r>
      <w:r w:rsidR="00E17AF6">
        <w:rPr>
          <w:b/>
          <w:bCs/>
        </w:rPr>
        <w:t>lift</w:t>
      </w:r>
      <w:r w:rsidR="00E17AF6">
        <w:t xml:space="preserve">. </w:t>
      </w:r>
      <w:r w:rsidR="007C2BD6">
        <w:t xml:space="preserve">These will be defined in greater detail in a later section, but in short, support is how frequent the relationship occurs overall, confidence is a measure of accuracy, and lift is a measurement of likelihood (i.e.: for the </w:t>
      </w:r>
      <w:r w:rsidR="003E6E92">
        <w:t>statement “</w:t>
      </w:r>
      <w:r w:rsidR="007C2BD6">
        <w:t>customers who bought cereal are twice as likely to also buy milk,</w:t>
      </w:r>
      <w:r w:rsidR="003E6E92">
        <w:t>”</w:t>
      </w:r>
      <w:r w:rsidR="007C2BD6">
        <w:t xml:space="preserve"> lift = 2)</w:t>
      </w:r>
      <w:r w:rsidR="003E6E92">
        <w:t xml:space="preserve">. </w:t>
      </w:r>
      <w:r w:rsidR="00BB0F71">
        <w:t xml:space="preserve">The algorithm searches a data set for the relationships and </w:t>
      </w:r>
      <w:r w:rsidR="00B4283E">
        <w:t>complies a report of association rules and their metrics. An analysis of the metrics can inform business decisions based on the corresponding rules.</w:t>
      </w:r>
    </w:p>
    <w:p w14:paraId="7A09B58B" w14:textId="77777777" w:rsidR="00B023F5" w:rsidRDefault="00B023F5" w:rsidP="00032151">
      <w:pPr>
        <w:ind w:firstLine="0"/>
      </w:pPr>
    </w:p>
    <w:p w14:paraId="51437AF3" w14:textId="49ECDFB6" w:rsidR="00004C04" w:rsidRPr="00032151" w:rsidRDefault="0030765E" w:rsidP="00032151">
      <w:pPr>
        <w:pStyle w:val="Heading2"/>
      </w:pPr>
      <w:r>
        <w:t>B2</w:t>
      </w:r>
      <w:r w:rsidR="00004C04" w:rsidRPr="00157A7B">
        <w:t xml:space="preserve">. </w:t>
      </w:r>
      <w:r w:rsidR="00BC0AD6">
        <w:t>Transaction Example</w:t>
      </w:r>
    </w:p>
    <w:p w14:paraId="20EF0CF0" w14:textId="12C23F8E" w:rsidR="00BC0AD6" w:rsidRDefault="007875FA" w:rsidP="0030765E">
      <w:r>
        <w:t>The screenshot below</w:t>
      </w:r>
      <w:r w:rsidR="00896580">
        <w:t xml:space="preserve"> </w:t>
      </w:r>
      <w:r>
        <w:t>is from the cleaned data set that has been submitted with this paper</w:t>
      </w:r>
      <w:r w:rsidR="00896580">
        <w:t xml:space="preserve"> and contains the first 10 purchases</w:t>
      </w:r>
      <w:r>
        <w:t>.</w:t>
      </w:r>
      <w:r w:rsidR="00896580">
        <w:t xml:space="preserve"> </w:t>
      </w:r>
      <w:r>
        <w:t xml:space="preserve"> Each row represents a single transaction, with the first row containing column headers representing </w:t>
      </w:r>
      <w:r w:rsidR="00896580">
        <w:t xml:space="preserve">a count of items purchased. Some rows have many items and do not fit neatly into an image (for example, </w:t>
      </w:r>
      <w:r w:rsidR="00896580">
        <w:t>Row 2 contain</w:t>
      </w:r>
      <w:r w:rsidR="00896580">
        <w:t xml:space="preserve">s </w:t>
      </w:r>
      <w:r w:rsidR="00896580">
        <w:t xml:space="preserve">the first </w:t>
      </w:r>
      <w:r w:rsidR="00896580">
        <w:t>transaction and consists of 20 items</w:t>
      </w:r>
      <w:r w:rsidR="00896580">
        <w:t>)</w:t>
      </w:r>
      <w:r w:rsidR="00896580">
        <w:t>. Rows 3-5 and 7-11 have three or fewer items and are easily captured in the image below.</w:t>
      </w:r>
    </w:p>
    <w:p w14:paraId="57DAEFDA" w14:textId="410CF07F" w:rsidR="007875FA" w:rsidRDefault="007875FA" w:rsidP="007875FA">
      <w:pPr>
        <w:ind w:firstLine="0"/>
      </w:pPr>
      <w:r w:rsidRPr="007875FA">
        <w:lastRenderedPageBreak/>
        <w:drawing>
          <wp:inline distT="0" distB="0" distL="0" distR="0" wp14:anchorId="63BF454A" wp14:editId="09BFE21A">
            <wp:extent cx="5943600" cy="1668780"/>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1668780"/>
                    </a:xfrm>
                    <a:prstGeom prst="rect">
                      <a:avLst/>
                    </a:prstGeom>
                  </pic:spPr>
                </pic:pic>
              </a:graphicData>
            </a:graphic>
          </wp:inline>
        </w:drawing>
      </w:r>
    </w:p>
    <w:p w14:paraId="2872FDAC" w14:textId="0356CEB7" w:rsidR="00896580" w:rsidRPr="00896580" w:rsidRDefault="00896580" w:rsidP="00896580">
      <w:pPr>
        <w:ind w:firstLine="0"/>
        <w:jc w:val="center"/>
        <w:rPr>
          <w:b/>
          <w:bCs/>
          <w:i/>
          <w:iCs/>
        </w:rPr>
      </w:pPr>
      <w:r>
        <w:rPr>
          <w:b/>
          <w:bCs/>
          <w:i/>
          <w:iCs/>
        </w:rPr>
        <w:t>Figure 1: Transaction Examples</w:t>
      </w:r>
    </w:p>
    <w:p w14:paraId="407679F9" w14:textId="5A634D7A" w:rsidR="00BC0AD6" w:rsidRPr="00032151" w:rsidRDefault="00BC0AD6" w:rsidP="00BC0AD6">
      <w:pPr>
        <w:pStyle w:val="Heading2"/>
      </w:pPr>
      <w:r>
        <w:t>B3</w:t>
      </w:r>
      <w:r w:rsidRPr="00157A7B">
        <w:t xml:space="preserve">. </w:t>
      </w:r>
      <w:r>
        <w:t>Market Basket Assumption</w:t>
      </w:r>
    </w:p>
    <w:p w14:paraId="048D6C0A" w14:textId="1695A7CC" w:rsidR="00BC0AD6" w:rsidRDefault="00E719F2" w:rsidP="00BC0AD6">
      <w:r>
        <w:t>Market basket analysis assumes the data being analyzed contains independent transactions (meaning no erroneous duplicat</w:t>
      </w:r>
      <w:r w:rsidR="0064763F">
        <w:t>ed transactions</w:t>
      </w:r>
      <w:r w:rsidR="00EB67B7">
        <w:t>) and</w:t>
      </w:r>
      <w:r w:rsidR="0064763F">
        <w:t xml:space="preserve"> assumes there are trends to be found in customer purchases.</w:t>
      </w:r>
    </w:p>
    <w:p w14:paraId="79AF32A0" w14:textId="77777777" w:rsidR="0030765E" w:rsidRPr="0030765E" w:rsidRDefault="0030765E" w:rsidP="00A133D6">
      <w:pPr>
        <w:ind w:firstLine="0"/>
      </w:pPr>
    </w:p>
    <w:p w14:paraId="5595EAA3" w14:textId="48F26A9D" w:rsidR="000941F6" w:rsidRPr="00157A7B" w:rsidRDefault="000941F6" w:rsidP="000941F6">
      <w:pPr>
        <w:pStyle w:val="Heading1"/>
        <w:ind w:firstLine="0"/>
        <w:rPr>
          <w:bCs/>
        </w:rPr>
      </w:pPr>
      <w:r w:rsidRPr="00157A7B">
        <w:t>Part I</w:t>
      </w:r>
      <w:r w:rsidR="0030765E">
        <w:t>I</w:t>
      </w:r>
      <w:r w:rsidRPr="00157A7B">
        <w:t xml:space="preserve">I: </w:t>
      </w:r>
      <w:r w:rsidR="0030765E">
        <w:t>Data Preparation</w:t>
      </w:r>
      <w:r w:rsidR="00BC0AD6">
        <w:t xml:space="preserve"> and Analysis</w:t>
      </w:r>
    </w:p>
    <w:p w14:paraId="7AD05F42" w14:textId="58B89E15" w:rsidR="000941F6" w:rsidRDefault="0030765E" w:rsidP="000941F6">
      <w:pPr>
        <w:pStyle w:val="Heading2"/>
      </w:pPr>
      <w:r>
        <w:t>C1</w:t>
      </w:r>
      <w:r w:rsidR="00004C04" w:rsidRPr="00157A7B">
        <w:t xml:space="preserve">. </w:t>
      </w:r>
      <w:r w:rsidR="00BC0AD6">
        <w:t>Transforming the Dataset</w:t>
      </w:r>
    </w:p>
    <w:p w14:paraId="6A9DD973" w14:textId="1E3B16C2" w:rsidR="00CC5A6F" w:rsidRDefault="0064763F" w:rsidP="00CC5A6F">
      <w:r>
        <w:t xml:space="preserve">The data set contains blank rows between </w:t>
      </w:r>
      <w:r w:rsidR="00EB67B7">
        <w:t>transactions,</w:t>
      </w:r>
      <w:r>
        <w:t xml:space="preserve"> so these rows were dropped from the data set. Please see the submitted csv file containing the data set after this step was completed.</w:t>
      </w:r>
    </w:p>
    <w:p w14:paraId="39A0C2AD" w14:textId="27EB4A01" w:rsidR="00461F40" w:rsidRDefault="00461F40" w:rsidP="00004C04">
      <w:pPr>
        <w:ind w:firstLine="0"/>
      </w:pPr>
    </w:p>
    <w:p w14:paraId="1D63D6A3" w14:textId="4C3E37C8" w:rsidR="00FF0CA0" w:rsidRPr="00157A7B" w:rsidRDefault="0030765E" w:rsidP="00FF0CA0">
      <w:pPr>
        <w:pStyle w:val="Heading2"/>
        <w:rPr>
          <w:bCs/>
        </w:rPr>
      </w:pPr>
      <w:r>
        <w:t>C2</w:t>
      </w:r>
      <w:r w:rsidR="00FF0CA0" w:rsidRPr="00157A7B">
        <w:t xml:space="preserve">. </w:t>
      </w:r>
      <w:r w:rsidR="00BC0AD6">
        <w:t>Code Execution</w:t>
      </w:r>
    </w:p>
    <w:p w14:paraId="35796238" w14:textId="529A92A5" w:rsidR="0084612F" w:rsidRDefault="00611FE2" w:rsidP="0084612F">
      <w:r>
        <w:t>Please see the attached PDF containing the code execution report.</w:t>
      </w:r>
    </w:p>
    <w:p w14:paraId="095A0A50" w14:textId="77777777" w:rsidR="00BC0AD6" w:rsidRDefault="00BC0AD6" w:rsidP="0084612F"/>
    <w:p w14:paraId="75D240D1" w14:textId="21328E76" w:rsidR="00BC0AD6" w:rsidRPr="00157A7B" w:rsidRDefault="00BC0AD6" w:rsidP="00BC0AD6">
      <w:pPr>
        <w:pStyle w:val="Heading2"/>
        <w:rPr>
          <w:bCs/>
        </w:rPr>
      </w:pPr>
      <w:r>
        <w:t>C3</w:t>
      </w:r>
      <w:r w:rsidRPr="00157A7B">
        <w:t xml:space="preserve">. </w:t>
      </w:r>
      <w:r>
        <w:t>Association Rules Table</w:t>
      </w:r>
    </w:p>
    <w:p w14:paraId="1E0D91AE" w14:textId="6FAABEF0" w:rsidR="00BC0AD6" w:rsidRDefault="00BC0AD6" w:rsidP="00BC0AD6">
      <w:r>
        <w:t>The</w:t>
      </w:r>
      <w:r w:rsidR="00611FE2">
        <w:t xml:space="preserve">re are 18 total rules found from the transaction data (Figure </w:t>
      </w:r>
      <w:r w:rsidR="00EB67B7">
        <w:t>2</w:t>
      </w:r>
      <w:r w:rsidR="00611FE2">
        <w:t xml:space="preserve">). The individual rules and their corresponding metrics can be seen in Figure </w:t>
      </w:r>
      <w:r w:rsidR="00EB67B7">
        <w:t>3</w:t>
      </w:r>
      <w:r w:rsidR="00611FE2">
        <w:t>.</w:t>
      </w:r>
    </w:p>
    <w:p w14:paraId="35327087" w14:textId="154BFBDB" w:rsidR="00611FE2" w:rsidRDefault="00611FE2" w:rsidP="00611FE2">
      <w:pPr>
        <w:ind w:firstLine="0"/>
      </w:pPr>
      <w:r w:rsidRPr="00611FE2">
        <w:lastRenderedPageBreak/>
        <w:drawing>
          <wp:inline distT="0" distB="0" distL="0" distR="0" wp14:anchorId="36E472E2" wp14:editId="7DDCA8FD">
            <wp:extent cx="5943600" cy="241363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2413635"/>
                    </a:xfrm>
                    <a:prstGeom prst="rect">
                      <a:avLst/>
                    </a:prstGeom>
                  </pic:spPr>
                </pic:pic>
              </a:graphicData>
            </a:graphic>
          </wp:inline>
        </w:drawing>
      </w:r>
    </w:p>
    <w:p w14:paraId="1F09CF03" w14:textId="3D04812A" w:rsidR="00611FE2" w:rsidRPr="00611FE2" w:rsidRDefault="00611FE2" w:rsidP="00611FE2">
      <w:pPr>
        <w:ind w:firstLine="0"/>
        <w:jc w:val="center"/>
        <w:rPr>
          <w:b/>
          <w:bCs/>
          <w:i/>
          <w:iCs/>
        </w:rPr>
      </w:pPr>
      <w:r>
        <w:rPr>
          <w:b/>
          <w:bCs/>
          <w:i/>
          <w:iCs/>
        </w:rPr>
        <w:t xml:space="preserve">Figure </w:t>
      </w:r>
      <w:r w:rsidR="00EB67B7">
        <w:rPr>
          <w:b/>
          <w:bCs/>
          <w:i/>
          <w:iCs/>
        </w:rPr>
        <w:t>2</w:t>
      </w:r>
      <w:r>
        <w:rPr>
          <w:b/>
          <w:bCs/>
          <w:i/>
          <w:iCs/>
        </w:rPr>
        <w:t xml:space="preserve">: </w:t>
      </w:r>
      <w:proofErr w:type="spellStart"/>
      <w:r>
        <w:rPr>
          <w:b/>
          <w:bCs/>
          <w:i/>
          <w:iCs/>
        </w:rPr>
        <w:t>Apriori</w:t>
      </w:r>
      <w:proofErr w:type="spellEnd"/>
      <w:r>
        <w:rPr>
          <w:b/>
          <w:bCs/>
          <w:i/>
          <w:iCs/>
        </w:rPr>
        <w:t xml:space="preserve"> Execution</w:t>
      </w:r>
    </w:p>
    <w:p w14:paraId="62AC39C5" w14:textId="0A332071" w:rsidR="00164109" w:rsidRDefault="00611FE2" w:rsidP="00164109">
      <w:pPr>
        <w:ind w:firstLine="0"/>
        <w:jc w:val="center"/>
      </w:pPr>
      <w:r w:rsidRPr="00611FE2">
        <w:drawing>
          <wp:inline distT="0" distB="0" distL="0" distR="0" wp14:anchorId="66703BDB" wp14:editId="5B341012">
            <wp:extent cx="5943600" cy="28930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2893060"/>
                    </a:xfrm>
                    <a:prstGeom prst="rect">
                      <a:avLst/>
                    </a:prstGeom>
                  </pic:spPr>
                </pic:pic>
              </a:graphicData>
            </a:graphic>
          </wp:inline>
        </w:drawing>
      </w:r>
    </w:p>
    <w:p w14:paraId="2F2541C1" w14:textId="40B148A1" w:rsidR="00164109" w:rsidRPr="00164109" w:rsidRDefault="00164109" w:rsidP="00164109">
      <w:pPr>
        <w:ind w:firstLine="0"/>
        <w:jc w:val="center"/>
        <w:rPr>
          <w:b/>
          <w:bCs/>
          <w:i/>
          <w:iCs/>
        </w:rPr>
      </w:pPr>
      <w:r>
        <w:rPr>
          <w:b/>
          <w:bCs/>
          <w:i/>
          <w:iCs/>
        </w:rPr>
        <w:t xml:space="preserve">Figure </w:t>
      </w:r>
      <w:r w:rsidR="00EB67B7">
        <w:rPr>
          <w:b/>
          <w:bCs/>
          <w:i/>
          <w:iCs/>
        </w:rPr>
        <w:t>3</w:t>
      </w:r>
      <w:r>
        <w:rPr>
          <w:b/>
          <w:bCs/>
          <w:i/>
          <w:iCs/>
        </w:rPr>
        <w:t>: Association Rules Table</w:t>
      </w:r>
    </w:p>
    <w:p w14:paraId="5E1B734F" w14:textId="77777777" w:rsidR="00BC0AD6" w:rsidRPr="00436C05" w:rsidRDefault="00BC0AD6" w:rsidP="00BC0AD6"/>
    <w:p w14:paraId="2B8FFD84" w14:textId="144DBD76" w:rsidR="00BC0AD6" w:rsidRPr="00157A7B" w:rsidRDefault="00BC0AD6" w:rsidP="00BC0AD6">
      <w:pPr>
        <w:pStyle w:val="Heading2"/>
        <w:rPr>
          <w:bCs/>
        </w:rPr>
      </w:pPr>
      <w:r>
        <w:t>C4</w:t>
      </w:r>
      <w:r w:rsidRPr="00157A7B">
        <w:t>.</w:t>
      </w:r>
      <w:r>
        <w:t xml:space="preserve"> Top Three Rules</w:t>
      </w:r>
    </w:p>
    <w:p w14:paraId="0D373A2A" w14:textId="1ABF280A" w:rsidR="005E6303" w:rsidRPr="00436C05" w:rsidRDefault="00BC0AD6" w:rsidP="005E6303">
      <w:r>
        <w:t xml:space="preserve">The </w:t>
      </w:r>
      <w:r w:rsidR="00DD0F6C">
        <w:t xml:space="preserve">top three rules, ordered by lift, are provided in the figure below. The combination with the highest lift </w:t>
      </w:r>
      <w:r w:rsidR="00164109">
        <w:t xml:space="preserve">is when a customer purchases Dust-off Compressed Gas 2 Pack and SanDisk </w:t>
      </w:r>
      <w:r w:rsidR="00164109">
        <w:lastRenderedPageBreak/>
        <w:t xml:space="preserve">Ultra 64GB Card, they are 2.395 times as likely to also purchase a VIVO Dual LCD Monitor Desk Mount. </w:t>
      </w:r>
    </w:p>
    <w:p w14:paraId="524D2D5E" w14:textId="56673240" w:rsidR="00BC0AD6" w:rsidRDefault="00DD0F6C" w:rsidP="00DD0F6C">
      <w:pPr>
        <w:ind w:firstLine="0"/>
        <w:jc w:val="center"/>
      </w:pPr>
      <w:r w:rsidRPr="00DD0F6C">
        <w:drawing>
          <wp:inline distT="0" distB="0" distL="0" distR="0" wp14:anchorId="12CF3421" wp14:editId="1207F5A3">
            <wp:extent cx="5943600" cy="7353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735330"/>
                    </a:xfrm>
                    <a:prstGeom prst="rect">
                      <a:avLst/>
                    </a:prstGeom>
                  </pic:spPr>
                </pic:pic>
              </a:graphicData>
            </a:graphic>
          </wp:inline>
        </w:drawing>
      </w:r>
    </w:p>
    <w:p w14:paraId="4FFF9864" w14:textId="5F9DF2B4" w:rsidR="00DD0F6C" w:rsidRPr="00DD0F6C" w:rsidRDefault="00DD0F6C" w:rsidP="00DD0F6C">
      <w:pPr>
        <w:ind w:firstLine="0"/>
        <w:jc w:val="center"/>
        <w:rPr>
          <w:b/>
          <w:bCs/>
          <w:i/>
          <w:iCs/>
        </w:rPr>
      </w:pPr>
      <w:r>
        <w:rPr>
          <w:b/>
          <w:bCs/>
          <w:i/>
          <w:iCs/>
        </w:rPr>
        <w:t xml:space="preserve">Figure </w:t>
      </w:r>
      <w:r w:rsidR="00EB67B7">
        <w:rPr>
          <w:b/>
          <w:bCs/>
          <w:i/>
          <w:iCs/>
        </w:rPr>
        <w:t>4</w:t>
      </w:r>
      <w:r>
        <w:rPr>
          <w:b/>
          <w:bCs/>
          <w:i/>
          <w:iCs/>
        </w:rPr>
        <w:t>: Top Three Rules with Metrics</w:t>
      </w:r>
    </w:p>
    <w:p w14:paraId="292E013F" w14:textId="77777777" w:rsidR="00FF0CA0" w:rsidRDefault="00FF0CA0" w:rsidP="00FF0CA0">
      <w:pPr>
        <w:pStyle w:val="Heading2"/>
      </w:pPr>
    </w:p>
    <w:p w14:paraId="1DB75325" w14:textId="5210E4C3" w:rsidR="00C068D7" w:rsidRPr="00157A7B" w:rsidRDefault="00C068D7" w:rsidP="00C068D7">
      <w:pPr>
        <w:pStyle w:val="Heading1"/>
        <w:ind w:firstLine="0"/>
      </w:pPr>
      <w:r w:rsidRPr="00157A7B">
        <w:t xml:space="preserve">Part </w:t>
      </w:r>
      <w:r w:rsidR="0030765E">
        <w:t>IV</w:t>
      </w:r>
      <w:r w:rsidRPr="00157A7B">
        <w:t xml:space="preserve">: </w:t>
      </w:r>
      <w:r w:rsidR="00BC0AD6">
        <w:t>Data Summary and Implications</w:t>
      </w:r>
    </w:p>
    <w:p w14:paraId="2328880E" w14:textId="5BE01B5D" w:rsidR="00682AD3" w:rsidRPr="00157A7B" w:rsidRDefault="0030765E" w:rsidP="00682AD3">
      <w:pPr>
        <w:pStyle w:val="Heading2"/>
        <w:rPr>
          <w:bCs/>
        </w:rPr>
      </w:pPr>
      <w:r>
        <w:t>D1</w:t>
      </w:r>
      <w:r w:rsidR="00682AD3" w:rsidRPr="00157A7B">
        <w:t xml:space="preserve">. </w:t>
      </w:r>
      <w:r w:rsidR="00BC0AD6">
        <w:t>Significance of Support, Lift, and Confidence Summary</w:t>
      </w:r>
    </w:p>
    <w:p w14:paraId="68ACF5BA" w14:textId="6AED2D19" w:rsidR="00CE0E49" w:rsidRDefault="00CE0E49" w:rsidP="009C3F87">
      <w:pPr>
        <w:ind w:firstLine="0"/>
      </w:pPr>
      <w:r>
        <w:tab/>
      </w:r>
      <w:r w:rsidR="005E6303">
        <w:t xml:space="preserve">Support, lift, and confidence were introduced briefly in an earlier section and referenced throughout. Now that the </w:t>
      </w:r>
      <w:proofErr w:type="spellStart"/>
      <w:proofErr w:type="gramStart"/>
      <w:r w:rsidR="005E6303">
        <w:rPr>
          <w:i/>
          <w:iCs/>
        </w:rPr>
        <w:t>apriori</w:t>
      </w:r>
      <w:proofErr w:type="spellEnd"/>
      <w:r w:rsidR="005E6303">
        <w:rPr>
          <w:i/>
          <w:iCs/>
        </w:rPr>
        <w:t>(</w:t>
      </w:r>
      <w:proofErr w:type="gramEnd"/>
      <w:r w:rsidR="005E6303">
        <w:rPr>
          <w:i/>
          <w:iCs/>
        </w:rPr>
        <w:t>)</w:t>
      </w:r>
      <w:r w:rsidR="005E6303">
        <w:t xml:space="preserve"> output is available, context can be provided to these values based on the rules.</w:t>
      </w:r>
    </w:p>
    <w:p w14:paraId="27E80FF8" w14:textId="3DE08BC8" w:rsidR="005E6303" w:rsidRDefault="005E6303" w:rsidP="009C3F87">
      <w:pPr>
        <w:ind w:firstLine="0"/>
      </w:pPr>
      <w:r>
        <w:tab/>
      </w:r>
      <w:r w:rsidR="009C3F87">
        <w:t xml:space="preserve">Support for a rule is defined as the proportion of transactions that contain the value(s) in the </w:t>
      </w:r>
      <w:proofErr w:type="spellStart"/>
      <w:r w:rsidR="009C3F87">
        <w:rPr>
          <w:i/>
          <w:iCs/>
        </w:rPr>
        <w:t>lhs</w:t>
      </w:r>
      <w:proofErr w:type="spellEnd"/>
      <w:r w:rsidR="009C3F87">
        <w:t xml:space="preserve"> column </w:t>
      </w:r>
      <w:r w:rsidR="000241D4">
        <w:t xml:space="preserve">(A) </w:t>
      </w:r>
      <w:r w:rsidR="009C3F87">
        <w:t xml:space="preserve">and the value(s) in the </w:t>
      </w:r>
      <w:proofErr w:type="spellStart"/>
      <w:r w:rsidR="009C3F87">
        <w:rPr>
          <w:i/>
          <w:iCs/>
        </w:rPr>
        <w:t>rhs</w:t>
      </w:r>
      <w:proofErr w:type="spellEnd"/>
      <w:r w:rsidR="009C3F87">
        <w:t xml:space="preserve"> column</w:t>
      </w:r>
      <w:r w:rsidR="000241D4">
        <w:t xml:space="preserve"> (B)</w:t>
      </w:r>
      <w:r w:rsidR="009C3F87">
        <w:t>. The formula in terms of probability can be written as</w:t>
      </w:r>
    </w:p>
    <w:p w14:paraId="2E0A26B1" w14:textId="00A448A7" w:rsidR="009C3F87" w:rsidRPr="00176599" w:rsidRDefault="009C3F87" w:rsidP="009C3F87">
      <w:pPr>
        <w:ind w:firstLine="0"/>
        <w:rPr>
          <w:iCs/>
        </w:rPr>
      </w:pPr>
      <m:oMathPara>
        <m:oMath>
          <m:r>
            <w:rPr>
              <w:rFonts w:ascii="Cambria Math" w:hAnsi="Cambria Math"/>
            </w:rPr>
            <m:t>support=P</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ctrlPr>
                <w:rPr>
                  <w:rFonts w:ascii="Cambria Math" w:hAnsi="Cambria Math"/>
                  <w:iCs/>
                </w:rPr>
              </m:ctrlPr>
            </m:e>
          </m:d>
          <m:r>
            <w:rPr>
              <w:rFonts w:ascii="Cambria Math" w:hAnsi="Cambria Math"/>
            </w:rPr>
            <m:t>=</m:t>
          </m:r>
          <m:f>
            <m:fPr>
              <m:ctrlPr>
                <w:rPr>
                  <w:rFonts w:ascii="Cambria Math" w:hAnsi="Cambria Math"/>
                  <w:i/>
                  <w:iCs/>
                </w:rPr>
              </m:ctrlPr>
            </m:fPr>
            <m:num>
              <m:r>
                <m:rPr>
                  <m:sty m:val="p"/>
                </m:rPr>
                <w:rPr>
                  <w:rFonts w:ascii="Cambria Math" w:hAnsi="Cambria Math"/>
                </w:rPr>
                <m:t>number of transactions containging both A and B</m:t>
              </m:r>
            </m:num>
            <m:den>
              <m:r>
                <m:rPr>
                  <m:sty m:val="p"/>
                </m:rPr>
                <w:rPr>
                  <w:rFonts w:ascii="Cambria Math" w:hAnsi="Cambria Math"/>
                </w:rPr>
                <m:t>total number of transactions</m:t>
              </m:r>
            </m:den>
          </m:f>
        </m:oMath>
      </m:oMathPara>
    </w:p>
    <w:p w14:paraId="3983DDA6" w14:textId="74C8EAF1" w:rsidR="00176599" w:rsidRPr="009C3F87" w:rsidRDefault="00176599" w:rsidP="00176599">
      <w:pPr>
        <w:ind w:firstLine="0"/>
        <w:jc w:val="right"/>
        <w:rPr>
          <w:iCs/>
        </w:rPr>
      </w:pPr>
      <w:r>
        <w:t>(Larose &amp; Larose, 2019)</w:t>
      </w:r>
    </w:p>
    <w:p w14:paraId="70609973" w14:textId="21FBEA89" w:rsidR="009C3F87" w:rsidRDefault="009C3F87" w:rsidP="009C3F87">
      <w:pPr>
        <w:ind w:firstLine="0"/>
        <w:rPr>
          <w:iCs/>
        </w:rPr>
      </w:pPr>
      <w:r>
        <w:rPr>
          <w:iCs/>
        </w:rPr>
        <w:t xml:space="preserve">In terms of the first rule from Figure </w:t>
      </w:r>
      <w:r w:rsidR="00EB67B7">
        <w:rPr>
          <w:iCs/>
        </w:rPr>
        <w:t>4</w:t>
      </w:r>
      <w:r>
        <w:rPr>
          <w:iCs/>
        </w:rPr>
        <w:t xml:space="preserve"> above, this can be interpreted as:</w:t>
      </w:r>
    </w:p>
    <w:p w14:paraId="7605058A" w14:textId="23F882DB" w:rsidR="009C3F87" w:rsidRDefault="009C3F87" w:rsidP="009C3F87">
      <w:pPr>
        <w:ind w:firstLine="0"/>
        <w:rPr>
          <w:iCs/>
        </w:rPr>
      </w:pPr>
      <w:r>
        <w:rPr>
          <w:iCs/>
        </w:rPr>
        <w:t xml:space="preserve">“Customers buy Dust-off Compressed Gas 2 pack and SanDisk Ultra 64GB card </w:t>
      </w:r>
      <w:r w:rsidR="00CB31C5">
        <w:rPr>
          <w:iCs/>
        </w:rPr>
        <w:t>together with</w:t>
      </w:r>
      <w:r>
        <w:rPr>
          <w:iCs/>
        </w:rPr>
        <w:t xml:space="preserve"> VIVO Dual LCD Monitor Desk mount </w:t>
      </w:r>
      <w:r w:rsidR="00985E93">
        <w:rPr>
          <w:iCs/>
        </w:rPr>
        <w:t xml:space="preserve">at </w:t>
      </w:r>
      <w:r>
        <w:rPr>
          <w:iCs/>
        </w:rPr>
        <w:t xml:space="preserve">1.7% </w:t>
      </w:r>
      <w:r w:rsidR="00985E93">
        <w:rPr>
          <w:iCs/>
        </w:rPr>
        <w:t>of all purchases</w:t>
      </w:r>
      <w:r>
        <w:rPr>
          <w:iCs/>
        </w:rPr>
        <w:t>.”</w:t>
      </w:r>
    </w:p>
    <w:p w14:paraId="1BBF4E87" w14:textId="37772F88" w:rsidR="000241D4" w:rsidRDefault="000241D4" w:rsidP="000241D4">
      <w:pPr>
        <w:ind w:firstLine="0"/>
        <w:jc w:val="both"/>
        <w:rPr>
          <w:iCs/>
        </w:rPr>
      </w:pPr>
      <w:r>
        <w:rPr>
          <w:iCs/>
        </w:rPr>
        <w:tab/>
        <w:t xml:space="preserve">Confidence is the conditional probability that a customer will buy </w:t>
      </w:r>
      <w:proofErr w:type="spellStart"/>
      <w:r>
        <w:rPr>
          <w:i/>
        </w:rPr>
        <w:t>rhs</w:t>
      </w:r>
      <w:proofErr w:type="spellEnd"/>
      <w:r>
        <w:rPr>
          <w:iCs/>
        </w:rPr>
        <w:t xml:space="preserve"> (B) given they have “already purchased” </w:t>
      </w:r>
      <w:proofErr w:type="spellStart"/>
      <w:r>
        <w:rPr>
          <w:i/>
        </w:rPr>
        <w:t>lhs</w:t>
      </w:r>
      <w:proofErr w:type="spellEnd"/>
      <w:r>
        <w:rPr>
          <w:iCs/>
        </w:rPr>
        <w:t xml:space="preserve"> (A)</w:t>
      </w:r>
      <w:r>
        <w:rPr>
          <w:iCs/>
        </w:rPr>
        <w:t xml:space="preserve"> (not meaning a separate transaction, but that they have the item(s) in their basket and will purchase it/them). The formula for calculating confidence is</w:t>
      </w:r>
    </w:p>
    <w:p w14:paraId="72673D4F" w14:textId="01226E06" w:rsidR="000241D4" w:rsidRPr="00176599" w:rsidRDefault="000241D4" w:rsidP="000241D4">
      <w:pPr>
        <w:ind w:firstLine="0"/>
        <w:jc w:val="both"/>
        <w:rPr>
          <w:iCs/>
        </w:rPr>
      </w:pPr>
      <m:oMathPara>
        <m:oMath>
          <m:r>
            <w:rPr>
              <w:rFonts w:ascii="Cambria Math" w:hAnsi="Cambria Math"/>
            </w:rPr>
            <w:lastRenderedPageBreak/>
            <m:t>confidence=P</m:t>
          </m:r>
          <m:d>
            <m:dPr>
              <m:ctrlPr>
                <w:rPr>
                  <w:rFonts w:ascii="Cambria Math" w:hAnsi="Cambria Math"/>
                  <w:i/>
                  <w:iCs/>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iCs/>
                </w:rPr>
              </m:ctrlPr>
            </m:fPr>
            <m:num>
              <m:r>
                <w:rPr>
                  <w:rFonts w:ascii="Cambria Math" w:hAnsi="Cambria Math"/>
                </w:rPr>
                <m:t>P(A∩B)</m:t>
              </m:r>
            </m:num>
            <m:den>
              <m:r>
                <w:rPr>
                  <w:rFonts w:ascii="Cambria Math" w:hAnsi="Cambria Math"/>
                </w:rPr>
                <m:t>P(A)</m:t>
              </m:r>
            </m:den>
          </m:f>
          <m:r>
            <w:rPr>
              <w:rFonts w:ascii="Cambria Math" w:hAnsi="Cambria Math"/>
            </w:rPr>
            <m:t>=</m:t>
          </m:r>
          <m:f>
            <m:fPr>
              <m:ctrlPr>
                <w:rPr>
                  <w:rFonts w:ascii="Cambria Math" w:hAnsi="Cambria Math"/>
                  <w:i/>
                  <w:iCs/>
                </w:rPr>
              </m:ctrlPr>
            </m:fPr>
            <m:num>
              <m:r>
                <m:rPr>
                  <m:sty m:val="p"/>
                </m:rPr>
                <w:rPr>
                  <w:rFonts w:ascii="Cambria Math" w:hAnsi="Cambria Math"/>
                </w:rPr>
                <m:t>number of transactions containing both A and B</m:t>
              </m:r>
            </m:num>
            <m:den>
              <m:r>
                <m:rPr>
                  <m:sty m:val="p"/>
                </m:rPr>
                <w:rPr>
                  <w:rFonts w:ascii="Cambria Math" w:hAnsi="Cambria Math"/>
                </w:rPr>
                <m:t>number of transactions containing A</m:t>
              </m:r>
            </m:den>
          </m:f>
        </m:oMath>
      </m:oMathPara>
    </w:p>
    <w:p w14:paraId="20E38BB0" w14:textId="5DB1B3B7" w:rsidR="00176599" w:rsidRPr="000241D4" w:rsidRDefault="00176599" w:rsidP="00176599">
      <w:pPr>
        <w:ind w:firstLine="0"/>
        <w:jc w:val="right"/>
        <w:rPr>
          <w:iCs/>
        </w:rPr>
      </w:pPr>
      <w:r>
        <w:t>(Larose &amp; Larose, 2019)</w:t>
      </w:r>
    </w:p>
    <w:p w14:paraId="60610618" w14:textId="13B3E9C3" w:rsidR="00CB31C5" w:rsidRDefault="00CB31C5" w:rsidP="00CB31C5">
      <w:pPr>
        <w:ind w:firstLine="0"/>
        <w:rPr>
          <w:iCs/>
        </w:rPr>
      </w:pPr>
      <w:r>
        <w:t xml:space="preserve">In terms of the first rule, confidence can be interpreted as </w:t>
      </w:r>
      <w:r>
        <w:rPr>
          <w:iCs/>
        </w:rPr>
        <w:t xml:space="preserve">“Customers buy Dust-off Compressed Gas 2 pack and SanDisk Ultra 64GB card </w:t>
      </w:r>
      <w:r>
        <w:rPr>
          <w:iCs/>
        </w:rPr>
        <w:t>also buy</w:t>
      </w:r>
      <w:r>
        <w:rPr>
          <w:iCs/>
        </w:rPr>
        <w:t xml:space="preserve"> VIVO Dual LCD Monitor Desk mount </w:t>
      </w:r>
      <w:r>
        <w:rPr>
          <w:iCs/>
        </w:rPr>
        <w:t>41.69</w:t>
      </w:r>
      <w:r>
        <w:rPr>
          <w:iCs/>
        </w:rPr>
        <w:t>% of the time.”</w:t>
      </w:r>
    </w:p>
    <w:p w14:paraId="567DFCED" w14:textId="0019130D" w:rsidR="00CB31C5" w:rsidRDefault="00CB31C5" w:rsidP="00CB31C5">
      <w:pPr>
        <w:ind w:firstLine="0"/>
        <w:rPr>
          <w:iCs/>
        </w:rPr>
      </w:pPr>
      <w:r>
        <w:rPr>
          <w:iCs/>
        </w:rPr>
        <w:tab/>
        <w:t>Lift is a bit more complicated, but it can be summarized as the probability the rule (</w:t>
      </w:r>
      <w:r w:rsidRPr="00EB67B7">
        <w:rPr>
          <w:i/>
        </w:rPr>
        <w:t>confidence</w:t>
      </w:r>
      <w:r>
        <w:rPr>
          <w:iCs/>
        </w:rPr>
        <w:t xml:space="preserve">) vs the probability of the </w:t>
      </w:r>
      <w:r w:rsidR="00752E9D">
        <w:rPr>
          <w:iCs/>
        </w:rPr>
        <w:t>second purchase (</w:t>
      </w:r>
      <w:r w:rsidR="00EB67B7">
        <w:rPr>
          <w:i/>
        </w:rPr>
        <w:t>consequent</w:t>
      </w:r>
      <w:r w:rsidR="00752E9D">
        <w:rPr>
          <w:iCs/>
        </w:rPr>
        <w:t>)</w:t>
      </w:r>
      <w:r>
        <w:rPr>
          <w:iCs/>
        </w:rPr>
        <w:t xml:space="preserve"> happening at random chance (called “prior proportion of the consequent”). </w:t>
      </w:r>
      <w:r w:rsidR="00752E9D">
        <w:rPr>
          <w:iCs/>
        </w:rPr>
        <w:t>The formula reads</w:t>
      </w:r>
    </w:p>
    <w:p w14:paraId="2024EE06" w14:textId="7A557C3E" w:rsidR="00752E9D" w:rsidRPr="00176599" w:rsidRDefault="00752E9D" w:rsidP="00CB31C5">
      <w:pPr>
        <w:ind w:firstLine="0"/>
        <w:rPr>
          <w:iCs/>
        </w:rPr>
      </w:pPr>
      <m:oMathPara>
        <m:oMath>
          <m:r>
            <w:rPr>
              <w:rFonts w:ascii="Cambria Math" w:hAnsi="Cambria Math"/>
            </w:rPr>
            <m:t>Lift=</m:t>
          </m:r>
          <m:f>
            <m:fPr>
              <m:ctrlPr>
                <w:rPr>
                  <w:rFonts w:ascii="Cambria Math" w:hAnsi="Cambria Math"/>
                  <w:i/>
                  <w:iCs/>
                </w:rPr>
              </m:ctrlPr>
            </m:fPr>
            <m:num>
              <m:r>
                <w:rPr>
                  <w:rFonts w:ascii="Cambria Math" w:hAnsi="Cambria Math"/>
                </w:rPr>
                <m:t>Rule of confidence</m:t>
              </m:r>
            </m:num>
            <m:den>
              <m:r>
                <w:rPr>
                  <w:rFonts w:ascii="Cambria Math" w:hAnsi="Cambria Math"/>
                </w:rPr>
                <m:t>Prior proportion of the consequent</m:t>
              </m:r>
            </m:den>
          </m:f>
          <m:r>
            <w:rPr>
              <w:rFonts w:ascii="Cambria Math" w:hAnsi="Cambria Math"/>
            </w:rPr>
            <m:t>=</m:t>
          </m:r>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B</m:t>
                  </m:r>
                </m:e>
                <m:e>
                  <m:r>
                    <w:rPr>
                      <w:rFonts w:ascii="Cambria Math" w:hAnsi="Cambria Math"/>
                    </w:rPr>
                    <m:t>A</m:t>
                  </m:r>
                </m:e>
              </m:d>
            </m:num>
            <m:den>
              <m:r>
                <w:rPr>
                  <w:rFonts w:ascii="Cambria Math" w:hAnsi="Cambria Math"/>
                </w:rPr>
                <m:t>P</m:t>
              </m:r>
              <m:d>
                <m:dPr>
                  <m:ctrlPr>
                    <w:rPr>
                      <w:rFonts w:ascii="Cambria Math" w:hAnsi="Cambria Math"/>
                      <w:i/>
                      <w:iCs/>
                    </w:rPr>
                  </m:ctrlPr>
                </m:dPr>
                <m:e>
                  <m:r>
                    <w:rPr>
                      <w:rFonts w:ascii="Cambria Math" w:hAnsi="Cambria Math"/>
                    </w:rPr>
                    <m:t>B</m:t>
                  </m:r>
                </m:e>
              </m:d>
            </m:den>
          </m:f>
        </m:oMath>
      </m:oMathPara>
    </w:p>
    <w:p w14:paraId="3C8C3D67" w14:textId="29A6EEED" w:rsidR="00176599" w:rsidRPr="00752E9D" w:rsidRDefault="00176599" w:rsidP="00176599">
      <w:pPr>
        <w:ind w:firstLine="0"/>
        <w:jc w:val="right"/>
        <w:rPr>
          <w:iCs/>
        </w:rPr>
      </w:pPr>
      <w:r>
        <w:t>(Larose &amp; Larose, 2019)</w:t>
      </w:r>
    </w:p>
    <w:p w14:paraId="16486910" w14:textId="42281060" w:rsidR="00176599" w:rsidRDefault="00752E9D" w:rsidP="00752E9D">
      <w:pPr>
        <w:ind w:firstLine="0"/>
        <w:rPr>
          <w:iCs/>
        </w:rPr>
      </w:pPr>
      <w:r>
        <w:rPr>
          <w:iCs/>
        </w:rPr>
        <w:t>The first rule has a lift value of 2.395 and, in context, means that “</w:t>
      </w:r>
      <w:r>
        <w:rPr>
          <w:iCs/>
        </w:rPr>
        <w:t xml:space="preserve">Customers buy Dust-off Compressed Gas 2 pack and SanDisk Ultra 64GB card </w:t>
      </w:r>
      <w:r>
        <w:rPr>
          <w:iCs/>
        </w:rPr>
        <w:t>together are 2.395 times as likely to also by</w:t>
      </w:r>
      <w:r>
        <w:rPr>
          <w:iCs/>
        </w:rPr>
        <w:t xml:space="preserve"> VIVO Dual LCD Monitor Desk </w:t>
      </w:r>
      <w:r>
        <w:rPr>
          <w:iCs/>
        </w:rPr>
        <w:t>as other customers</w:t>
      </w:r>
      <w:r>
        <w:rPr>
          <w:iCs/>
        </w:rPr>
        <w:t>.”</w:t>
      </w:r>
    </w:p>
    <w:p w14:paraId="160903E0" w14:textId="1BCCB06C" w:rsidR="00176599" w:rsidRPr="00176599" w:rsidRDefault="00176599" w:rsidP="00752E9D">
      <w:pPr>
        <w:ind w:firstLine="0"/>
        <w:rPr>
          <w:iCs/>
        </w:rPr>
      </w:pPr>
      <w:r>
        <w:rPr>
          <w:iCs/>
        </w:rPr>
        <w:tab/>
        <w:t xml:space="preserve">While all metrics are important, generally </w:t>
      </w:r>
      <w:r>
        <w:rPr>
          <w:b/>
          <w:bCs/>
          <w:i/>
        </w:rPr>
        <w:t>lift</w:t>
      </w:r>
      <w:r>
        <w:rPr>
          <w:iCs/>
        </w:rPr>
        <w:t xml:space="preserve"> is </w:t>
      </w:r>
      <w:r w:rsidR="00C13F7E">
        <w:rPr>
          <w:iCs/>
        </w:rPr>
        <w:t xml:space="preserve">the best place to start when analyzing the results. When lift is greater than 1, it implies that the antecedent increases the chances the consequent will occur. When it is less than 1, the antecedent implies the customers are less likely to purchase the consequent. When lift is near or exactly 1, there is no relationship between the antecedent and the consequent. </w:t>
      </w:r>
      <w:r w:rsidR="00C13F7E">
        <w:t>(</w:t>
      </w:r>
      <w:proofErr w:type="spellStart"/>
      <w:r w:rsidR="00C13F7E">
        <w:t>Smartbridge</w:t>
      </w:r>
      <w:proofErr w:type="spellEnd"/>
      <w:r w:rsidR="00C13F7E">
        <w:t>, 2022)</w:t>
      </w:r>
      <w:r w:rsidR="002D0B8A">
        <w:t xml:space="preserve"> When analyzed in context with support and confidence, we can gain a more detailed view of customer purchase behavior.</w:t>
      </w:r>
    </w:p>
    <w:p w14:paraId="2C5D6716" w14:textId="0533AFD9" w:rsidR="00BD1ABA" w:rsidRDefault="00BD1ABA" w:rsidP="00115E45">
      <w:pPr>
        <w:ind w:firstLine="0"/>
      </w:pPr>
    </w:p>
    <w:p w14:paraId="5EA9CB2E" w14:textId="1E13A320" w:rsidR="0073560E" w:rsidRDefault="0030765E" w:rsidP="0073560E">
      <w:pPr>
        <w:pStyle w:val="Heading2"/>
      </w:pPr>
      <w:r>
        <w:t>D</w:t>
      </w:r>
      <w:r w:rsidR="0073560E" w:rsidRPr="00157A7B">
        <w:t xml:space="preserve">2. </w:t>
      </w:r>
      <w:r w:rsidR="00BC0AD6">
        <w:t>Practical Significance of Findings</w:t>
      </w:r>
    </w:p>
    <w:p w14:paraId="79BDADFC" w14:textId="5D6037FE" w:rsidR="00312494" w:rsidRDefault="00CB280E" w:rsidP="002C77CE">
      <w:r>
        <w:lastRenderedPageBreak/>
        <w:t>The significance of the metrics for the first rule are outlined in the previous section. For the remaining Top Three Rules, the context is as follows:</w:t>
      </w:r>
    </w:p>
    <w:p w14:paraId="4F50F539" w14:textId="5D15CF39" w:rsidR="00CB280E" w:rsidRDefault="00CB280E" w:rsidP="0018441F">
      <w:pPr>
        <w:ind w:firstLine="0"/>
      </w:pPr>
      <w:r>
        <w:t>Customers who purchase an Apple Pencil and SanDisk Ultra 6 4GB Card</w:t>
      </w:r>
    </w:p>
    <w:p w14:paraId="088416E1" w14:textId="5A8A9195" w:rsidR="00CB280E" w:rsidRDefault="00CB280E" w:rsidP="0018441F">
      <w:pPr>
        <w:pStyle w:val="ListParagraph"/>
        <w:numPr>
          <w:ilvl w:val="0"/>
          <w:numId w:val="13"/>
        </w:numPr>
        <w:spacing w:line="480" w:lineRule="auto"/>
      </w:pPr>
      <w:r>
        <w:t>buy</w:t>
      </w:r>
      <w:r w:rsidR="0018441F">
        <w:t xml:space="preserve"> them together with</w:t>
      </w:r>
      <w:r>
        <w:t xml:space="preserve"> Dust-off Compressed Gas 2 pack</w:t>
      </w:r>
      <w:r w:rsidR="0018441F">
        <w:t xml:space="preserve"> </w:t>
      </w:r>
      <w:r w:rsidR="00985E93">
        <w:t xml:space="preserve">at </w:t>
      </w:r>
      <w:r>
        <w:t>1</w:t>
      </w:r>
      <w:r w:rsidR="0018441F">
        <w:t>.01</w:t>
      </w:r>
      <w:r>
        <w:t xml:space="preserve">% of </w:t>
      </w:r>
      <w:r w:rsidR="00985E93">
        <w:t>all purchases</w:t>
      </w:r>
      <w:r>
        <w:t>,</w:t>
      </w:r>
    </w:p>
    <w:p w14:paraId="1F8D9A17" w14:textId="45735159" w:rsidR="0018441F" w:rsidRDefault="0018441F" w:rsidP="0018441F">
      <w:pPr>
        <w:pStyle w:val="ListParagraph"/>
        <w:numPr>
          <w:ilvl w:val="0"/>
          <w:numId w:val="13"/>
        </w:numPr>
        <w:spacing w:line="480" w:lineRule="auto"/>
      </w:pPr>
      <w:r>
        <w:t>a</w:t>
      </w:r>
      <w:r>
        <w:t xml:space="preserve">lso buy Dust-off Compressed Gas 2 pack </w:t>
      </w:r>
      <w:r>
        <w:t>50.67</w:t>
      </w:r>
      <w:r>
        <w:t>% of the time,</w:t>
      </w:r>
    </w:p>
    <w:p w14:paraId="03BA9282" w14:textId="578F5E71" w:rsidR="0018441F" w:rsidRPr="0018441F" w:rsidRDefault="0018441F" w:rsidP="0018441F">
      <w:pPr>
        <w:pStyle w:val="ListParagraph"/>
        <w:numPr>
          <w:ilvl w:val="0"/>
          <w:numId w:val="13"/>
        </w:numPr>
        <w:spacing w:line="480" w:lineRule="auto"/>
      </w:pPr>
      <w:r>
        <w:t xml:space="preserve">are 2.126 times as likely to buy </w:t>
      </w:r>
      <w:r>
        <w:t>Dust-off Compressed Gas 2 pack</w:t>
      </w:r>
      <w:r>
        <w:t>.</w:t>
      </w:r>
    </w:p>
    <w:p w14:paraId="00DEFC8E" w14:textId="1698E033" w:rsidR="0018441F" w:rsidRDefault="0018441F" w:rsidP="0018441F">
      <w:pPr>
        <w:ind w:firstLine="0"/>
      </w:pPr>
      <w:r>
        <w:t>Customers who purchase a SanDisk Ultra 6 4GB Card</w:t>
      </w:r>
      <w:r>
        <w:t xml:space="preserve"> and Screen Mom Screen Cleaner kit</w:t>
      </w:r>
    </w:p>
    <w:p w14:paraId="058B724F" w14:textId="77DAA68E" w:rsidR="0018441F" w:rsidRDefault="0018441F" w:rsidP="0018441F">
      <w:pPr>
        <w:pStyle w:val="ListParagraph"/>
        <w:numPr>
          <w:ilvl w:val="0"/>
          <w:numId w:val="13"/>
        </w:numPr>
        <w:spacing w:line="480" w:lineRule="auto"/>
      </w:pPr>
      <w:r>
        <w:t xml:space="preserve">buy them together with Dust-off Compressed Gas 2 pack </w:t>
      </w:r>
      <w:r w:rsidR="00985E93">
        <w:t xml:space="preserve">at </w:t>
      </w:r>
      <w:r>
        <w:t>1.</w:t>
      </w:r>
      <w:r w:rsidR="00985E93">
        <w:t>1</w:t>
      </w:r>
      <w:r>
        <w:t xml:space="preserve">1% of </w:t>
      </w:r>
      <w:r w:rsidR="00985E93">
        <w:t>all purchases</w:t>
      </w:r>
      <w:r>
        <w:t>,</w:t>
      </w:r>
    </w:p>
    <w:p w14:paraId="51AD064F" w14:textId="15C008ED" w:rsidR="0018441F" w:rsidRDefault="0018441F" w:rsidP="0018441F">
      <w:pPr>
        <w:pStyle w:val="ListParagraph"/>
        <w:numPr>
          <w:ilvl w:val="0"/>
          <w:numId w:val="13"/>
        </w:numPr>
        <w:spacing w:line="480" w:lineRule="auto"/>
      </w:pPr>
      <w:r>
        <w:t>also buy Dust-off Compressed Gas 2 pack 50.</w:t>
      </w:r>
      <w:r w:rsidR="00985E93">
        <w:t>3</w:t>
      </w:r>
      <w:r>
        <w:t>% of the time,</w:t>
      </w:r>
    </w:p>
    <w:p w14:paraId="75D7E037" w14:textId="1BA6AFA0" w:rsidR="0018441F" w:rsidRDefault="0018441F" w:rsidP="0018441F">
      <w:pPr>
        <w:pStyle w:val="ListParagraph"/>
        <w:numPr>
          <w:ilvl w:val="0"/>
          <w:numId w:val="13"/>
        </w:numPr>
        <w:spacing w:line="480" w:lineRule="auto"/>
      </w:pPr>
      <w:r>
        <w:t>are 2.1</w:t>
      </w:r>
      <w:r w:rsidR="00985E93">
        <w:t>1</w:t>
      </w:r>
      <w:r>
        <w:t>2 times as likely to buy Dust-off Compressed Gas 2 pack.</w:t>
      </w:r>
    </w:p>
    <w:p w14:paraId="265A4147" w14:textId="77777777" w:rsidR="00F7150B" w:rsidRDefault="00F7150B" w:rsidP="00F7150B">
      <w:pPr>
        <w:ind w:firstLine="0"/>
      </w:pPr>
    </w:p>
    <w:p w14:paraId="5CAF84D2" w14:textId="3FB08F18" w:rsidR="00A133D6" w:rsidRPr="00157A7B" w:rsidRDefault="00A133D6" w:rsidP="00A133D6">
      <w:pPr>
        <w:pStyle w:val="Heading2"/>
      </w:pPr>
      <w:r>
        <w:t>D</w:t>
      </w:r>
      <w:r w:rsidR="0069055E">
        <w:t>3</w:t>
      </w:r>
      <w:r w:rsidRPr="00157A7B">
        <w:t xml:space="preserve">. </w:t>
      </w:r>
      <w:r w:rsidR="00BC0AD6">
        <w:t>Course of Action</w:t>
      </w:r>
    </w:p>
    <w:p w14:paraId="54875377" w14:textId="6F870533" w:rsidR="00A133D6" w:rsidRDefault="00985E93" w:rsidP="00A133D6">
      <w:r>
        <w:t>The Top Three Rules all contain the item “</w:t>
      </w:r>
      <w:r>
        <w:t>Dust-off Compressed Gas 2 pack</w:t>
      </w:r>
      <w:r>
        <w:t>”</w:t>
      </w:r>
      <w:r w:rsidR="00767CFF">
        <w:t xml:space="preserve"> with only the first using it as the antecedent part of the rule. All remaining 17 rules have </w:t>
      </w:r>
      <w:r w:rsidR="00767CFF">
        <w:t>Dust-off Compressed Gas 2 pack</w:t>
      </w:r>
      <w:r w:rsidR="00767CFF">
        <w:t xml:space="preserve"> as the consequent in the relationship.</w:t>
      </w:r>
      <w:r w:rsidR="00D15031">
        <w:t xml:space="preserve"> This overwhelming presence of the Dust-off Compressed Gas 2 pack implies it is a keystone product for the store – one that is vital to its success. </w:t>
      </w:r>
      <w:r w:rsidR="005F6CB2">
        <w:t xml:space="preserve">Some actions would be to ensure we always have a sock of these items as they are the most frequent item purchased by our customers, to consider offering bundles or discounts for purchases involving the product, and/or to ensure the product is in a high-visibility or high-traffic location in the store. </w:t>
      </w:r>
      <w:r w:rsidR="005F6CB2">
        <w:t>(</w:t>
      </w:r>
      <w:proofErr w:type="spellStart"/>
      <w:r w:rsidR="005F6CB2">
        <w:t>Smartbridge</w:t>
      </w:r>
      <w:proofErr w:type="spellEnd"/>
      <w:r w:rsidR="005F6CB2">
        <w:t>, 2022)</w:t>
      </w:r>
    </w:p>
    <w:p w14:paraId="59D67579" w14:textId="450918EC" w:rsidR="00CC5A6F" w:rsidRPr="00CC5A6F" w:rsidRDefault="00F7150B" w:rsidP="00CC5A6F">
      <w:r>
        <w:t>While the support values are low, this is likely due to the large quantity of individual items offered for sale</w:t>
      </w:r>
      <w:r>
        <w:t xml:space="preserve">. This means </w:t>
      </w:r>
      <w:r>
        <w:t xml:space="preserve">there are many possible antecedents while the consequent tends to be </w:t>
      </w:r>
      <w:r>
        <w:t xml:space="preserve">consistently </w:t>
      </w:r>
      <w:r w:rsidR="00CC5A6F">
        <w:t xml:space="preserve">the Dust-off Compressed Gas 2 pack. The summary of the transaction </w:t>
      </w:r>
      <w:r w:rsidR="00CC5A6F">
        <w:lastRenderedPageBreak/>
        <w:t>object (</w:t>
      </w:r>
      <w:r w:rsidR="00CC5A6F">
        <w:rPr>
          <w:i/>
          <w:iCs/>
        </w:rPr>
        <w:t>tr</w:t>
      </w:r>
      <w:r w:rsidR="00CC5A6F">
        <w:t xml:space="preserve">) (Figure </w:t>
      </w:r>
      <w:r w:rsidR="00E55E14">
        <w:t>5</w:t>
      </w:r>
      <w:r w:rsidR="00CC5A6F">
        <w:t xml:space="preserve">) and the Item Frequency Plot (Figure </w:t>
      </w:r>
      <w:r w:rsidR="00E55E14">
        <w:t>6</w:t>
      </w:r>
      <w:r w:rsidR="00CC5A6F">
        <w:t>) shows that this is the most sold item by over 400 items sold.</w:t>
      </w:r>
    </w:p>
    <w:p w14:paraId="388B2F7F" w14:textId="13658A36" w:rsidR="00CC5A6F" w:rsidRPr="0018441F" w:rsidRDefault="00CC5A6F" w:rsidP="00CC5A6F">
      <w:pPr>
        <w:ind w:firstLine="0"/>
        <w:jc w:val="center"/>
      </w:pPr>
      <w:r w:rsidRPr="00CC5A6F">
        <w:drawing>
          <wp:inline distT="0" distB="0" distL="0" distR="0" wp14:anchorId="65569876" wp14:editId="074D07FF">
            <wp:extent cx="5943600" cy="203136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2031365"/>
                    </a:xfrm>
                    <a:prstGeom prst="rect">
                      <a:avLst/>
                    </a:prstGeom>
                  </pic:spPr>
                </pic:pic>
              </a:graphicData>
            </a:graphic>
          </wp:inline>
        </w:drawing>
      </w:r>
    </w:p>
    <w:p w14:paraId="29DF6F83" w14:textId="74064A98" w:rsidR="00F7150B" w:rsidRPr="00CC5A6F" w:rsidRDefault="00CC5A6F" w:rsidP="00CC5A6F">
      <w:pPr>
        <w:jc w:val="center"/>
        <w:rPr>
          <w:b/>
          <w:bCs/>
          <w:i/>
          <w:iCs/>
        </w:rPr>
      </w:pPr>
      <w:r>
        <w:rPr>
          <w:b/>
          <w:bCs/>
          <w:i/>
          <w:iCs/>
        </w:rPr>
        <w:t xml:space="preserve">Figure </w:t>
      </w:r>
      <w:r w:rsidR="00E55E14">
        <w:rPr>
          <w:b/>
          <w:bCs/>
          <w:i/>
          <w:iCs/>
        </w:rPr>
        <w:t>5</w:t>
      </w:r>
      <w:r>
        <w:rPr>
          <w:b/>
          <w:bCs/>
          <w:i/>
          <w:iCs/>
        </w:rPr>
        <w:t>: Summary of Transaction Object</w:t>
      </w:r>
    </w:p>
    <w:p w14:paraId="5ABD98C2" w14:textId="215FD429" w:rsidR="00F7150B" w:rsidRDefault="00F7150B" w:rsidP="00F7150B">
      <w:pPr>
        <w:ind w:firstLine="0"/>
      </w:pPr>
      <w:r w:rsidRPr="00F7150B">
        <w:drawing>
          <wp:inline distT="0" distB="0" distL="0" distR="0" wp14:anchorId="169693A1" wp14:editId="6D873DFF">
            <wp:extent cx="5943600" cy="408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80510"/>
                    </a:xfrm>
                    <a:prstGeom prst="rect">
                      <a:avLst/>
                    </a:prstGeom>
                  </pic:spPr>
                </pic:pic>
              </a:graphicData>
            </a:graphic>
          </wp:inline>
        </w:drawing>
      </w:r>
    </w:p>
    <w:p w14:paraId="745AF851" w14:textId="366CD1B2" w:rsidR="00CC5A6F" w:rsidRPr="00CC5A6F" w:rsidRDefault="00CC5A6F" w:rsidP="00CC5A6F">
      <w:pPr>
        <w:ind w:firstLine="0"/>
        <w:jc w:val="center"/>
        <w:rPr>
          <w:b/>
          <w:bCs/>
          <w:i/>
          <w:iCs/>
        </w:rPr>
      </w:pPr>
      <w:r>
        <w:rPr>
          <w:b/>
          <w:bCs/>
          <w:i/>
          <w:iCs/>
        </w:rPr>
        <w:t xml:space="preserve">Figure </w:t>
      </w:r>
      <w:r w:rsidR="00E55E14">
        <w:rPr>
          <w:b/>
          <w:bCs/>
          <w:i/>
          <w:iCs/>
        </w:rPr>
        <w:t>6</w:t>
      </w:r>
      <w:r>
        <w:rPr>
          <w:b/>
          <w:bCs/>
          <w:i/>
          <w:iCs/>
        </w:rPr>
        <w:t xml:space="preserve">: </w:t>
      </w:r>
      <w:r w:rsidR="00E55E14">
        <w:rPr>
          <w:b/>
          <w:bCs/>
          <w:i/>
          <w:iCs/>
        </w:rPr>
        <w:t xml:space="preserve">Absolute </w:t>
      </w:r>
      <w:r>
        <w:rPr>
          <w:b/>
          <w:bCs/>
          <w:i/>
          <w:iCs/>
        </w:rPr>
        <w:t>Item Frequency Plot</w:t>
      </w:r>
    </w:p>
    <w:p w14:paraId="0FAE961B" w14:textId="77777777" w:rsidR="003F2690" w:rsidRPr="00515DE3" w:rsidRDefault="003F2690" w:rsidP="003F2690">
      <w:pPr>
        <w:ind w:firstLine="0"/>
        <w:rPr>
          <w:b/>
          <w:bCs/>
          <w:i/>
          <w:iCs/>
        </w:rPr>
      </w:pPr>
    </w:p>
    <w:p w14:paraId="7800A9D0" w14:textId="22FBBB7C" w:rsidR="0030765E" w:rsidRPr="00157A7B" w:rsidRDefault="0030765E" w:rsidP="0030765E">
      <w:pPr>
        <w:pStyle w:val="Heading1"/>
        <w:ind w:firstLine="0"/>
      </w:pPr>
      <w:r w:rsidRPr="00157A7B">
        <w:lastRenderedPageBreak/>
        <w:t xml:space="preserve">Part </w:t>
      </w:r>
      <w:r>
        <w:t>V</w:t>
      </w:r>
      <w:r w:rsidRPr="00157A7B">
        <w:t xml:space="preserve">: </w:t>
      </w:r>
      <w:r w:rsidR="0069055E">
        <w:t>Attachments</w:t>
      </w:r>
    </w:p>
    <w:p w14:paraId="4C7F98EE" w14:textId="66823754" w:rsidR="0030765E" w:rsidRPr="00157A7B" w:rsidRDefault="0030765E" w:rsidP="0030765E">
      <w:pPr>
        <w:pStyle w:val="Heading2"/>
        <w:rPr>
          <w:bCs/>
        </w:rPr>
      </w:pPr>
      <w:r>
        <w:t>E</w:t>
      </w:r>
      <w:r w:rsidRPr="00157A7B">
        <w:t xml:space="preserve">. </w:t>
      </w:r>
      <w:proofErr w:type="spellStart"/>
      <w:r w:rsidR="007D2A37">
        <w:t>Panapto</w:t>
      </w:r>
      <w:proofErr w:type="spellEnd"/>
      <w:r w:rsidR="007D2A37">
        <w:t xml:space="preserve"> Recording</w:t>
      </w:r>
    </w:p>
    <w:p w14:paraId="66C8C7F9" w14:textId="3C7DEF1E" w:rsidR="001C44B3" w:rsidRDefault="007D2A37" w:rsidP="0069055E">
      <w:r>
        <w:t xml:space="preserve">Please see provided video link to </w:t>
      </w:r>
      <w:proofErr w:type="spellStart"/>
      <w:r>
        <w:t>Panapto</w:t>
      </w:r>
      <w:proofErr w:type="spellEnd"/>
      <w:r>
        <w:t xml:space="preserve"> presentation.</w:t>
      </w:r>
    </w:p>
    <w:p w14:paraId="464B26CB" w14:textId="77777777" w:rsidR="007D2A37" w:rsidRDefault="007D2A37" w:rsidP="0069055E"/>
    <w:p w14:paraId="5E3ADBC1" w14:textId="415ECBB1" w:rsidR="007D2A37" w:rsidRPr="00157A7B" w:rsidRDefault="007D2A37" w:rsidP="007D2A37">
      <w:pPr>
        <w:pStyle w:val="Heading2"/>
        <w:rPr>
          <w:bCs/>
        </w:rPr>
      </w:pPr>
      <w:r>
        <w:t>E</w:t>
      </w:r>
      <w:r w:rsidRPr="00157A7B">
        <w:t xml:space="preserve">. </w:t>
      </w:r>
      <w:r>
        <w:t>Web Sources</w:t>
      </w:r>
    </w:p>
    <w:p w14:paraId="664E2052" w14:textId="0D2EB5F2" w:rsidR="007D2A37" w:rsidRPr="0036126F" w:rsidRDefault="007D2A37" w:rsidP="0069055E">
      <w:r>
        <w:t xml:space="preserve">No third-party code was used in this script. </w:t>
      </w:r>
    </w:p>
    <w:p w14:paraId="77FE1978" w14:textId="77777777" w:rsidR="008D7691" w:rsidRDefault="008D7691" w:rsidP="008D7691"/>
    <w:p w14:paraId="6F526C46" w14:textId="2B861EFC" w:rsidR="0073560E" w:rsidRPr="00157A7B" w:rsidRDefault="0069055E" w:rsidP="0073560E">
      <w:pPr>
        <w:pStyle w:val="Heading2"/>
        <w:rPr>
          <w:bCs/>
        </w:rPr>
      </w:pPr>
      <w:r>
        <w:t>F</w:t>
      </w:r>
      <w:r w:rsidR="0073560E" w:rsidRPr="00157A7B">
        <w:t xml:space="preserve">. </w:t>
      </w:r>
      <w:r w:rsidR="00950209">
        <w:t>Sources</w:t>
      </w:r>
    </w:p>
    <w:p w14:paraId="00000021" w14:textId="2B24178B" w:rsidR="001B0742" w:rsidRPr="00157A7B" w:rsidRDefault="4F7EDDD8" w:rsidP="4F7EDDD8">
      <w:pPr>
        <w:pStyle w:val="Title"/>
        <w:rPr>
          <w:b/>
          <w:bCs/>
        </w:rPr>
      </w:pPr>
      <w:r w:rsidRPr="00157A7B">
        <w:rPr>
          <w:b/>
          <w:bCs/>
        </w:rPr>
        <w:t>References</w:t>
      </w:r>
    </w:p>
    <w:p w14:paraId="6AB98685" w14:textId="5A79FFC5" w:rsidR="002C77CE" w:rsidRDefault="002C77CE" w:rsidP="00DB1FAE">
      <w:pPr>
        <w:pStyle w:val="NormalWeb"/>
        <w:spacing w:line="480" w:lineRule="auto"/>
        <w:ind w:left="567" w:hanging="567"/>
      </w:pPr>
      <w:proofErr w:type="spellStart"/>
      <w:r>
        <w:t>Jabeen</w:t>
      </w:r>
      <w:proofErr w:type="spellEnd"/>
      <w:r>
        <w:t xml:space="preserve">, H. (2018, August 21). </w:t>
      </w:r>
      <w:r>
        <w:rPr>
          <w:i/>
          <w:iCs/>
        </w:rPr>
        <w:t xml:space="preserve">R market basket analysis using </w:t>
      </w:r>
      <w:proofErr w:type="spellStart"/>
      <w:r>
        <w:rPr>
          <w:i/>
          <w:iCs/>
        </w:rPr>
        <w:t>apriori</w:t>
      </w:r>
      <w:proofErr w:type="spellEnd"/>
      <w:r>
        <w:rPr>
          <w:i/>
          <w:iCs/>
        </w:rPr>
        <w:t xml:space="preserve"> examples</w:t>
      </w:r>
      <w:r>
        <w:t xml:space="preserve">. </w:t>
      </w:r>
      <w:proofErr w:type="spellStart"/>
      <w:r>
        <w:t>DataCamp</w:t>
      </w:r>
      <w:proofErr w:type="spellEnd"/>
      <w:r>
        <w:t xml:space="preserve">. Retrieved September 25, 2022, from https://www.datacamp.com/tutorial/market-basket-analysis-r </w:t>
      </w:r>
    </w:p>
    <w:p w14:paraId="3AA974E7" w14:textId="4CE81A3F" w:rsidR="00767CFF" w:rsidRDefault="00767CFF" w:rsidP="00DB1FAE">
      <w:pPr>
        <w:pStyle w:val="NormalWeb"/>
        <w:spacing w:line="480" w:lineRule="auto"/>
        <w:ind w:left="567" w:hanging="567"/>
      </w:pPr>
      <w:r>
        <w:t xml:space="preserve">Larose, C. D., &amp; Larose, D. T. (2019). </w:t>
      </w:r>
      <w:r>
        <w:rPr>
          <w:i/>
          <w:iCs/>
        </w:rPr>
        <w:t>Data Science using python and R</w:t>
      </w:r>
      <w:r>
        <w:t xml:space="preserve">. Wiley. </w:t>
      </w:r>
    </w:p>
    <w:p w14:paraId="62EBD463" w14:textId="77777777" w:rsidR="00C13F7E" w:rsidRDefault="00C13F7E" w:rsidP="00DB1FAE">
      <w:pPr>
        <w:pStyle w:val="NormalWeb"/>
        <w:spacing w:line="480" w:lineRule="auto"/>
        <w:ind w:left="567" w:hanging="567"/>
      </w:pPr>
      <w:proofErr w:type="spellStart"/>
      <w:r>
        <w:t>Smartbridge</w:t>
      </w:r>
      <w:proofErr w:type="spellEnd"/>
      <w:r>
        <w:t xml:space="preserve">. (2022, July 5). </w:t>
      </w:r>
      <w:r>
        <w:rPr>
          <w:i/>
          <w:iCs/>
        </w:rPr>
        <w:t>Market basket analysis 101: Anticipating customer behavior</w:t>
      </w:r>
      <w:r>
        <w:t xml:space="preserve">. </w:t>
      </w:r>
      <w:proofErr w:type="spellStart"/>
      <w:r>
        <w:t>Smartbridge</w:t>
      </w:r>
      <w:proofErr w:type="spellEnd"/>
      <w:r>
        <w:t xml:space="preserve">. Retrieved September 27, 2022, from https://smartbridge.com/market-basket-analysis-101/ </w:t>
      </w:r>
    </w:p>
    <w:p w14:paraId="7F43B6BA" w14:textId="77777777" w:rsidR="00C13F7E" w:rsidRDefault="00C13F7E" w:rsidP="00767CFF">
      <w:pPr>
        <w:pStyle w:val="NormalWeb"/>
        <w:ind w:left="567" w:hanging="567"/>
      </w:pPr>
    </w:p>
    <w:p w14:paraId="155619F0" w14:textId="77777777" w:rsidR="00767CFF" w:rsidRDefault="00767CFF" w:rsidP="002C77CE">
      <w:pPr>
        <w:pStyle w:val="NormalWeb"/>
        <w:ind w:left="567" w:hanging="567"/>
      </w:pPr>
    </w:p>
    <w:p w14:paraId="45D2B5B3" w14:textId="77777777" w:rsidR="00312494" w:rsidRDefault="00312494" w:rsidP="008B329A">
      <w:pPr>
        <w:pStyle w:val="NormalWeb"/>
        <w:ind w:left="567" w:hanging="567"/>
      </w:pPr>
    </w:p>
    <w:p w14:paraId="2C6EEFFF" w14:textId="77777777" w:rsidR="0037120A" w:rsidRDefault="0037120A" w:rsidP="00B023F5">
      <w:pPr>
        <w:pStyle w:val="NormalWeb"/>
        <w:spacing w:line="480" w:lineRule="auto"/>
        <w:ind w:left="567" w:hanging="567"/>
      </w:pPr>
    </w:p>
    <w:p w14:paraId="5C339A7E" w14:textId="77777777" w:rsidR="00B023F5" w:rsidRDefault="00B023F5" w:rsidP="00B023F5">
      <w:pPr>
        <w:pStyle w:val="NormalWeb"/>
        <w:spacing w:line="480" w:lineRule="auto"/>
      </w:pPr>
    </w:p>
    <w:p w14:paraId="72E42092" w14:textId="77777777" w:rsidR="000D21D8" w:rsidRPr="00B242C0" w:rsidRDefault="000D21D8" w:rsidP="00B023F5"/>
    <w:p w14:paraId="0078E5C0" w14:textId="77777777" w:rsidR="00B242C0" w:rsidRDefault="00B242C0" w:rsidP="00B023F5"/>
    <w:sectPr w:rsidR="00B242C0">
      <w:headerReference w:type="even" r:id="rId17"/>
      <w:headerReference w:type="default" r:id="rId18"/>
      <w:footerReference w:type="default" r:id="rId19"/>
      <w:head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64BBF" w14:textId="77777777" w:rsidR="00DF7A34" w:rsidRDefault="00DF7A34">
      <w:pPr>
        <w:spacing w:line="240" w:lineRule="auto"/>
      </w:pPr>
      <w:r>
        <w:separator/>
      </w:r>
    </w:p>
  </w:endnote>
  <w:endnote w:type="continuationSeparator" w:id="0">
    <w:p w14:paraId="6E641666" w14:textId="77777777" w:rsidR="00DF7A34" w:rsidRDefault="00DF7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4C26E" w14:textId="77777777" w:rsidR="00DF7A34" w:rsidRDefault="00DF7A34">
      <w:pPr>
        <w:spacing w:line="240" w:lineRule="auto"/>
      </w:pPr>
      <w:r>
        <w:separator/>
      </w:r>
    </w:p>
  </w:footnote>
  <w:footnote w:type="continuationSeparator" w:id="0">
    <w:p w14:paraId="00FC2D1D" w14:textId="77777777" w:rsidR="00DF7A34" w:rsidRDefault="00DF7A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55DCB"/>
    <w:multiLevelType w:val="hybridMultilevel"/>
    <w:tmpl w:val="1C241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6F551C"/>
    <w:multiLevelType w:val="hybridMultilevel"/>
    <w:tmpl w:val="F4C4C750"/>
    <w:lvl w:ilvl="0" w:tplc="E684FC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7555D0"/>
    <w:multiLevelType w:val="hybridMultilevel"/>
    <w:tmpl w:val="AA307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567552"/>
    <w:multiLevelType w:val="hybridMultilevel"/>
    <w:tmpl w:val="25F0E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2541721">
    <w:abstractNumId w:val="4"/>
  </w:num>
  <w:num w:numId="2" w16cid:durableId="2005236277">
    <w:abstractNumId w:val="11"/>
  </w:num>
  <w:num w:numId="3" w16cid:durableId="1620213134">
    <w:abstractNumId w:val="5"/>
  </w:num>
  <w:num w:numId="4" w16cid:durableId="1499346153">
    <w:abstractNumId w:val="10"/>
  </w:num>
  <w:num w:numId="5" w16cid:durableId="1510946755">
    <w:abstractNumId w:val="0"/>
  </w:num>
  <w:num w:numId="6" w16cid:durableId="1191990807">
    <w:abstractNumId w:val="8"/>
  </w:num>
  <w:num w:numId="7" w16cid:durableId="1454252789">
    <w:abstractNumId w:val="6"/>
  </w:num>
  <w:num w:numId="8" w16cid:durableId="2000228881">
    <w:abstractNumId w:val="3"/>
  </w:num>
  <w:num w:numId="9" w16cid:durableId="1454977786">
    <w:abstractNumId w:val="12"/>
  </w:num>
  <w:num w:numId="10" w16cid:durableId="1192648643">
    <w:abstractNumId w:val="1"/>
  </w:num>
  <w:num w:numId="11" w16cid:durableId="1049305328">
    <w:abstractNumId w:val="9"/>
  </w:num>
  <w:num w:numId="12" w16cid:durableId="597563104">
    <w:abstractNumId w:val="7"/>
  </w:num>
  <w:num w:numId="13" w16cid:durableId="408120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04C04"/>
    <w:rsid w:val="00007FB9"/>
    <w:rsid w:val="000147B9"/>
    <w:rsid w:val="000215C7"/>
    <w:rsid w:val="00023F5B"/>
    <w:rsid w:val="000241D4"/>
    <w:rsid w:val="00024BD8"/>
    <w:rsid w:val="00027798"/>
    <w:rsid w:val="00031ABD"/>
    <w:rsid w:val="00032151"/>
    <w:rsid w:val="000361AB"/>
    <w:rsid w:val="000414EB"/>
    <w:rsid w:val="00045D5B"/>
    <w:rsid w:val="00046443"/>
    <w:rsid w:val="00055493"/>
    <w:rsid w:val="0005604B"/>
    <w:rsid w:val="00056E80"/>
    <w:rsid w:val="000622DE"/>
    <w:rsid w:val="00063A9A"/>
    <w:rsid w:val="0006425A"/>
    <w:rsid w:val="000651DE"/>
    <w:rsid w:val="00070A06"/>
    <w:rsid w:val="00077BF4"/>
    <w:rsid w:val="00087C31"/>
    <w:rsid w:val="000941F6"/>
    <w:rsid w:val="00097A86"/>
    <w:rsid w:val="000A0A9B"/>
    <w:rsid w:val="000A3A93"/>
    <w:rsid w:val="000B611A"/>
    <w:rsid w:val="000B6892"/>
    <w:rsid w:val="000B74BA"/>
    <w:rsid w:val="000C096D"/>
    <w:rsid w:val="000C5C7C"/>
    <w:rsid w:val="000C6D6D"/>
    <w:rsid w:val="000D1270"/>
    <w:rsid w:val="000D21D8"/>
    <w:rsid w:val="000D23D0"/>
    <w:rsid w:val="000D3677"/>
    <w:rsid w:val="000D49B4"/>
    <w:rsid w:val="000D50D0"/>
    <w:rsid w:val="000D5953"/>
    <w:rsid w:val="000E0161"/>
    <w:rsid w:val="000E18A3"/>
    <w:rsid w:val="000E2CEE"/>
    <w:rsid w:val="000F1E35"/>
    <w:rsid w:val="000F2D61"/>
    <w:rsid w:val="000F4DEC"/>
    <w:rsid w:val="000F5EEE"/>
    <w:rsid w:val="0010004E"/>
    <w:rsid w:val="00101780"/>
    <w:rsid w:val="00101BB5"/>
    <w:rsid w:val="0011003C"/>
    <w:rsid w:val="00112BC0"/>
    <w:rsid w:val="00113FE8"/>
    <w:rsid w:val="00115E45"/>
    <w:rsid w:val="00116C84"/>
    <w:rsid w:val="00124F4F"/>
    <w:rsid w:val="0013164A"/>
    <w:rsid w:val="00132398"/>
    <w:rsid w:val="001369BC"/>
    <w:rsid w:val="001449D5"/>
    <w:rsid w:val="0015135C"/>
    <w:rsid w:val="00151459"/>
    <w:rsid w:val="00156958"/>
    <w:rsid w:val="00156F06"/>
    <w:rsid w:val="00157A7B"/>
    <w:rsid w:val="00162442"/>
    <w:rsid w:val="00162786"/>
    <w:rsid w:val="00164109"/>
    <w:rsid w:val="001757F8"/>
    <w:rsid w:val="00176599"/>
    <w:rsid w:val="001768CF"/>
    <w:rsid w:val="00181239"/>
    <w:rsid w:val="00181B5D"/>
    <w:rsid w:val="0018441F"/>
    <w:rsid w:val="00185C14"/>
    <w:rsid w:val="0018693F"/>
    <w:rsid w:val="00187602"/>
    <w:rsid w:val="0018764F"/>
    <w:rsid w:val="00191BBF"/>
    <w:rsid w:val="00195C78"/>
    <w:rsid w:val="00197B77"/>
    <w:rsid w:val="001A4794"/>
    <w:rsid w:val="001A5F2A"/>
    <w:rsid w:val="001A6E14"/>
    <w:rsid w:val="001A7A06"/>
    <w:rsid w:val="001B0742"/>
    <w:rsid w:val="001B0978"/>
    <w:rsid w:val="001C40DF"/>
    <w:rsid w:val="001C44B3"/>
    <w:rsid w:val="001C47D2"/>
    <w:rsid w:val="001D02A7"/>
    <w:rsid w:val="001D14AE"/>
    <w:rsid w:val="001D59E0"/>
    <w:rsid w:val="001D7740"/>
    <w:rsid w:val="001E1B97"/>
    <w:rsid w:val="001F0004"/>
    <w:rsid w:val="001F07C3"/>
    <w:rsid w:val="001F0BE5"/>
    <w:rsid w:val="001F2F4D"/>
    <w:rsid w:val="001F3EB2"/>
    <w:rsid w:val="001F6241"/>
    <w:rsid w:val="00200157"/>
    <w:rsid w:val="00201B1E"/>
    <w:rsid w:val="0020429A"/>
    <w:rsid w:val="00206503"/>
    <w:rsid w:val="00217F27"/>
    <w:rsid w:val="00222808"/>
    <w:rsid w:val="00222A2D"/>
    <w:rsid w:val="00225B41"/>
    <w:rsid w:val="00225CBD"/>
    <w:rsid w:val="00226DCA"/>
    <w:rsid w:val="00227809"/>
    <w:rsid w:val="002325BD"/>
    <w:rsid w:val="00236A13"/>
    <w:rsid w:val="0024189C"/>
    <w:rsid w:val="0024366A"/>
    <w:rsid w:val="00244573"/>
    <w:rsid w:val="0024547C"/>
    <w:rsid w:val="00250A95"/>
    <w:rsid w:val="002545BD"/>
    <w:rsid w:val="002571AB"/>
    <w:rsid w:val="00261695"/>
    <w:rsid w:val="00261892"/>
    <w:rsid w:val="00261AA0"/>
    <w:rsid w:val="002632D2"/>
    <w:rsid w:val="00264A03"/>
    <w:rsid w:val="00266547"/>
    <w:rsid w:val="0027344E"/>
    <w:rsid w:val="0027583E"/>
    <w:rsid w:val="00277636"/>
    <w:rsid w:val="00280476"/>
    <w:rsid w:val="00281299"/>
    <w:rsid w:val="0028307D"/>
    <w:rsid w:val="002865B5"/>
    <w:rsid w:val="00287447"/>
    <w:rsid w:val="002A2F34"/>
    <w:rsid w:val="002A3619"/>
    <w:rsid w:val="002A70D9"/>
    <w:rsid w:val="002B6C0D"/>
    <w:rsid w:val="002B73E4"/>
    <w:rsid w:val="002C0F8B"/>
    <w:rsid w:val="002C5C0A"/>
    <w:rsid w:val="002C77CE"/>
    <w:rsid w:val="002D0B8A"/>
    <w:rsid w:val="002D1571"/>
    <w:rsid w:val="002D3562"/>
    <w:rsid w:val="002D4604"/>
    <w:rsid w:val="002D5FC4"/>
    <w:rsid w:val="002D65FA"/>
    <w:rsid w:val="002D7E49"/>
    <w:rsid w:val="002E079C"/>
    <w:rsid w:val="002E1583"/>
    <w:rsid w:val="002E3271"/>
    <w:rsid w:val="002E6A2D"/>
    <w:rsid w:val="002E6E09"/>
    <w:rsid w:val="002F4359"/>
    <w:rsid w:val="002F4745"/>
    <w:rsid w:val="002F513D"/>
    <w:rsid w:val="002F72DC"/>
    <w:rsid w:val="002F73EF"/>
    <w:rsid w:val="00303B1C"/>
    <w:rsid w:val="0030765E"/>
    <w:rsid w:val="00310502"/>
    <w:rsid w:val="00311522"/>
    <w:rsid w:val="00311C0D"/>
    <w:rsid w:val="00312494"/>
    <w:rsid w:val="00314540"/>
    <w:rsid w:val="003148DF"/>
    <w:rsid w:val="00315623"/>
    <w:rsid w:val="00327FA0"/>
    <w:rsid w:val="0033037D"/>
    <w:rsid w:val="003325C7"/>
    <w:rsid w:val="003330E6"/>
    <w:rsid w:val="00344114"/>
    <w:rsid w:val="0034481D"/>
    <w:rsid w:val="0035002F"/>
    <w:rsid w:val="00353B2C"/>
    <w:rsid w:val="003564BA"/>
    <w:rsid w:val="0035682F"/>
    <w:rsid w:val="00357B96"/>
    <w:rsid w:val="0036126F"/>
    <w:rsid w:val="00363573"/>
    <w:rsid w:val="003649A3"/>
    <w:rsid w:val="00367C5B"/>
    <w:rsid w:val="00370EF8"/>
    <w:rsid w:val="00370F39"/>
    <w:rsid w:val="0037120A"/>
    <w:rsid w:val="00376468"/>
    <w:rsid w:val="00384C60"/>
    <w:rsid w:val="003867F2"/>
    <w:rsid w:val="0039030F"/>
    <w:rsid w:val="00393284"/>
    <w:rsid w:val="003A2773"/>
    <w:rsid w:val="003A27AB"/>
    <w:rsid w:val="003A4A32"/>
    <w:rsid w:val="003A4D55"/>
    <w:rsid w:val="003B0203"/>
    <w:rsid w:val="003B7FE9"/>
    <w:rsid w:val="003C3A9B"/>
    <w:rsid w:val="003D062D"/>
    <w:rsid w:val="003D35A7"/>
    <w:rsid w:val="003D5FF0"/>
    <w:rsid w:val="003E15F1"/>
    <w:rsid w:val="003E3026"/>
    <w:rsid w:val="003E6E92"/>
    <w:rsid w:val="003E73F3"/>
    <w:rsid w:val="003F2690"/>
    <w:rsid w:val="003F30B1"/>
    <w:rsid w:val="003F7344"/>
    <w:rsid w:val="00400D18"/>
    <w:rsid w:val="00404A7A"/>
    <w:rsid w:val="00413525"/>
    <w:rsid w:val="00414214"/>
    <w:rsid w:val="00416718"/>
    <w:rsid w:val="004205A2"/>
    <w:rsid w:val="00420BA3"/>
    <w:rsid w:val="00421353"/>
    <w:rsid w:val="00424A1F"/>
    <w:rsid w:val="00424F05"/>
    <w:rsid w:val="004250D7"/>
    <w:rsid w:val="0042523C"/>
    <w:rsid w:val="00427281"/>
    <w:rsid w:val="0042767D"/>
    <w:rsid w:val="00427C92"/>
    <w:rsid w:val="0043110F"/>
    <w:rsid w:val="00436C05"/>
    <w:rsid w:val="00437276"/>
    <w:rsid w:val="004411BE"/>
    <w:rsid w:val="004472FD"/>
    <w:rsid w:val="0044754B"/>
    <w:rsid w:val="0045157A"/>
    <w:rsid w:val="0045307E"/>
    <w:rsid w:val="004556C7"/>
    <w:rsid w:val="00457C32"/>
    <w:rsid w:val="00460A7F"/>
    <w:rsid w:val="00461F40"/>
    <w:rsid w:val="00462237"/>
    <w:rsid w:val="00462DD5"/>
    <w:rsid w:val="00462E55"/>
    <w:rsid w:val="00465BC2"/>
    <w:rsid w:val="004670F6"/>
    <w:rsid w:val="00480113"/>
    <w:rsid w:val="0048204B"/>
    <w:rsid w:val="004831E9"/>
    <w:rsid w:val="004863D7"/>
    <w:rsid w:val="0048674C"/>
    <w:rsid w:val="00487CDD"/>
    <w:rsid w:val="004A3C9B"/>
    <w:rsid w:val="004A5081"/>
    <w:rsid w:val="004A5E0A"/>
    <w:rsid w:val="004B0231"/>
    <w:rsid w:val="004B3231"/>
    <w:rsid w:val="004B37A9"/>
    <w:rsid w:val="004B3CD3"/>
    <w:rsid w:val="004B4FD9"/>
    <w:rsid w:val="004B741F"/>
    <w:rsid w:val="004C1982"/>
    <w:rsid w:val="004C2EFC"/>
    <w:rsid w:val="004C3477"/>
    <w:rsid w:val="004D3E14"/>
    <w:rsid w:val="004E14EA"/>
    <w:rsid w:val="004E4D5E"/>
    <w:rsid w:val="004E7187"/>
    <w:rsid w:val="004E776A"/>
    <w:rsid w:val="004F02E8"/>
    <w:rsid w:val="004F1F29"/>
    <w:rsid w:val="004F2AB7"/>
    <w:rsid w:val="004F320D"/>
    <w:rsid w:val="004F5AB1"/>
    <w:rsid w:val="004F727E"/>
    <w:rsid w:val="004F7651"/>
    <w:rsid w:val="004F7C99"/>
    <w:rsid w:val="005062FD"/>
    <w:rsid w:val="00514539"/>
    <w:rsid w:val="00515DE3"/>
    <w:rsid w:val="00520383"/>
    <w:rsid w:val="00521660"/>
    <w:rsid w:val="005243E3"/>
    <w:rsid w:val="005307D6"/>
    <w:rsid w:val="00532C2F"/>
    <w:rsid w:val="00533038"/>
    <w:rsid w:val="00533B5C"/>
    <w:rsid w:val="00537406"/>
    <w:rsid w:val="00541DD0"/>
    <w:rsid w:val="00545FB8"/>
    <w:rsid w:val="0054712B"/>
    <w:rsid w:val="00547F8B"/>
    <w:rsid w:val="0055119D"/>
    <w:rsid w:val="00552CBA"/>
    <w:rsid w:val="0055330A"/>
    <w:rsid w:val="005608B0"/>
    <w:rsid w:val="005618B2"/>
    <w:rsid w:val="005663AD"/>
    <w:rsid w:val="00571A89"/>
    <w:rsid w:val="0057731E"/>
    <w:rsid w:val="005815A1"/>
    <w:rsid w:val="00590FA1"/>
    <w:rsid w:val="005A1853"/>
    <w:rsid w:val="005A1BF2"/>
    <w:rsid w:val="005A229B"/>
    <w:rsid w:val="005A366E"/>
    <w:rsid w:val="005A5465"/>
    <w:rsid w:val="005B0A44"/>
    <w:rsid w:val="005B197F"/>
    <w:rsid w:val="005B2847"/>
    <w:rsid w:val="005B7FA8"/>
    <w:rsid w:val="005C47C4"/>
    <w:rsid w:val="005C4A76"/>
    <w:rsid w:val="005C634C"/>
    <w:rsid w:val="005C7786"/>
    <w:rsid w:val="005C7B48"/>
    <w:rsid w:val="005D0380"/>
    <w:rsid w:val="005D0ED4"/>
    <w:rsid w:val="005D4CAB"/>
    <w:rsid w:val="005D4CC1"/>
    <w:rsid w:val="005E1F4C"/>
    <w:rsid w:val="005E2EC0"/>
    <w:rsid w:val="005E3642"/>
    <w:rsid w:val="005E56B6"/>
    <w:rsid w:val="005E6303"/>
    <w:rsid w:val="005E6BFE"/>
    <w:rsid w:val="005F2190"/>
    <w:rsid w:val="005F2FA1"/>
    <w:rsid w:val="005F5C0B"/>
    <w:rsid w:val="005F5DBE"/>
    <w:rsid w:val="005F6CB2"/>
    <w:rsid w:val="00601184"/>
    <w:rsid w:val="0060382C"/>
    <w:rsid w:val="00604C73"/>
    <w:rsid w:val="00607E92"/>
    <w:rsid w:val="00611FE2"/>
    <w:rsid w:val="00614037"/>
    <w:rsid w:val="00615DC3"/>
    <w:rsid w:val="00617DED"/>
    <w:rsid w:val="0063046F"/>
    <w:rsid w:val="00632A55"/>
    <w:rsid w:val="00641559"/>
    <w:rsid w:val="0064763F"/>
    <w:rsid w:val="00653DE8"/>
    <w:rsid w:val="00656247"/>
    <w:rsid w:val="00663D3B"/>
    <w:rsid w:val="00663E4B"/>
    <w:rsid w:val="00672628"/>
    <w:rsid w:val="00676B8A"/>
    <w:rsid w:val="00682AD3"/>
    <w:rsid w:val="006836FE"/>
    <w:rsid w:val="0069055E"/>
    <w:rsid w:val="00693930"/>
    <w:rsid w:val="00696D57"/>
    <w:rsid w:val="006A0C32"/>
    <w:rsid w:val="006A19A1"/>
    <w:rsid w:val="006A4DCE"/>
    <w:rsid w:val="006A5138"/>
    <w:rsid w:val="006A7638"/>
    <w:rsid w:val="006B5C7D"/>
    <w:rsid w:val="006B79B1"/>
    <w:rsid w:val="006C5623"/>
    <w:rsid w:val="006C7883"/>
    <w:rsid w:val="006D0975"/>
    <w:rsid w:val="006D3580"/>
    <w:rsid w:val="006D4672"/>
    <w:rsid w:val="006D63EF"/>
    <w:rsid w:val="006E32EE"/>
    <w:rsid w:val="006E4E40"/>
    <w:rsid w:val="006F0C06"/>
    <w:rsid w:val="006F1837"/>
    <w:rsid w:val="006F4C9E"/>
    <w:rsid w:val="006F4D1D"/>
    <w:rsid w:val="006F59BF"/>
    <w:rsid w:val="006F7D9C"/>
    <w:rsid w:val="00700E5F"/>
    <w:rsid w:val="007012D1"/>
    <w:rsid w:val="00704A6A"/>
    <w:rsid w:val="007061CD"/>
    <w:rsid w:val="00710927"/>
    <w:rsid w:val="00711476"/>
    <w:rsid w:val="007138E9"/>
    <w:rsid w:val="007165B8"/>
    <w:rsid w:val="0072074F"/>
    <w:rsid w:val="0072103D"/>
    <w:rsid w:val="0072422E"/>
    <w:rsid w:val="00730C8D"/>
    <w:rsid w:val="0073121A"/>
    <w:rsid w:val="00733015"/>
    <w:rsid w:val="0073560E"/>
    <w:rsid w:val="00737C41"/>
    <w:rsid w:val="007438A8"/>
    <w:rsid w:val="00743B08"/>
    <w:rsid w:val="00752E9D"/>
    <w:rsid w:val="00761267"/>
    <w:rsid w:val="00765AF0"/>
    <w:rsid w:val="00767CFF"/>
    <w:rsid w:val="00771586"/>
    <w:rsid w:val="007721E3"/>
    <w:rsid w:val="00773D6A"/>
    <w:rsid w:val="0077462D"/>
    <w:rsid w:val="00785B45"/>
    <w:rsid w:val="00785B7E"/>
    <w:rsid w:val="007875FA"/>
    <w:rsid w:val="00790610"/>
    <w:rsid w:val="00793BEE"/>
    <w:rsid w:val="007973E3"/>
    <w:rsid w:val="00797698"/>
    <w:rsid w:val="007A1E23"/>
    <w:rsid w:val="007A240A"/>
    <w:rsid w:val="007A4ED5"/>
    <w:rsid w:val="007B3E50"/>
    <w:rsid w:val="007C1331"/>
    <w:rsid w:val="007C2BD6"/>
    <w:rsid w:val="007C3B06"/>
    <w:rsid w:val="007C3F59"/>
    <w:rsid w:val="007C44D0"/>
    <w:rsid w:val="007D2A37"/>
    <w:rsid w:val="007D552F"/>
    <w:rsid w:val="007F0CFC"/>
    <w:rsid w:val="007F7253"/>
    <w:rsid w:val="00803766"/>
    <w:rsid w:val="00805F97"/>
    <w:rsid w:val="00813CF2"/>
    <w:rsid w:val="00814D3B"/>
    <w:rsid w:val="0082029D"/>
    <w:rsid w:val="00820931"/>
    <w:rsid w:val="00820A16"/>
    <w:rsid w:val="00822461"/>
    <w:rsid w:val="00823929"/>
    <w:rsid w:val="00825DDB"/>
    <w:rsid w:val="00831F96"/>
    <w:rsid w:val="00834E96"/>
    <w:rsid w:val="0083756C"/>
    <w:rsid w:val="00837DE1"/>
    <w:rsid w:val="008440EC"/>
    <w:rsid w:val="0084550E"/>
    <w:rsid w:val="0084612F"/>
    <w:rsid w:val="00854E2B"/>
    <w:rsid w:val="00861433"/>
    <w:rsid w:val="00861447"/>
    <w:rsid w:val="008623E9"/>
    <w:rsid w:val="00862C5D"/>
    <w:rsid w:val="00865CAB"/>
    <w:rsid w:val="0086628D"/>
    <w:rsid w:val="00867D58"/>
    <w:rsid w:val="008735C4"/>
    <w:rsid w:val="00874D37"/>
    <w:rsid w:val="0087540E"/>
    <w:rsid w:val="008767F3"/>
    <w:rsid w:val="00880AE7"/>
    <w:rsid w:val="0088366C"/>
    <w:rsid w:val="00883A02"/>
    <w:rsid w:val="00883E15"/>
    <w:rsid w:val="00892CCA"/>
    <w:rsid w:val="00893C71"/>
    <w:rsid w:val="00894ADC"/>
    <w:rsid w:val="00896580"/>
    <w:rsid w:val="008A71B4"/>
    <w:rsid w:val="008B2D8B"/>
    <w:rsid w:val="008B2F53"/>
    <w:rsid w:val="008B329A"/>
    <w:rsid w:val="008B6D59"/>
    <w:rsid w:val="008C4AB9"/>
    <w:rsid w:val="008C7341"/>
    <w:rsid w:val="008D13DE"/>
    <w:rsid w:val="008D33CC"/>
    <w:rsid w:val="008D5B81"/>
    <w:rsid w:val="008D62B5"/>
    <w:rsid w:val="008D7691"/>
    <w:rsid w:val="008E06FA"/>
    <w:rsid w:val="008E1097"/>
    <w:rsid w:val="008E36CB"/>
    <w:rsid w:val="008F54CD"/>
    <w:rsid w:val="00905250"/>
    <w:rsid w:val="00916152"/>
    <w:rsid w:val="00923B8C"/>
    <w:rsid w:val="009253B9"/>
    <w:rsid w:val="00925BD8"/>
    <w:rsid w:val="00927CBA"/>
    <w:rsid w:val="00934394"/>
    <w:rsid w:val="00937453"/>
    <w:rsid w:val="009445D8"/>
    <w:rsid w:val="00950209"/>
    <w:rsid w:val="00956069"/>
    <w:rsid w:val="00957014"/>
    <w:rsid w:val="00965DFE"/>
    <w:rsid w:val="00975104"/>
    <w:rsid w:val="00981D9E"/>
    <w:rsid w:val="009836A3"/>
    <w:rsid w:val="00983954"/>
    <w:rsid w:val="00985E93"/>
    <w:rsid w:val="00992267"/>
    <w:rsid w:val="00993C0B"/>
    <w:rsid w:val="0099716E"/>
    <w:rsid w:val="009A34B3"/>
    <w:rsid w:val="009A3C90"/>
    <w:rsid w:val="009A3DC0"/>
    <w:rsid w:val="009B03BC"/>
    <w:rsid w:val="009B47A8"/>
    <w:rsid w:val="009B4FF6"/>
    <w:rsid w:val="009C024A"/>
    <w:rsid w:val="009C1E3A"/>
    <w:rsid w:val="009C3F87"/>
    <w:rsid w:val="009D1814"/>
    <w:rsid w:val="009D312E"/>
    <w:rsid w:val="009D3555"/>
    <w:rsid w:val="009D4076"/>
    <w:rsid w:val="009D53FB"/>
    <w:rsid w:val="009E0005"/>
    <w:rsid w:val="009E0505"/>
    <w:rsid w:val="009E2332"/>
    <w:rsid w:val="009F10B4"/>
    <w:rsid w:val="009F1E96"/>
    <w:rsid w:val="009F48AC"/>
    <w:rsid w:val="009F748E"/>
    <w:rsid w:val="00A012BA"/>
    <w:rsid w:val="00A0616D"/>
    <w:rsid w:val="00A06C4C"/>
    <w:rsid w:val="00A07144"/>
    <w:rsid w:val="00A131BD"/>
    <w:rsid w:val="00A133D6"/>
    <w:rsid w:val="00A15329"/>
    <w:rsid w:val="00A16FE9"/>
    <w:rsid w:val="00A45222"/>
    <w:rsid w:val="00A464DE"/>
    <w:rsid w:val="00A500D7"/>
    <w:rsid w:val="00A63C1C"/>
    <w:rsid w:val="00A678F9"/>
    <w:rsid w:val="00A727F4"/>
    <w:rsid w:val="00A732D4"/>
    <w:rsid w:val="00A74483"/>
    <w:rsid w:val="00A75EAC"/>
    <w:rsid w:val="00A82B0E"/>
    <w:rsid w:val="00A84DF0"/>
    <w:rsid w:val="00A86CA5"/>
    <w:rsid w:val="00A91547"/>
    <w:rsid w:val="00A94B63"/>
    <w:rsid w:val="00AA1CFA"/>
    <w:rsid w:val="00AA48FB"/>
    <w:rsid w:val="00AA512F"/>
    <w:rsid w:val="00AA6F2A"/>
    <w:rsid w:val="00AB0B81"/>
    <w:rsid w:val="00AB44A8"/>
    <w:rsid w:val="00AB4B66"/>
    <w:rsid w:val="00AC1215"/>
    <w:rsid w:val="00AC1BDE"/>
    <w:rsid w:val="00AC3F54"/>
    <w:rsid w:val="00AD00B0"/>
    <w:rsid w:val="00AD2780"/>
    <w:rsid w:val="00AD3BE5"/>
    <w:rsid w:val="00AD428A"/>
    <w:rsid w:val="00AD4DB8"/>
    <w:rsid w:val="00AE05F1"/>
    <w:rsid w:val="00AE11B8"/>
    <w:rsid w:val="00AE1A5D"/>
    <w:rsid w:val="00AE2D79"/>
    <w:rsid w:val="00AF162C"/>
    <w:rsid w:val="00AF23BA"/>
    <w:rsid w:val="00AF295B"/>
    <w:rsid w:val="00AF4332"/>
    <w:rsid w:val="00AF46D1"/>
    <w:rsid w:val="00AF678B"/>
    <w:rsid w:val="00AF7CA3"/>
    <w:rsid w:val="00B0057E"/>
    <w:rsid w:val="00B008F2"/>
    <w:rsid w:val="00B023F5"/>
    <w:rsid w:val="00B064DA"/>
    <w:rsid w:val="00B073C6"/>
    <w:rsid w:val="00B10DB4"/>
    <w:rsid w:val="00B151ED"/>
    <w:rsid w:val="00B167EA"/>
    <w:rsid w:val="00B1748A"/>
    <w:rsid w:val="00B2117F"/>
    <w:rsid w:val="00B21233"/>
    <w:rsid w:val="00B23B6D"/>
    <w:rsid w:val="00B242C0"/>
    <w:rsid w:val="00B27FDF"/>
    <w:rsid w:val="00B31712"/>
    <w:rsid w:val="00B36AEC"/>
    <w:rsid w:val="00B4283E"/>
    <w:rsid w:val="00B43BF0"/>
    <w:rsid w:val="00B50B26"/>
    <w:rsid w:val="00B54A68"/>
    <w:rsid w:val="00B6142A"/>
    <w:rsid w:val="00B627A2"/>
    <w:rsid w:val="00B63C37"/>
    <w:rsid w:val="00B72A8A"/>
    <w:rsid w:val="00B74370"/>
    <w:rsid w:val="00B83EAE"/>
    <w:rsid w:val="00B84DB0"/>
    <w:rsid w:val="00B872FD"/>
    <w:rsid w:val="00B9237A"/>
    <w:rsid w:val="00B97197"/>
    <w:rsid w:val="00B9763A"/>
    <w:rsid w:val="00BA6E62"/>
    <w:rsid w:val="00BB0EC8"/>
    <w:rsid w:val="00BB0F71"/>
    <w:rsid w:val="00BB215D"/>
    <w:rsid w:val="00BB6074"/>
    <w:rsid w:val="00BB78B1"/>
    <w:rsid w:val="00BC0AD6"/>
    <w:rsid w:val="00BC6704"/>
    <w:rsid w:val="00BD03F8"/>
    <w:rsid w:val="00BD05DF"/>
    <w:rsid w:val="00BD15B5"/>
    <w:rsid w:val="00BD1ABA"/>
    <w:rsid w:val="00BD7597"/>
    <w:rsid w:val="00BE0BB4"/>
    <w:rsid w:val="00BF6E9A"/>
    <w:rsid w:val="00C04BC2"/>
    <w:rsid w:val="00C06403"/>
    <w:rsid w:val="00C068D7"/>
    <w:rsid w:val="00C06DDE"/>
    <w:rsid w:val="00C129E4"/>
    <w:rsid w:val="00C13F7E"/>
    <w:rsid w:val="00C16C10"/>
    <w:rsid w:val="00C254AE"/>
    <w:rsid w:val="00C30F43"/>
    <w:rsid w:val="00C31DF8"/>
    <w:rsid w:val="00C34039"/>
    <w:rsid w:val="00C354EE"/>
    <w:rsid w:val="00C36118"/>
    <w:rsid w:val="00C36E06"/>
    <w:rsid w:val="00C40FC1"/>
    <w:rsid w:val="00C445DA"/>
    <w:rsid w:val="00C446CE"/>
    <w:rsid w:val="00C55185"/>
    <w:rsid w:val="00C558C8"/>
    <w:rsid w:val="00C62019"/>
    <w:rsid w:val="00C636D2"/>
    <w:rsid w:val="00C67DF2"/>
    <w:rsid w:val="00C72004"/>
    <w:rsid w:val="00C76730"/>
    <w:rsid w:val="00C8047A"/>
    <w:rsid w:val="00C80E93"/>
    <w:rsid w:val="00C8316D"/>
    <w:rsid w:val="00C84D19"/>
    <w:rsid w:val="00C90F41"/>
    <w:rsid w:val="00C91AE4"/>
    <w:rsid w:val="00C9262F"/>
    <w:rsid w:val="00C950E7"/>
    <w:rsid w:val="00C95828"/>
    <w:rsid w:val="00CA3614"/>
    <w:rsid w:val="00CA6110"/>
    <w:rsid w:val="00CA6A3B"/>
    <w:rsid w:val="00CB1B3F"/>
    <w:rsid w:val="00CB280E"/>
    <w:rsid w:val="00CB31C5"/>
    <w:rsid w:val="00CB3220"/>
    <w:rsid w:val="00CB5F09"/>
    <w:rsid w:val="00CC437D"/>
    <w:rsid w:val="00CC5A6F"/>
    <w:rsid w:val="00CC75C9"/>
    <w:rsid w:val="00CD1AB5"/>
    <w:rsid w:val="00CD5AA7"/>
    <w:rsid w:val="00CD77AF"/>
    <w:rsid w:val="00CE0E49"/>
    <w:rsid w:val="00CE66A8"/>
    <w:rsid w:val="00CE7BBE"/>
    <w:rsid w:val="00D0331C"/>
    <w:rsid w:val="00D03B50"/>
    <w:rsid w:val="00D05914"/>
    <w:rsid w:val="00D07AF9"/>
    <w:rsid w:val="00D15031"/>
    <w:rsid w:val="00D174DC"/>
    <w:rsid w:val="00D25B64"/>
    <w:rsid w:val="00D31E9B"/>
    <w:rsid w:val="00D33671"/>
    <w:rsid w:val="00D3381A"/>
    <w:rsid w:val="00D4715E"/>
    <w:rsid w:val="00D51FBB"/>
    <w:rsid w:val="00D62271"/>
    <w:rsid w:val="00D62726"/>
    <w:rsid w:val="00D63006"/>
    <w:rsid w:val="00D67DD3"/>
    <w:rsid w:val="00D70F1C"/>
    <w:rsid w:val="00D72E2B"/>
    <w:rsid w:val="00D74E25"/>
    <w:rsid w:val="00D773C1"/>
    <w:rsid w:val="00D915C1"/>
    <w:rsid w:val="00D92903"/>
    <w:rsid w:val="00D9458A"/>
    <w:rsid w:val="00D94D97"/>
    <w:rsid w:val="00D94F02"/>
    <w:rsid w:val="00D95A84"/>
    <w:rsid w:val="00D977F0"/>
    <w:rsid w:val="00DA239C"/>
    <w:rsid w:val="00DB1D72"/>
    <w:rsid w:val="00DB1FAE"/>
    <w:rsid w:val="00DB2E37"/>
    <w:rsid w:val="00DC1ADA"/>
    <w:rsid w:val="00DC1B6B"/>
    <w:rsid w:val="00DC6387"/>
    <w:rsid w:val="00DD0500"/>
    <w:rsid w:val="00DD0F6C"/>
    <w:rsid w:val="00DD27AA"/>
    <w:rsid w:val="00DD4C3B"/>
    <w:rsid w:val="00DD4CEA"/>
    <w:rsid w:val="00DE0833"/>
    <w:rsid w:val="00DE086D"/>
    <w:rsid w:val="00DE2DDB"/>
    <w:rsid w:val="00DF05C4"/>
    <w:rsid w:val="00DF4194"/>
    <w:rsid w:val="00DF50A3"/>
    <w:rsid w:val="00DF5694"/>
    <w:rsid w:val="00DF7A34"/>
    <w:rsid w:val="00E142A5"/>
    <w:rsid w:val="00E14FCE"/>
    <w:rsid w:val="00E17AF6"/>
    <w:rsid w:val="00E27115"/>
    <w:rsid w:val="00E27748"/>
    <w:rsid w:val="00E402B7"/>
    <w:rsid w:val="00E4367F"/>
    <w:rsid w:val="00E43BBE"/>
    <w:rsid w:val="00E462CA"/>
    <w:rsid w:val="00E503F7"/>
    <w:rsid w:val="00E55E14"/>
    <w:rsid w:val="00E57917"/>
    <w:rsid w:val="00E60EA8"/>
    <w:rsid w:val="00E719F2"/>
    <w:rsid w:val="00E71C47"/>
    <w:rsid w:val="00E71EB5"/>
    <w:rsid w:val="00E73530"/>
    <w:rsid w:val="00E74AD7"/>
    <w:rsid w:val="00E76D17"/>
    <w:rsid w:val="00E80233"/>
    <w:rsid w:val="00E807E7"/>
    <w:rsid w:val="00E81C39"/>
    <w:rsid w:val="00E8239B"/>
    <w:rsid w:val="00E87571"/>
    <w:rsid w:val="00E87739"/>
    <w:rsid w:val="00E90FF5"/>
    <w:rsid w:val="00E9240A"/>
    <w:rsid w:val="00E95019"/>
    <w:rsid w:val="00E95287"/>
    <w:rsid w:val="00E97FAE"/>
    <w:rsid w:val="00EA2A6B"/>
    <w:rsid w:val="00EB1A74"/>
    <w:rsid w:val="00EB1C34"/>
    <w:rsid w:val="00EB261B"/>
    <w:rsid w:val="00EB5200"/>
    <w:rsid w:val="00EB5EF1"/>
    <w:rsid w:val="00EB67B7"/>
    <w:rsid w:val="00EB73BC"/>
    <w:rsid w:val="00EC0438"/>
    <w:rsid w:val="00EC1457"/>
    <w:rsid w:val="00EC55A4"/>
    <w:rsid w:val="00ED3E5B"/>
    <w:rsid w:val="00ED4CE1"/>
    <w:rsid w:val="00ED606D"/>
    <w:rsid w:val="00ED6CFE"/>
    <w:rsid w:val="00EE21ED"/>
    <w:rsid w:val="00EE43FA"/>
    <w:rsid w:val="00EE6773"/>
    <w:rsid w:val="00EF01AE"/>
    <w:rsid w:val="00EF2125"/>
    <w:rsid w:val="00EF5903"/>
    <w:rsid w:val="00EF66B8"/>
    <w:rsid w:val="00F033F6"/>
    <w:rsid w:val="00F06B4F"/>
    <w:rsid w:val="00F06EB0"/>
    <w:rsid w:val="00F10DF9"/>
    <w:rsid w:val="00F13DE5"/>
    <w:rsid w:val="00F20647"/>
    <w:rsid w:val="00F21BC7"/>
    <w:rsid w:val="00F25BD7"/>
    <w:rsid w:val="00F32959"/>
    <w:rsid w:val="00F3570C"/>
    <w:rsid w:val="00F520E0"/>
    <w:rsid w:val="00F53ED1"/>
    <w:rsid w:val="00F54AB1"/>
    <w:rsid w:val="00F5647E"/>
    <w:rsid w:val="00F6067D"/>
    <w:rsid w:val="00F63D26"/>
    <w:rsid w:val="00F63D49"/>
    <w:rsid w:val="00F64B2F"/>
    <w:rsid w:val="00F66357"/>
    <w:rsid w:val="00F66595"/>
    <w:rsid w:val="00F7150B"/>
    <w:rsid w:val="00F749B1"/>
    <w:rsid w:val="00F75525"/>
    <w:rsid w:val="00F8018E"/>
    <w:rsid w:val="00F827CF"/>
    <w:rsid w:val="00F87578"/>
    <w:rsid w:val="00F92F28"/>
    <w:rsid w:val="00F93820"/>
    <w:rsid w:val="00F97A6B"/>
    <w:rsid w:val="00FA12E5"/>
    <w:rsid w:val="00FA14AD"/>
    <w:rsid w:val="00FA481C"/>
    <w:rsid w:val="00FA4B74"/>
    <w:rsid w:val="00FA6716"/>
    <w:rsid w:val="00FA7BF3"/>
    <w:rsid w:val="00FB0E8E"/>
    <w:rsid w:val="00FB2A00"/>
    <w:rsid w:val="00FB3393"/>
    <w:rsid w:val="00FB4995"/>
    <w:rsid w:val="00FB5206"/>
    <w:rsid w:val="00FC33BB"/>
    <w:rsid w:val="00FD0CC6"/>
    <w:rsid w:val="00FD18C2"/>
    <w:rsid w:val="00FD263E"/>
    <w:rsid w:val="00FD6394"/>
    <w:rsid w:val="00FE40CF"/>
    <w:rsid w:val="00FF038D"/>
    <w:rsid w:val="00FF0CA0"/>
    <w:rsid w:val="00FF258A"/>
    <w:rsid w:val="00FF2EBE"/>
    <w:rsid w:val="00FF3F15"/>
    <w:rsid w:val="00FF42FD"/>
    <w:rsid w:val="00FF6641"/>
    <w:rsid w:val="00FF6C5E"/>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 w:type="character" w:styleId="PlaceholderText">
    <w:name w:val="Placeholder Text"/>
    <w:basedOn w:val="DefaultParagraphFont"/>
    <w:uiPriority w:val="99"/>
    <w:semiHidden/>
    <w:rsid w:val="00C92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08">
      <w:bodyDiv w:val="1"/>
      <w:marLeft w:val="0"/>
      <w:marRight w:val="0"/>
      <w:marTop w:val="0"/>
      <w:marBottom w:val="0"/>
      <w:divBdr>
        <w:top w:val="none" w:sz="0" w:space="0" w:color="auto"/>
        <w:left w:val="none" w:sz="0" w:space="0" w:color="auto"/>
        <w:bottom w:val="none" w:sz="0" w:space="0" w:color="auto"/>
        <w:right w:val="none" w:sz="0" w:space="0" w:color="auto"/>
      </w:divBdr>
    </w:div>
    <w:div w:id="50201625">
      <w:bodyDiv w:val="1"/>
      <w:marLeft w:val="0"/>
      <w:marRight w:val="0"/>
      <w:marTop w:val="0"/>
      <w:marBottom w:val="0"/>
      <w:divBdr>
        <w:top w:val="none" w:sz="0" w:space="0" w:color="auto"/>
        <w:left w:val="none" w:sz="0" w:space="0" w:color="auto"/>
        <w:bottom w:val="none" w:sz="0" w:space="0" w:color="auto"/>
        <w:right w:val="none" w:sz="0" w:space="0" w:color="auto"/>
      </w:divBdr>
    </w:div>
    <w:div w:id="73745884">
      <w:bodyDiv w:val="1"/>
      <w:marLeft w:val="0"/>
      <w:marRight w:val="0"/>
      <w:marTop w:val="0"/>
      <w:marBottom w:val="0"/>
      <w:divBdr>
        <w:top w:val="none" w:sz="0" w:space="0" w:color="auto"/>
        <w:left w:val="none" w:sz="0" w:space="0" w:color="auto"/>
        <w:bottom w:val="none" w:sz="0" w:space="0" w:color="auto"/>
        <w:right w:val="none" w:sz="0" w:space="0" w:color="auto"/>
      </w:divBdr>
    </w:div>
    <w:div w:id="73860913">
      <w:bodyDiv w:val="1"/>
      <w:marLeft w:val="0"/>
      <w:marRight w:val="0"/>
      <w:marTop w:val="0"/>
      <w:marBottom w:val="0"/>
      <w:divBdr>
        <w:top w:val="none" w:sz="0" w:space="0" w:color="auto"/>
        <w:left w:val="none" w:sz="0" w:space="0" w:color="auto"/>
        <w:bottom w:val="none" w:sz="0" w:space="0" w:color="auto"/>
        <w:right w:val="none" w:sz="0" w:space="0" w:color="auto"/>
      </w:divBdr>
    </w:div>
    <w:div w:id="102917700">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182787058">
      <w:bodyDiv w:val="1"/>
      <w:marLeft w:val="0"/>
      <w:marRight w:val="0"/>
      <w:marTop w:val="0"/>
      <w:marBottom w:val="0"/>
      <w:divBdr>
        <w:top w:val="none" w:sz="0" w:space="0" w:color="auto"/>
        <w:left w:val="none" w:sz="0" w:space="0" w:color="auto"/>
        <w:bottom w:val="none" w:sz="0" w:space="0" w:color="auto"/>
        <w:right w:val="none" w:sz="0" w:space="0" w:color="auto"/>
      </w:divBdr>
    </w:div>
    <w:div w:id="286786762">
      <w:bodyDiv w:val="1"/>
      <w:marLeft w:val="0"/>
      <w:marRight w:val="0"/>
      <w:marTop w:val="0"/>
      <w:marBottom w:val="0"/>
      <w:divBdr>
        <w:top w:val="none" w:sz="0" w:space="0" w:color="auto"/>
        <w:left w:val="none" w:sz="0" w:space="0" w:color="auto"/>
        <w:bottom w:val="none" w:sz="0" w:space="0" w:color="auto"/>
        <w:right w:val="none" w:sz="0" w:space="0" w:color="auto"/>
      </w:divBdr>
    </w:div>
    <w:div w:id="351610241">
      <w:bodyDiv w:val="1"/>
      <w:marLeft w:val="0"/>
      <w:marRight w:val="0"/>
      <w:marTop w:val="0"/>
      <w:marBottom w:val="0"/>
      <w:divBdr>
        <w:top w:val="none" w:sz="0" w:space="0" w:color="auto"/>
        <w:left w:val="none" w:sz="0" w:space="0" w:color="auto"/>
        <w:bottom w:val="none" w:sz="0" w:space="0" w:color="auto"/>
        <w:right w:val="none" w:sz="0" w:space="0" w:color="auto"/>
      </w:divBdr>
    </w:div>
    <w:div w:id="388958415">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435249590">
      <w:bodyDiv w:val="1"/>
      <w:marLeft w:val="0"/>
      <w:marRight w:val="0"/>
      <w:marTop w:val="0"/>
      <w:marBottom w:val="0"/>
      <w:divBdr>
        <w:top w:val="none" w:sz="0" w:space="0" w:color="auto"/>
        <w:left w:val="none" w:sz="0" w:space="0" w:color="auto"/>
        <w:bottom w:val="none" w:sz="0" w:space="0" w:color="auto"/>
        <w:right w:val="none" w:sz="0" w:space="0" w:color="auto"/>
      </w:divBdr>
    </w:div>
    <w:div w:id="451292525">
      <w:bodyDiv w:val="1"/>
      <w:marLeft w:val="0"/>
      <w:marRight w:val="0"/>
      <w:marTop w:val="0"/>
      <w:marBottom w:val="0"/>
      <w:divBdr>
        <w:top w:val="none" w:sz="0" w:space="0" w:color="auto"/>
        <w:left w:val="none" w:sz="0" w:space="0" w:color="auto"/>
        <w:bottom w:val="none" w:sz="0" w:space="0" w:color="auto"/>
        <w:right w:val="none" w:sz="0" w:space="0" w:color="auto"/>
      </w:divBdr>
    </w:div>
    <w:div w:id="510073034">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599874637">
      <w:bodyDiv w:val="1"/>
      <w:marLeft w:val="0"/>
      <w:marRight w:val="0"/>
      <w:marTop w:val="0"/>
      <w:marBottom w:val="0"/>
      <w:divBdr>
        <w:top w:val="none" w:sz="0" w:space="0" w:color="auto"/>
        <w:left w:val="none" w:sz="0" w:space="0" w:color="auto"/>
        <w:bottom w:val="none" w:sz="0" w:space="0" w:color="auto"/>
        <w:right w:val="none" w:sz="0" w:space="0" w:color="auto"/>
      </w:divBdr>
    </w:div>
    <w:div w:id="659385865">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60832538">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788351986">
      <w:bodyDiv w:val="1"/>
      <w:marLeft w:val="0"/>
      <w:marRight w:val="0"/>
      <w:marTop w:val="0"/>
      <w:marBottom w:val="0"/>
      <w:divBdr>
        <w:top w:val="none" w:sz="0" w:space="0" w:color="auto"/>
        <w:left w:val="none" w:sz="0" w:space="0" w:color="auto"/>
        <w:bottom w:val="none" w:sz="0" w:space="0" w:color="auto"/>
        <w:right w:val="none" w:sz="0" w:space="0" w:color="auto"/>
      </w:divBdr>
    </w:div>
    <w:div w:id="820266996">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891891185">
      <w:bodyDiv w:val="1"/>
      <w:marLeft w:val="0"/>
      <w:marRight w:val="0"/>
      <w:marTop w:val="0"/>
      <w:marBottom w:val="0"/>
      <w:divBdr>
        <w:top w:val="none" w:sz="0" w:space="0" w:color="auto"/>
        <w:left w:val="none" w:sz="0" w:space="0" w:color="auto"/>
        <w:bottom w:val="none" w:sz="0" w:space="0" w:color="auto"/>
        <w:right w:val="none" w:sz="0" w:space="0" w:color="auto"/>
      </w:divBdr>
    </w:div>
    <w:div w:id="1012336741">
      <w:bodyDiv w:val="1"/>
      <w:marLeft w:val="0"/>
      <w:marRight w:val="0"/>
      <w:marTop w:val="0"/>
      <w:marBottom w:val="0"/>
      <w:divBdr>
        <w:top w:val="none" w:sz="0" w:space="0" w:color="auto"/>
        <w:left w:val="none" w:sz="0" w:space="0" w:color="auto"/>
        <w:bottom w:val="none" w:sz="0" w:space="0" w:color="auto"/>
        <w:right w:val="none" w:sz="0" w:space="0" w:color="auto"/>
      </w:divBdr>
    </w:div>
    <w:div w:id="1014111651">
      <w:bodyDiv w:val="1"/>
      <w:marLeft w:val="0"/>
      <w:marRight w:val="0"/>
      <w:marTop w:val="0"/>
      <w:marBottom w:val="0"/>
      <w:divBdr>
        <w:top w:val="none" w:sz="0" w:space="0" w:color="auto"/>
        <w:left w:val="none" w:sz="0" w:space="0" w:color="auto"/>
        <w:bottom w:val="none" w:sz="0" w:space="0" w:color="auto"/>
        <w:right w:val="none" w:sz="0" w:space="0" w:color="auto"/>
      </w:divBdr>
    </w:div>
    <w:div w:id="1084643454">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248002388">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480613380">
      <w:bodyDiv w:val="1"/>
      <w:marLeft w:val="0"/>
      <w:marRight w:val="0"/>
      <w:marTop w:val="0"/>
      <w:marBottom w:val="0"/>
      <w:divBdr>
        <w:top w:val="none" w:sz="0" w:space="0" w:color="auto"/>
        <w:left w:val="none" w:sz="0" w:space="0" w:color="auto"/>
        <w:bottom w:val="none" w:sz="0" w:space="0" w:color="auto"/>
        <w:right w:val="none" w:sz="0" w:space="0" w:color="auto"/>
      </w:divBdr>
    </w:div>
    <w:div w:id="1487280446">
      <w:bodyDiv w:val="1"/>
      <w:marLeft w:val="0"/>
      <w:marRight w:val="0"/>
      <w:marTop w:val="0"/>
      <w:marBottom w:val="0"/>
      <w:divBdr>
        <w:top w:val="none" w:sz="0" w:space="0" w:color="auto"/>
        <w:left w:val="none" w:sz="0" w:space="0" w:color="auto"/>
        <w:bottom w:val="none" w:sz="0" w:space="0" w:color="auto"/>
        <w:right w:val="none" w:sz="0" w:space="0" w:color="auto"/>
      </w:divBdr>
    </w:div>
    <w:div w:id="1510869197">
      <w:bodyDiv w:val="1"/>
      <w:marLeft w:val="0"/>
      <w:marRight w:val="0"/>
      <w:marTop w:val="0"/>
      <w:marBottom w:val="0"/>
      <w:divBdr>
        <w:top w:val="none" w:sz="0" w:space="0" w:color="auto"/>
        <w:left w:val="none" w:sz="0" w:space="0" w:color="auto"/>
        <w:bottom w:val="none" w:sz="0" w:space="0" w:color="auto"/>
        <w:right w:val="none" w:sz="0" w:space="0" w:color="auto"/>
      </w:divBdr>
    </w:div>
    <w:div w:id="1631933569">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 w:id="1847404200">
      <w:bodyDiv w:val="1"/>
      <w:marLeft w:val="0"/>
      <w:marRight w:val="0"/>
      <w:marTop w:val="0"/>
      <w:marBottom w:val="0"/>
      <w:divBdr>
        <w:top w:val="none" w:sz="0" w:space="0" w:color="auto"/>
        <w:left w:val="none" w:sz="0" w:space="0" w:color="auto"/>
        <w:bottom w:val="none" w:sz="0" w:space="0" w:color="auto"/>
        <w:right w:val="none" w:sz="0" w:space="0" w:color="auto"/>
      </w:divBdr>
    </w:div>
    <w:div w:id="2070574617">
      <w:bodyDiv w:val="1"/>
      <w:marLeft w:val="0"/>
      <w:marRight w:val="0"/>
      <w:marTop w:val="0"/>
      <w:marBottom w:val="0"/>
      <w:divBdr>
        <w:top w:val="none" w:sz="0" w:space="0" w:color="auto"/>
        <w:left w:val="none" w:sz="0" w:space="0" w:color="auto"/>
        <w:bottom w:val="none" w:sz="0" w:space="0" w:color="auto"/>
        <w:right w:val="none" w:sz="0" w:space="0" w:color="auto"/>
      </w:divBdr>
    </w:div>
    <w:div w:id="213328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Props1.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4.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11</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Porter</dc:creator>
  <cp:lastModifiedBy>Stephen Porter</cp:lastModifiedBy>
  <cp:revision>15</cp:revision>
  <cp:lastPrinted>2022-09-25T18:12:00Z</cp:lastPrinted>
  <dcterms:created xsi:type="dcterms:W3CDTF">2022-09-25T17:37:00Z</dcterms:created>
  <dcterms:modified xsi:type="dcterms:W3CDTF">2022-09-28T00:05:00Z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