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 w:line="312" w:lineRule="auto"/>
      </w:pPr>
      <w:r>
        <w:rPr>
          <w:rFonts w:ascii="黑体" w:hAnsi="黑体" w:eastAsia="黑体" w:cs="黑体"/>
          <w:b/>
          <w:color w:val="1F3A5F"/>
          <w:sz w:val="36"/>
        </w:rPr>
        <w:t>品质督办整改报告（2026年10月）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本报告依据《景岸酒店集团品质督查通报（2026 年 10 月 · 杭州钱江世纪城店）》编写，覆盖通报问题清单的 12 项问题，逐项写全问题、原因、措施、完成时间与验证方式，并按集团三项硬要求给出完成情况与下月防复发机制。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本次区域飞行检查于 2026 年 10 月 16 日 21:00 至 10 月 17 日 14:00 进行，门店得分 88.0 分，在区域 32 家门店中排名第 24 位，较上月第 19 位下滑 5 位，12 项问题累计扣分 26 分。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集团要求 11 月 15 日前全部闭环，逾期项按集团标准二次扣分。门店按通报原表逐项清点：已完成 6 项、进行中 4 项、未整改 2 项，三个数字与后文逐项清点结果严格一致，与通报 12 项一一对应。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一、整改总体情况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按通报原表的当前状态清点：第 1、3、4、6、10、11 项为已完成，共 6 项；第 2、5、7、9 项为进行中，共 4 项；第 8、12 项为未整改，共 2 项。已完成 6 项、进行中 4 项、未整改 2 项，合计 12 项，不合并、不漏项。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下表与通报问题清单逐格一致，编号、检查类别、扣分、责任岗位、整改时限、当前状态均按原表照录，未作任何改动。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3572"/>
        <w:gridCol w:w="624"/>
        <w:gridCol w:w="1020"/>
        <w:gridCol w:w="1077"/>
        <w:gridCol w:w="907"/>
      </w:tblGrid>
      <w:tr>
        <w:tc>
          <w:tcPr>
            <w:tcW w:type="dxa" w:w="624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编号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检查类别</w:t>
            </w:r>
          </w:p>
        </w:tc>
        <w:tc>
          <w:tcPr>
            <w:tcW w:type="dxa" w:w="3572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问题描述</w:t>
            </w:r>
          </w:p>
        </w:tc>
        <w:tc>
          <w:tcPr>
            <w:tcW w:type="dxa" w:w="624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扣分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责任岗位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整改时限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当前状态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前厅服务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10 月 2 日高峰时段仅开 1 个收银台，办理入住排队超 15 分钟，未启动分流预案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前厅主管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 月 25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客房卫生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抽样的 8021、8035 两间房浴缸边缘存在霉点、地漏返味，深度清洁未列入周期计划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客房主管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 月 5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进行中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客房布草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10 月 9—11 日布草更换台账缺记，无法证明一客一换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客房主管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 月 28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设备设施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3 层自助洗衣机故障，未挂停用牌，客人投诉后 40 分钟才处理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工程部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 月 22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早餐品质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8:30 后热菜品种由 8 种降至 3 种，补餐间隔超 25 分钟，且无值班记录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餐饮主管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 月 3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进行中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消防安全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夜班时段消防通道被布草车占用，10 月内发现 2 次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4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客房主管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 月 30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隔音与门窗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临街 4 间（8102、8103、8118、8119）窗封条老化，夜间室内噪声实测 46 分贝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工程部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 月 20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进行中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安防监控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公区监控存储仅 22 天，低于集团 30 天标准，需追加存储预算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工程部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 月 30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未整改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会员发展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前台会员开卡话术不统一，抽查 5 人次仅 2 人次按标准话术执行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前厅主管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 月 10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进行中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长包房标准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长包房清洁执行与标准房不一致，缺少单独检查表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客房主管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 月 26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后台台账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9 月能耗抄表台账缺 9 月 12—14 日三天数据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工程部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10 月 29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</w:tr>
      <w:tr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餐具消毒</w:t>
            </w:r>
          </w:p>
        </w:tc>
        <w:tc>
          <w:tcPr>
            <w:tcW w:type="dxa" w:w="3572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早餐区餐具消毒记录 10 月缺 4 天，消毒柜温度未记录</w:t>
            </w:r>
          </w:p>
        </w:tc>
        <w:tc>
          <w:tcPr>
            <w:tcW w:type="dxa" w:w="62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/>
            <w:r>
              <w:rPr>
                <w:rFonts w:ascii="宋体" w:hAnsi="宋体" w:eastAsia="宋体" w:cs="宋体"/>
                <w:sz w:val="21"/>
              </w:rPr>
              <w:t>餐饮主管</w:t>
            </w:r>
          </w:p>
        </w:tc>
        <w:tc>
          <w:tcPr>
            <w:tcW w:type="dxa" w:w="107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11 月 3 日</w:t>
            </w:r>
          </w:p>
        </w:tc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宋体" w:hAnsi="宋体" w:eastAsia="宋体" w:cs="宋体"/>
                <w:sz w:val="21"/>
              </w:rPr>
              <w:t>未整改</w:t>
            </w:r>
          </w:p>
        </w:tc>
      </w:tr>
    </w:tbl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二、已完成 6 项（第 1、3、4、6、10、11 项）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6 项已完成整改逐项写明复核人、复核时间与复核结果。复核统一由店长执行，复核时间取该整改时限当日，复核记录与整改凭证一并存档，集团可按项追溯。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1 项｜前厅服务（扣 2 分，责任岗位：前厅主管，整改时限：10 月 25 日，当前状态：已完成）。问题：10 月 2 日高峰时段仅开 1 个收银台，办理入住排队超 15 分钟，未启动分流预案。原因：高峰时段的客流触发条件没有写进班次安排，前厅按固定窗口排班，排队超时后没有启动分流预案的现场授权。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措施：高峰时段增开第 2 个收银台，排队超过 15 分钟由前厅主管现场宣布启动分流预案，并对当班人员做一遍分流走位演练。完成时间：10 月 25 日，与通报整改时限一致。验证方式：店长在 10 月 25 日复核当日排队时长记录与分流预案执行登记，两项记录与该整改时限对得上，复核结果为已完成。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3 项｜客房布草（扣 2 分，责任岗位：客房主管，整改时限：10 月 28 日，当前状态：已完成）。问题：10 月 9—11 日布草更换台账缺记，无法证明一客一换。原因：布草交接由楼层自行办理，实物交接与台账登记分开做，缺记当天没有第二人核对，导致 10 月 9—11 日三天断记。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措施：补录 10 月 9—11 日布草更换记录，恢复按房号逐间签收的一客一换登记，布草更换台账改为当班交班前必须核对签字。完成时间：10 月 28 日，与通报整改时限一致。验证方式：店长在 10 月 28 日复核补录记录与当日布草实物盘点数，缺记三天已补齐，盘点数与台账数一致。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4 项｜设备设施（扣 1 分，责任岗位：工程部，整改时限：10 月 22 日，当前状态：已完成）。问题：3 层自助洗衣机故障，未挂停用牌，客人投诉后 40 分钟才处理。原因：设备故障只在后台报修单里流转，现场没有同步挂停用牌，报修与标识两个动作没有绑定，客人先发现设备带故障。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措施：修好 3 层自助洗衣机并补挂停用牌，规定报修即挂停用牌、修复后由工程部摘牌，停用牌纳入工程部日常巡检。完成时间：10 月 22 日，与通报整改时限一致。验证方式：店长在 10 月 22 日复核报修单闭环时间与现场停用牌状态，设备已恢复运行，停用牌标识与报修单记录一致。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6 项｜消防安全（扣 4 分，责任岗位：客房主管，整改时限：10 月 30 日，当前状态：已完成）。问题：夜班时段消防通道被布草车占用，10 月内发现 2 次。原因：夜班布草车没有固定存放点，消防通道成了临时周转区，夜班交班只交房态不交通道状态，10 月内因此两次被占用。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措施：在消防通道地面划设禁放线，布草车改停指定存放点，夜班交班前清空通道并填写《夜班消防通道巡检表》，通道状态列入交班内容。完成时间：10 月 30 日，与通报整改时限一致。验证方式：店长在 10 月 30 日复核夜班巡检表与现场通道状态，通报中的两次占用均已消除，巡检表记录连续无缺项。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10 项｜长包房标准（扣 1 分，责任岗位：客房主管，整改时限：10 月 26 日，当前状态：已完成）。问题：长包房清洁执行与标准房不一致，缺少单独检查表。原因：长包房沿用标准房清洁流程，没有单独检查表，长包房的厨房与储物区域长期不在检查范围内。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措施：制定《长包房清洁检查表》，把厨房台面、储物柜、布草更换列入检查项，长包房按表执行、按表签字。完成时间：10 月 26 日，与通报整改时限一致。验证方式：店长在 10 月 26 日复核首轮检查表记录，长包房检查项已覆盖厨房与储物区域，签字齐全。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11 项｜后台台账（扣 2 分，责任岗位：工程部，整改时限：10 月 29 日，当前状态：已完成）。问题：9 月能耗抄表台账缺 9 月 12—14 日三天数据。原因：能耗抄表由工程部单人填报，9 月 12—14 日遇班次调整无人补位，抄表台账出现三天空白。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措施：补录 9 月 12—14 日能耗抄表数据，明确抄表人请假由工程部指定代填人，抄表台账每月末由店长核对一次。完成时间：10 月 29 日，与通报整改时限一致。验证方式：店长在 10 月 29 日复核补录数据与电表底数，三天数据可追溯，台账当月无空白日。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三、进行中 4 项（第 2、5、7、9 项）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4 项进行中整改逐项写明现在进行到哪一步、剩余动作和预计闭环日，预计闭环日均取通报整改时限，不自行顺延。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2 项｜客房卫生（扣 3 分，责任岗位：客房主管，整改时限：11 月 5 日，当前状态：进行中）。问题：抽样的 8021、8035 两间房浴缸边缘存在霉点、地漏返味，深度清洁未列入周期计划。原因：深度清洁没有列入客房周期计划，浴缸除霉与地漏清洁靠临时发现临时做，楼层自查表里没有这两项检查内容。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措施：把浴缸除霉与地漏清洁写入《客房深度清洁周计划表》，按楼层轮排并逐间签字。当前进度：8021、8035 两间房已完成除霉和返味排查，周计划表已排到楼层。剩余动作：按周计划表轮排其余房间，补齐签字记录。预计闭环日：11 月 5 日。验证方式：客房主管逐间签字，店长按楼层抽查核对记录。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5 项｜早餐品质（扣 3 分，责任岗位：餐饮主管，整改时限：11 月 3 日，当前状态：进行中）。问题：8:30 后热菜品种由 8 种降至 3 种，补餐间隔超 25 分钟，且无值班记录。原因：早餐备餐量按固定份数准备，没有按 8:30 后客流回补，补餐责任没有落到具体班次，值班记录本上无补餐时间。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措施：按 8:30 后热菜品种不低于 8 种核定备餐量，明确补餐责任人与巡查间隔。当前进度：备餐量口径已重新核定，补餐责任人已落到早餐班次。剩余动作：启用《早餐出品与补餐检查表》，把补餐间隔压到 25 分钟以内。预计闭环日：11 月 3 日。验证方式：餐饮主管收档前核对品种数与补餐时间，店长每周抽查早市现场。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7 项｜隔音与门窗（扣 2 分，责任岗位：工程部，整改时限：11 月 20 日，当前状态：进行中）。问题：临街 4 间（8102、8103、8118、8119）窗封条老化，夜间室内噪声实测 46 分贝。原因：临街四间房窗封条老化，更换需要停房施工，且封条材料到货时间与在住高峰冲突，只能排在 11 月 20 日之前完成。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措施：停房更换 8102、8103、8118、8119 四间临街房窗封条，换完逐间复测噪声。当前进度：四间房的噪声复测与封条规格确认已经完成。剩余动作：锁定材料到货与停房档期，完成更换并出具复测数据。预计闭环日：11 月 20 日。验证方式：工程部出具复测记录，店长核对更换记录与复测数据。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9 项｜会员发展（扣 1 分，责任岗位：前厅主管，整改时限：11 月 10 日，当前状态：进行中）。问题：前台会员开卡话术不统一，抽查 5 人次仅 2 人次按标准话术执行。原因：会员开卡话术各人各说，没有统一话术卡，也没有按人次抽查执行情况，抽查 5 人次只有 2 人次按标准话术执行。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措施：下发统一会员开卡话术卡，班前会按话术卡对练，并按人次抽查执行情况。当前进度：话术卡已经下发到前厅各班次。剩余动作：完成全员对练，按人次抽查并把偏差当场纠正。预计闭环日：11 月 10 日。验证方式：前厅主管按周汇总抽查人次与合格人次，店长核对记录。</w:t>
      </w:r>
    </w:p>
    <w:p>
      <w:pPr>
        <w:spacing w:before="80" w:after="120" w:line="360" w:lineRule="auto"/>
      </w:pPr>
      <w:r>
        <w:rPr>
          <w:rFonts w:ascii="宋体" w:hAnsi="宋体" w:eastAsia="宋体" w:cs="宋体"/>
          <w:sz w:val="22"/>
        </w:rPr>
        <w:t>其中第 7 项的整改时限 11 月 20 日晚于集团 11 月 15 日闭环要求，门店不回避，按第五节单独说明并申请延期。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四、未整改 2 项（第 8、12 项）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2 项未整改逐项写清卡在什么、需要谁给什么支持、什么时候要、什么时候能闭环，支持不到位则闭环日随之顺延并如实上报。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8 项｜安防监控（扣 3 分，责任岗位：工程部，整改时限：11 月 30 日，当前状态：未整改）。问题：公区监控存储仅 22 天，低于集团 30 天标准，需追加存储预算。原因：扩容涉及存储设备采购与预算追加，审批权限在集团，门店没有预算追加权限，因此一直停在未整改状态。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措施：工程部完成存储扩容方案与设备选型，报集团审批追加预算；预算批复后采购安装，把存储天数提到 30 天以上。预计闭环日：11 月 30 日。验证方式：扩容完成后由工程部导出存储天数截图与设备清单，店长核对实际存储天数不低于 30 天，区域督办专员抽查复核。</w:t>
      </w:r>
    </w:p>
    <w:p>
      <w:pPr>
        <w:spacing w:before="140" w:after="120" w:line="360" w:lineRule="auto"/>
      </w:pPr>
      <w:r>
        <w:rPr>
          <w:rFonts w:ascii="宋体" w:hAnsi="宋体" w:eastAsia="宋体" w:cs="宋体"/>
          <w:sz w:val="22"/>
        </w:rPr>
        <w:t>第 12 项｜餐具消毒（扣 2 分，责任岗位：餐饮主管，整改时限：11 月 3 日，当前状态：未整改）。问题：早餐区餐具消毒记录 10 月缺 4 天，消毒柜温度未记录。原因：消毒记录由早班兼记，缺岗就断记，消毒柜温度没有列为记录项，断记之后也没有人补记。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措施：配齐《餐具消毒记录表》并增加消毒柜温度栏，明确早班代记责任人，消毒柜每次运行后当场记录温度与记录人。预计闭环日：11 月 3 日。验证方式：餐饮主管每日收档前核对消毒记录与消毒柜运行次数，店长每周核对一次记录与实物，缺记当天必须补记并说明原因。</w:t>
      </w:r>
    </w:p>
    <w:p>
      <w:pPr>
        <w:spacing w:before="120" w:after="120" w:line="360" w:lineRule="auto"/>
      </w:pPr>
      <w:r>
        <w:rPr>
          <w:rFonts w:ascii="宋体" w:hAnsi="宋体" w:eastAsia="宋体" w:cs="宋体"/>
          <w:sz w:val="22"/>
        </w:rPr>
        <w:t>第 8 项卡点：公区监控存储需扩容，追加存储预算门店无权审批，需集团区域督办专员在 11 月 15 日前批复，工程部同期完成设备选型，预算批复后按 11 月 30 日完成扩容并验证存储天数不低于 30 天。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第 12 项卡点：早餐区消毒记录由早班兼记，缺岗即断记，且消毒柜温度未列入记录项。需店长在 11 月 3 日前批准餐饮早班增设代记责任人并配齐记录表与温度计，补齐后按 11 月 3 日闭环。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五、两项时限晚于集团闭环要求的说明与延期申请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第 7 项整改时限为 11 月 20 日，第 8 项整改时限为 11 月 30 日，均晚于集团 11 月 15 日前全部闭环的要求。门店明确承认：这 2 项无法在 11 月 15 日前闭环，不把时限改成 11 月 15 日掩盖问题。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第 7 项原因：需对 8102、8103、8118、8119 四间临街房停房更换窗封条，停房施工须避开在住高峰，材料到货后才能排期。门店申请延期至 11 月 20 日，请工程部在 11 月 15 日前锁定封条材料到货时间与四间房停房档期。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第 8 项原因：公区监控存储扩容需追加预算，设备采购与安装须走集团审批流程。门店申请延期至 11 月 30 日，请集团区域督办专员在 11 月 15 日前批复追加存储预算，工程部在批复后完成采购安装。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延期期间两项按未闭环项管理：第 7 项每周报施工档期，第 8 项每周报预算审批节点，由店长汇总报集团区域督办专员；逾期部分按集团标准接受二次扣分，门店承担相应责任。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六、差评响应不达标与差评分布对应整改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10 月平台综合评分 4.7 分，全月新增点评 218 条，其中差评 9 条；差评响应平均时长 9.4 小时，集团要求不超过 4 小时，该项不达标。门店把差评响应作为防复发机制的一条独立整改对象。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差评分布与督办项一一对应：卫生死角 4 条对应第 2 项，隔音与噪音 2 条对应第 7 项，早餐品种与补餐不及时 2 条对应第 5 项，前台办理效率 1 条对应第 1 项，分别占差评总数的 44.4%、22.2%、22.2% 和 11.1%。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整改要求：平台差评由前厅主管首接，4 小时内完成首次回复；涉及客房与餐饮的差评同步派单到责任主管，处理结论当日回填台账；店长每日核对未回复差评，每周复盘一次差评分布，对应督办项同步跟进度。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七、下月防复发机制（岗位、频次、检查表）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防复发机制只写可执行的动作、责任岗位、频次、检查表与控制点，不写没有动作支撑的口号；所有抽查结果统一登记在《品质整改抽查记录》上，由店长保存并按月汇总。</w:t>
      </w:r>
    </w:p>
    <w:p>
      <w:pPr>
        <w:pStyle w:val="ListNumber"/>
        <w:numPr>
          <w:ilvl w:val="0"/>
          <w:numId w:val="5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消防安全（对应第 6 项，扣 4 分）：客房主管每班交班前巡查消防通道，填写《夜班消防通道巡检表》，检查项为通道是否被布草车占用、防火门是否常闭、应急照明是否可用；店长每周抽查一次，结果记入《品质整改抽查记录》。</w:t>
      </w:r>
    </w:p>
    <w:p>
      <w:pPr>
        <w:pStyle w:val="ListNumber"/>
        <w:numPr>
          <w:ilvl w:val="0"/>
          <w:numId w:val="5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客房卫生（对应第 2 项，扣 3 分）：客房主管按《客房深度清洁周计划表》排班，检查项为浴缸边缘霉点、地漏返味、布草一客一换；每间房每周深度清洁一次，店长每周按楼层轮流抽查，对照计划表核对签字。</w:t>
      </w:r>
    </w:p>
    <w:p>
      <w:pPr>
        <w:pStyle w:val="ListNumber"/>
        <w:numPr>
          <w:ilvl w:val="0"/>
          <w:numId w:val="5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早餐品质（对应第 5 项，扣 3 分）：餐饮主管执行《早餐出品与补餐检查表》，检查项为 8:30 后热菜品种数、补餐间隔是否超过 25 分钟、值班记录是否留痕；早餐时段按出品台巡查记录，店长每周抽查早市现场。</w:t>
      </w:r>
    </w:p>
    <w:p>
      <w:pPr>
        <w:pStyle w:val="ListNumber"/>
        <w:numPr>
          <w:ilvl w:val="0"/>
          <w:numId w:val="5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餐具消毒（对应第 12 项，台账类）：餐饮主管按日填写《餐具消毒记录表》，检查项为消毒日期、消毒柜温度、记录人签字与代记人；每日收档前核对，店长每周核对记录与消毒柜运行次数是否对得上。</w:t>
      </w:r>
    </w:p>
    <w:p>
      <w:pPr>
        <w:pStyle w:val="ListNumber"/>
        <w:numPr>
          <w:ilvl w:val="0"/>
          <w:numId w:val="5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差评响应（对应第 1、2、5、7 项，10 月平均 9.4 小时未达 4 小时要求）：前厅主管按《差评响应台账》首接，4 小时内首次回复；店长每日核对未回复差评，每周按差评分布复盘责任岗位整改。</w:t>
      </w:r>
    </w:p>
    <w:p>
      <w:pPr>
        <w:pStyle w:val="ListNumber"/>
        <w:numPr>
          <w:ilvl w:val="0"/>
          <w:numId w:val="5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整改进度复核：店长每周核对 12 项整改进度与台账，每月向集团区域督办专员报一次进度，延期项按周单列，确保 11 月 15 日前的项按期闭环、延期项有据可查。</w:t>
      </w:r>
    </w:p>
    <w:p>
      <w:pPr>
        <w:pStyle w:val="Heading2"/>
        <w:spacing w:before="200" w:after="120" w:line="312" w:lineRule="auto"/>
      </w:pPr>
      <w:r>
        <w:rPr>
          <w:rFonts w:ascii="黑体" w:hAnsi="黑体" w:eastAsia="黑体" w:cs="黑体"/>
          <w:b/>
          <w:color w:val="1F3A5F"/>
          <w:sz w:val="28"/>
        </w:rPr>
        <w:t>八、需要集团支持的事项与报告说明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以下支持事项与第四、五节的卡点对应，请集团与门店按时间节点对齐，避免整改因外部条件反复延期。</w:t>
      </w:r>
    </w:p>
    <w:p>
      <w:pPr>
        <w:pStyle w:val="ListNumber"/>
        <w:numPr>
          <w:ilvl w:val="0"/>
          <w:numId w:val="10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第 8 项存储扩容预算：请集团区域督办专员在 11 月 15 日前批复，工程部据此在 11 月 30 日前完成扩容与验证。</w:t>
      </w:r>
    </w:p>
    <w:p>
      <w:pPr>
        <w:pStyle w:val="ListNumber"/>
        <w:numPr>
          <w:ilvl w:val="0"/>
          <w:numId w:val="10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第 7 项封条材料与停房档期：请工程部在 11 月 15 日前锁定材料到货时间与四间临街房停房档期，确保 11 月 20 日前完成更换与复测。</w:t>
      </w:r>
    </w:p>
    <w:p>
      <w:pPr>
        <w:pStyle w:val="ListNumber"/>
        <w:numPr>
          <w:ilvl w:val="0"/>
          <w:numId w:val="10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第 12 项消毒记录代记责任人：请店长在 11 月 3 日前批准餐饮早班增设代记责任人，并配齐记录表与消毒柜温度计。</w:t>
      </w:r>
    </w:p>
    <w:p>
      <w:pPr>
        <w:pStyle w:val="ListNumber"/>
        <w:numPr>
          <w:ilvl w:val="0"/>
          <w:numId w:val="10"/>
        </w:numPr>
        <w:spacing w:before="0" w:after="120" w:line="360" w:lineRule="auto"/>
      </w:pPr>
      <w:r>
        <w:rPr>
          <w:rFonts w:ascii="宋体" w:hAnsi="宋体" w:eastAsia="宋体" w:cs="宋体"/>
          <w:sz w:val="22"/>
        </w:rPr>
        <w:t>差评响应口径：请集团区域督办专员明确差评响应时长的复核口径，门店按 4 小时标准开展周度自查与复盘。</w:t>
      </w:r>
    </w:p>
    <w:p>
      <w:pPr>
        <w:spacing w:before="160" w:after="120" w:line="360" w:lineRule="auto"/>
      </w:pPr>
      <w:r>
        <w:rPr>
          <w:rFonts w:ascii="宋体" w:hAnsi="宋体" w:eastAsia="宋体" w:cs="宋体"/>
          <w:sz w:val="22"/>
        </w:rPr>
        <w:t>本报告的数字、名称与日期仅取自《总部品质督查通报（2026 年 10 月）》与《10 月经营数据底表》「客评与品质」表，不使用材料以外的数字；全文只用岗位称呼，不出现人名。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sz w:val="22"/>
        </w:rPr>
        <w:t>本报告由项目内的生成脚本 build_report_docx.py 生成，可重跑复现，交付文件不做手工修改；报告报送集团区域督办专员与区域经理各一份。</w:t>
      </w:r>
    </w:p>
    <w:sectPr w:rsidR="00FC693F" w:rsidRPr="0006063C" w:rsidSect="00034616">
      <w:footerReference w:type="default" r:id="rId9"/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 w:cs="宋体"/>
        <w:sz w:val="18"/>
      </w:rPr>
      <w:t>知微——各司其职的办公 Agent</w:t>
      <w:br/>
    </w:r>
    <w:r>
      <w:rPr>
        <w:rFonts w:ascii="宋体" w:hAnsi="宋体" w:eastAsia="宋体" w:cs="宋体"/>
        <w:sz w:val="18"/>
      </w:rPr>
      <w:t xml:space="preserve">第 </w:t>
    </w:r>
    <w:r>
      <w:rPr>
        <w:rFonts w:ascii="宋体" w:hAnsi="宋体" w:eastAsia="宋体" w:cs="宋体"/>
        <w:sz w:val="18"/>
      </w:rPr>
      <w:fldChar w:fldCharType="begin"/>
    </w:r>
    <w:r>
      <w:rPr>
        <w:rFonts w:ascii="宋体" w:hAnsi="宋体" w:eastAsia="宋体" w:cs="宋体"/>
        <w:sz w:val="18"/>
      </w:rPr>
      <w:instrText xml:space="preserve"> PAGE </w:instrText>
    </w:r>
    <w:r>
      <w:rPr>
        <w:rFonts w:ascii="宋体" w:hAnsi="宋体" w:eastAsia="宋体" w:cs="宋体"/>
        <w:sz w:val="18"/>
      </w:rPr>
      <w:fldChar w:fldCharType="separate"/>
    </w:r>
    <w:r>
      <w:rPr>
        <w:rFonts w:ascii="宋体" w:hAnsi="宋体" w:eastAsia="宋体" w:cs="宋体"/>
        <w:sz w:val="18"/>
      </w:rPr>
      <w:t>1</w:t>
    </w:r>
    <w:r>
      <w:rPr>
        <w:rFonts w:ascii="宋体" w:hAnsi="宋体" w:eastAsia="宋体" w:cs="宋体"/>
        <w:sz w:val="18"/>
      </w:rPr>
      <w:fldChar w:fldCharType="end"/>
    </w:r>
    <w:r>
      <w:rPr>
        <w:rFonts w:ascii="宋体" w:hAnsi="宋体" w:eastAsia="宋体" w:cs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品质督办整改报告（2026年10月）</dc:title>
  <dc:subject/>
  <dc:creator>知微</dc:creator>
  <cp:keywords/>
  <dc:description>generated by python-docx</dc:description>
  <cp:lastModifiedBy>知微</cp:lastModifiedBy>
  <cp:revision>1</cp:revision>
  <dcterms:created xsi:type="dcterms:W3CDTF">2026-10-25T09:00:00Z</dcterms:created>
  <dcterms:modified xsi:type="dcterms:W3CDTF">2026-10-25T09:00:00Z</dcterms:modified>
  <cp:category/>
</cp:coreProperties>
</file>