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5C8A"/>
          <w:sz w:val="48"/>
        </w:rPr>
        <w:t>Tossalisti — Tekjuleiðir</w:t>
      </w:r>
    </w:p>
    <w:p>
      <w:pPr>
        <w:spacing w:after="200"/>
      </w:pPr>
      <w:r>
        <w:rPr>
          <w:color w:val="666666"/>
          <w:sz w:val="20"/>
        </w:rPr>
        <w:t>Yfirlit yfir mögulegar tekjuleiðir og forgangsröðun · tossalisti.is · júní 2026</w:t>
      </w:r>
    </w:p>
    <w:p>
      <w:pPr>
        <w:spacing w:after="120"/>
      </w:pPr>
      <w:r>
        <w:t>Markmiðið núna er að validera retention áður en stórir eiginleikar bætast við. Tekjuleiðirnar hér að neðan eru flokkaðar eftir gerð, og taflan aftast raðar þeim eftir áreynslu, tekjupotti og áhættu á notendaupplifun. ⭐ merkir það sem er þegar komið eða í demo.</w:t>
      </w:r>
    </w:p>
    <w:p>
      <w:pPr>
        <w:spacing w:before="280" w:after="80"/>
      </w:pPr>
      <w:r>
        <w:rPr>
          <w:b/>
          <w:color w:val="1F5C8A"/>
          <w:sz w:val="30"/>
        </w:rPr>
        <w:t>1. Auglýsingar og kostun</w:t>
      </w:r>
    </w:p>
    <w:p>
      <w:pPr>
        <w:pStyle w:val="ListBullet"/>
        <w:spacing w:after="60"/>
      </w:pPr>
      <w:r>
        <w:rPr>
          <w:b/>
          <w:color w:val="2E8B57"/>
        </w:rPr>
        <w:t xml:space="preserve">⭐ </w:t>
      </w:r>
      <w:r>
        <w:rPr>
          <w:b/>
        </w:rPr>
        <w:t xml:space="preserve">Kostaðir vöruflokkar — </w:t>
      </w:r>
      <w:r>
        <w:t>vörumerki „á“ deild (Ölgerðin á drykki). Selja má áfengi, mjólkurvörur, snyrtivörur o.fl. sem fasta mánaðaráskrift.</w:t>
      </w:r>
    </w:p>
    <w:p>
      <w:pPr>
        <w:pStyle w:val="ListBullet"/>
        <w:spacing w:after="60"/>
      </w:pPr>
      <w:r>
        <w:rPr>
          <w:b/>
          <w:color w:val="2E8B57"/>
        </w:rPr>
        <w:t xml:space="preserve">⭐ </w:t>
      </w:r>
      <w:r>
        <w:rPr>
          <w:b/>
        </w:rPr>
        <w:t xml:space="preserve">Auglýsingabannerar — </w:t>
      </w:r>
      <w:r>
        <w:t>rúllandi borðar, seldir á CPM eða fast mánaðargjald.</w:t>
      </w:r>
    </w:p>
    <w:p>
      <w:pPr>
        <w:pStyle w:val="ListBullet"/>
        <w:spacing w:after="60"/>
      </w:pPr>
      <w:r>
        <w:rPr>
          <w:b/>
        </w:rPr>
        <w:t xml:space="preserve">Vara vikunnar / kynnt vara — </w:t>
      </w:r>
      <w:r>
        <w:t>vörumerki borgar fyrir áberandi stað efst í leit, í vöruhillu eða þegar deild er opnuð.</w:t>
      </w:r>
    </w:p>
    <w:p>
      <w:pPr>
        <w:pStyle w:val="ListBullet"/>
        <w:spacing w:after="60"/>
      </w:pPr>
      <w:r>
        <w:rPr>
          <w:b/>
        </w:rPr>
        <w:t xml:space="preserve">Kostaðar uppskriftir — </w:t>
      </w:r>
      <w:r>
        <w:t>matvælamerki kostar uppskrift sem notar þeirra vörur, með „bæta öllu í körfu“-takka. Eðlilegt þar sem uppskriftir eru þegar inni.</w:t>
      </w:r>
    </w:p>
    <w:p>
      <w:pPr>
        <w:pStyle w:val="ListBullet"/>
        <w:spacing w:after="60"/>
      </w:pPr>
      <w:r>
        <w:rPr>
          <w:b/>
        </w:rPr>
        <w:t xml:space="preserve">Kostaðar staðgöngu-/tillögur — </w:t>
      </w:r>
      <w:r>
        <w:t>þegar notandi skannar vöru birtist „prófaðu frekar X“ frá kostandi merki.</w:t>
      </w:r>
    </w:p>
    <w:p>
      <w:pPr>
        <w:pStyle w:val="ListBullet"/>
        <w:spacing w:after="60"/>
      </w:pPr>
      <w:r>
        <w:rPr>
          <w:b/>
        </w:rPr>
        <w:t xml:space="preserve">Árstíðabundnar herferðir — </w:t>
      </w:r>
      <w:r>
        <w:t>jól, þorri, grilltíð, páskar — tímabundnir pakkar sem merki kaupa.</w:t>
      </w:r>
    </w:p>
    <w:p>
      <w:pPr>
        <w:pStyle w:val="ListBullet"/>
        <w:spacing w:after="60"/>
      </w:pPr>
      <w:r>
        <w:rPr>
          <w:b/>
        </w:rPr>
        <w:t xml:space="preserve">Staðbundin/lítil vörumerki — </w:t>
      </w:r>
      <w:r>
        <w:t>smáframleiðendur og sveitavörur sem hafa ekki efni á stóru herferðunum borga fyrir sýnileika.</w:t>
      </w:r>
    </w:p>
    <w:p>
      <w:pPr>
        <w:spacing w:before="280" w:after="80"/>
      </w:pPr>
      <w:r>
        <w:rPr>
          <w:b/>
          <w:color w:val="1F5C8A"/>
          <w:sz w:val="30"/>
        </w:rPr>
        <w:t>2. Verslun og þóknun (affiliate)</w:t>
      </w:r>
    </w:p>
    <w:p>
      <w:pPr>
        <w:pStyle w:val="ListBullet"/>
        <w:spacing w:after="60"/>
      </w:pPr>
      <w:r>
        <w:rPr>
          <w:b/>
        </w:rPr>
        <w:t xml:space="preserve">Tilvísunarþóknun til netverslana — </w:t>
      </w:r>
      <w:r>
        <w:t>Krónan/Nettó/Heimkaup heimsending: „senda körfu“ í verslun og fá þóknun af pöntun. Stærsta tækifærið langtímalega.</w:t>
      </w:r>
    </w:p>
    <w:p>
      <w:pPr>
        <w:pStyle w:val="ListBullet"/>
        <w:spacing w:after="60"/>
      </w:pPr>
      <w:r>
        <w:rPr>
          <w:b/>
        </w:rPr>
        <w:t xml:space="preserve">Uppskrift → karfa → heimsending — </w:t>
      </w:r>
      <w:r>
        <w:t>affiliate á öllu hráefninu í einu.</w:t>
      </w:r>
    </w:p>
    <w:p>
      <w:pPr>
        <w:pStyle w:val="ListBullet"/>
        <w:spacing w:after="60"/>
      </w:pPr>
      <w:r>
        <w:rPr>
          <w:b/>
        </w:rPr>
        <w:t xml:space="preserve">Stafræn tilboð / afsláttarmiðar — </w:t>
      </w:r>
      <w:r>
        <w:t>merki og verslanir borga fyrir dreifingu; þóknun við innlausn.</w:t>
      </w:r>
    </w:p>
    <w:p>
      <w:pPr>
        <w:pStyle w:val="ListBullet"/>
        <w:spacing w:after="60"/>
      </w:pPr>
      <w:r>
        <w:rPr>
          <w:b/>
        </w:rPr>
        <w:t xml:space="preserve">Verðsamanburður með kostuðum stað — </w:t>
      </w:r>
      <w:r>
        <w:t>sýna verð milli verslana; verslun borgar fyrir áberandi sæti.</w:t>
      </w:r>
    </w:p>
    <w:p>
      <w:pPr>
        <w:spacing w:before="280" w:after="80"/>
      </w:pPr>
      <w:r>
        <w:rPr>
          <w:b/>
          <w:color w:val="1F5C8A"/>
          <w:sz w:val="30"/>
        </w:rPr>
        <w:t>3. Áskrift (freemium) — Tossalisti Plús</w:t>
      </w:r>
    </w:p>
    <w:p>
      <w:pPr>
        <w:pStyle w:val="ListBullet"/>
        <w:spacing w:after="60"/>
      </w:pPr>
      <w:r>
        <w:rPr>
          <w:b/>
        </w:rPr>
        <w:t xml:space="preserve">Plús-áskrift — </w:t>
      </w:r>
      <w:r>
        <w:t>án auglýsinga, ótakmarkaðir listar, ítarleg eyðslugreining úr kvittunum, verðsaga, vikumatseðill, budget-mörk með viðvörunum. Nýtir kvittanaskönnunina sem er þegar til og gefur endurtekjur (MRR).</w:t>
      </w:r>
    </w:p>
    <w:p>
      <w:pPr>
        <w:spacing w:before="280" w:after="80"/>
      </w:pPr>
      <w:r>
        <w:rPr>
          <w:b/>
          <w:color w:val="1F5C8A"/>
          <w:sz w:val="30"/>
        </w:rPr>
        <w:t>4. Gögn og innsýn (varlega — GDPR/samþykki)</w:t>
      </w:r>
    </w:p>
    <w:p>
      <w:pPr>
        <w:pStyle w:val="ListBullet"/>
        <w:spacing w:after="60"/>
      </w:pPr>
      <w:r>
        <w:rPr>
          <w:b/>
        </w:rPr>
        <w:t xml:space="preserve">Nafnlaus markaðsinnsýn — </w:t>
      </w:r>
      <w:r>
        <w:t>samanlögð kauphegðunargögn seld vörumerkjum/verslunum. Verðmætt en viðkvæmt — krefst skýrs samþykkis og getur skemmt traust. Geyma þar til notendabasi er stór.</w:t>
      </w:r>
    </w:p>
    <w:p>
      <w:pPr>
        <w:spacing w:before="280" w:after="80"/>
      </w:pPr>
      <w:r>
        <w:rPr>
          <w:b/>
          <w:color w:val="1F5C8A"/>
          <w:sz w:val="30"/>
        </w:rPr>
        <w:t>5. B2B / leyfi</w:t>
      </w:r>
    </w:p>
    <w:p>
      <w:pPr>
        <w:pStyle w:val="ListBullet"/>
        <w:spacing w:after="60"/>
      </w:pPr>
      <w:r>
        <w:rPr>
          <w:b/>
        </w:rPr>
        <w:t xml:space="preserve">White-label — </w:t>
      </w:r>
      <w:r>
        <w:t>leigja vettvanginn til verslunarkeðju sem þeirra eigið merkjaða app.</w:t>
      </w:r>
    </w:p>
    <w:p>
      <w:pPr>
        <w:pStyle w:val="ListBullet"/>
        <w:spacing w:after="60"/>
      </w:pPr>
      <w:r>
        <w:rPr>
          <w:b/>
        </w:rPr>
        <w:t xml:space="preserve">Kostaðar áskoranir/efni — </w:t>
      </w:r>
      <w:r>
        <w:t>t.d. merki kostar „30 daga budget-áskorun“.</w:t>
      </w:r>
    </w:p>
    <w:p>
      <w:pPr>
        <w:spacing w:before="280" w:after="80"/>
      </w:pPr>
      <w:r>
        <w:rPr>
          <w:b/>
          <w:color w:val="1F5C8A"/>
          <w:sz w:val="30"/>
        </w:rPr>
        <w:t>Forgangsröðun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color="auto" w:fill="1F5C8A"/>
          </w:tcPr>
          <w:p>
            <w:r>
              <w:rPr>
                <w:b/>
                <w:color w:val="FFFFFF"/>
                <w:sz w:val="19"/>
              </w:rPr>
              <w:t>Tekjuleið</w:t>
            </w:r>
          </w:p>
        </w:tc>
        <w:tc>
          <w:tcPr>
            <w:tcW w:type="dxa" w:w="1728"/>
            <w:shd w:val="clear" w:color="auto" w:fill="1F5C8A"/>
          </w:tcPr>
          <w:p>
            <w:r>
              <w:rPr>
                <w:b/>
                <w:color w:val="FFFFFF"/>
                <w:sz w:val="19"/>
              </w:rPr>
              <w:t>Áreynsla</w:t>
            </w:r>
          </w:p>
        </w:tc>
        <w:tc>
          <w:tcPr>
            <w:tcW w:type="dxa" w:w="1584"/>
            <w:shd w:val="clear" w:color="auto" w:fill="1F5C8A"/>
          </w:tcPr>
          <w:p>
            <w:r>
              <w:rPr>
                <w:b/>
                <w:color w:val="FFFFFF"/>
                <w:sz w:val="19"/>
              </w:rPr>
              <w:t>Tekjupotti</w:t>
            </w:r>
          </w:p>
        </w:tc>
        <w:tc>
          <w:tcPr>
            <w:tcW w:type="dxa" w:w="2016"/>
            <w:shd w:val="clear" w:color="auto" w:fill="1F5C8A"/>
          </w:tcPr>
          <w:p>
            <w:r>
              <w:rPr>
                <w:b/>
                <w:color w:val="FFFFFF"/>
                <w:sz w:val="19"/>
              </w:rPr>
              <w:t>Retention-áhætta</w:t>
            </w:r>
          </w:p>
        </w:tc>
        <w:tc>
          <w:tcPr>
            <w:tcW w:type="dxa" w:w="2304"/>
            <w:shd w:val="clear" w:color="auto" w:fill="1F5C8A"/>
          </w:tcPr>
          <w:p>
            <w:r>
              <w:rPr>
                <w:b/>
                <w:color w:val="FFFFFF"/>
                <w:sz w:val="19"/>
              </w:rPr>
              <w:t>Hvenær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Kostaðir vöruflokkar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Lítil (komið)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Mið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Lítil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Núna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sz w:val="19"/>
              </w:rPr>
              <w:t>Vara vikunnar</w:t>
            </w:r>
          </w:p>
        </w:tc>
        <w:tc>
          <w:tcPr>
            <w:tcW w:type="dxa" w:w="1728"/>
            <w:shd w:val="clear" w:color="auto" w:fill="EEF3F8"/>
          </w:tcPr>
          <w:p>
            <w:r>
              <w:rPr>
                <w:sz w:val="19"/>
              </w:rPr>
              <w:t>Lítil</w:t>
            </w:r>
          </w:p>
        </w:tc>
        <w:tc>
          <w:tcPr>
            <w:tcW w:type="dxa" w:w="1584"/>
            <w:shd w:val="clear" w:color="auto" w:fill="EEF3F8"/>
          </w:tcPr>
          <w:p>
            <w:r>
              <w:rPr>
                <w:sz w:val="19"/>
              </w:rPr>
              <w:t>Mið</w:t>
            </w:r>
          </w:p>
        </w:tc>
        <w:tc>
          <w:tcPr>
            <w:tcW w:type="dxa" w:w="2016"/>
            <w:shd w:val="clear" w:color="auto" w:fill="EEF3F8"/>
          </w:tcPr>
          <w:p>
            <w:r>
              <w:rPr>
                <w:sz w:val="19"/>
              </w:rPr>
              <w:t>Lítil</w:t>
            </w:r>
          </w:p>
        </w:tc>
        <w:tc>
          <w:tcPr>
            <w:tcW w:type="dxa" w:w="2304"/>
            <w:shd w:val="clear" w:color="auto" w:fill="EEF3F8"/>
          </w:tcPr>
          <w:p>
            <w:r>
              <w:rPr>
                <w:sz w:val="19"/>
              </w:rPr>
              <w:t>Núna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Kostaðar uppskriftir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Mið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Mið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Lítil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Núna / fljótlega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sz w:val="19"/>
              </w:rPr>
              <w:t>Auglýsingabannerar</w:t>
            </w:r>
          </w:p>
        </w:tc>
        <w:tc>
          <w:tcPr>
            <w:tcW w:type="dxa" w:w="1728"/>
            <w:shd w:val="clear" w:color="auto" w:fill="EEF3F8"/>
          </w:tcPr>
          <w:p>
            <w:r>
              <w:rPr>
                <w:sz w:val="19"/>
              </w:rPr>
              <w:t>Lítil (demo)</w:t>
            </w:r>
          </w:p>
        </w:tc>
        <w:tc>
          <w:tcPr>
            <w:tcW w:type="dxa" w:w="1584"/>
            <w:shd w:val="clear" w:color="auto" w:fill="EEF3F8"/>
          </w:tcPr>
          <w:p>
            <w:r>
              <w:rPr>
                <w:sz w:val="19"/>
              </w:rPr>
              <w:t>Lág–mið</w:t>
            </w:r>
          </w:p>
        </w:tc>
        <w:tc>
          <w:tcPr>
            <w:tcW w:type="dxa" w:w="2016"/>
            <w:shd w:val="clear" w:color="auto" w:fill="EEF3F8"/>
          </w:tcPr>
          <w:p>
            <w:r>
              <w:rPr>
                <w:sz w:val="19"/>
              </w:rPr>
              <w:t>Mið</w:t>
            </w:r>
          </w:p>
        </w:tc>
        <w:tc>
          <w:tcPr>
            <w:tcW w:type="dxa" w:w="2304"/>
            <w:shd w:val="clear" w:color="auto" w:fill="EEF3F8"/>
          </w:tcPr>
          <w:p>
            <w:r>
              <w:rPr>
                <w:sz w:val="19"/>
              </w:rPr>
              <w:t>Þegar umferð eykst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Affiliate netverslun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Lítil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Eftir retention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sz w:val="19"/>
              </w:rPr>
              <w:t>Tossalisti Plús</w:t>
            </w:r>
          </w:p>
        </w:tc>
        <w:tc>
          <w:tcPr>
            <w:tcW w:type="dxa" w:w="1728"/>
            <w:shd w:val="clear" w:color="auto" w:fill="EEF3F8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1584"/>
            <w:shd w:val="clear" w:color="auto" w:fill="EEF3F8"/>
          </w:tcPr>
          <w:p>
            <w:r>
              <w:rPr>
                <w:sz w:val="19"/>
              </w:rPr>
              <w:t>Há (MRR)</w:t>
            </w:r>
          </w:p>
        </w:tc>
        <w:tc>
          <w:tcPr>
            <w:tcW w:type="dxa" w:w="2016"/>
            <w:shd w:val="clear" w:color="auto" w:fill="EEF3F8"/>
          </w:tcPr>
          <w:p>
            <w:r>
              <w:rPr>
                <w:sz w:val="19"/>
              </w:rPr>
              <w:t>Lítil</w:t>
            </w:r>
          </w:p>
        </w:tc>
        <w:tc>
          <w:tcPr>
            <w:tcW w:type="dxa" w:w="2304"/>
            <w:shd w:val="clear" w:color="auto" w:fill="EEF3F8"/>
          </w:tcPr>
          <w:p>
            <w:r>
              <w:rPr>
                <w:sz w:val="19"/>
              </w:rPr>
              <w:t>Eftir retention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Gagnasala/innsýn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Stór basi + samþykki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sz w:val="19"/>
              </w:rPr>
              <w:t>White-label B2B</w:t>
            </w:r>
          </w:p>
        </w:tc>
        <w:tc>
          <w:tcPr>
            <w:tcW w:type="dxa" w:w="1728"/>
            <w:shd w:val="clear" w:color="auto" w:fill="EEF3F8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1584"/>
            <w:shd w:val="clear" w:color="auto" w:fill="EEF3F8"/>
          </w:tcPr>
          <w:p>
            <w:r>
              <w:rPr>
                <w:sz w:val="19"/>
              </w:rPr>
              <w:t>Há</w:t>
            </w:r>
          </w:p>
        </w:tc>
        <w:tc>
          <w:tcPr>
            <w:tcW w:type="dxa" w:w="2016"/>
            <w:shd w:val="clear" w:color="auto" w:fill="EEF3F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04"/>
            <w:shd w:val="clear" w:color="auto" w:fill="EEF3F8"/>
          </w:tcPr>
          <w:p>
            <w:r>
              <w:rPr>
                <w:sz w:val="19"/>
              </w:rPr>
              <w:t>Síðar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F5C8A"/>
          <w:sz w:val="30"/>
        </w:rPr>
        <w:t>Tillaga um röðun</w:t>
      </w:r>
    </w:p>
    <w:p>
      <w:pPr>
        <w:spacing w:after="0"/>
      </w:pPr>
      <w:r>
        <w:t>Byrjaðu á léttu, „native“ formunum — kostaðir flokkar, vara vikunnar og kostaðar uppskriftir. Þau trufla notendaupplifun minnst og innviðirnir eru þegar til. Þung áskrift, gagnasala og affiliate-samþættingar borga sig fyrst þegar sannað er að fólk komi aftur. Haltu auglýsingabönnum hófstilltum þar til umferð réttlætir þá.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