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1.503335043612"/>
        <w:gridCol w:w="2324.391995895331"/>
        <w:gridCol w:w="1373.5043612108775"/>
        <w:gridCol w:w="1373.5043612108775"/>
        <w:gridCol w:w="2137.0959466393024"/>
        <w:tblGridChange w:id="0">
          <w:tblGrid>
            <w:gridCol w:w="2151.503335043612"/>
            <w:gridCol w:w="2324.391995895331"/>
            <w:gridCol w:w="1373.5043612108775"/>
            <w:gridCol w:w="1373.5043612108775"/>
            <w:gridCol w:w="2137.095946639302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Questionnaire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A 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B 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 – Define the Scope of the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Security cameras installed to monitor the data center?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A: CCTV with 30-day retention, B: Not installed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Are devices, OS, and access layers clearly listed for audit?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Both maintain asset documentation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Is there a record of network topology diagrams?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 lacks updated topology diagram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 – Determine Threats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Is a list of potential cybersecurity threats documented?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 uses threat modeling tools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Do you conduct risk assessments regularly?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Annually for A; only post-incident for B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Is there protection against DDoS and malware?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 lacks advanced DDoS protection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 – Review and Edit Internal Policies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 you have a network security policy?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 reviews quarterly; B yearly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Do you have a remote access policy?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 lacks VPN-based remote policy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Do you have a documented data backup policy?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Daily incremental backups for 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 – Ensure Safety of Sensitive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Is access to sensitive data role-based?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Both follow RBAC principle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Is sensitive data encrypted at rest and in transit?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 lacks TLS encryption in some APIs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Is sensitive data stored separately from general data?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Segregated database servers in both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5 – Inspect the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Are server configurations reviewed regularly?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 has outdated configuration records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Are DNS/WINS and static IP settings properly configured?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Verified in both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Are all servers updated with latest patches?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 delayed updates by 2 months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6 – Examine Training Logs and Use Log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Are staff trained regularly on cybersecurity practices?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A: quarterly; B: yearly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Are logs monitored automatically for suspicious activity?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 relies on manual checks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Are inactive devices removed from the network promptly?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 lacks de-provisioning protocol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7 – Safe Internet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Are firewalls and malware scanners in place?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Both use enterprise-grade firewalls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Is internet traffic encrypted and filtered?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 lacks HTTPS enforcement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Are bandwidth and port restrictions applied?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Optimized for internal networks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8 – Penetration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Is penetration testing performed regularly?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 only performs internal vulnerability scans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Are vulnerabilities tracked and remediated?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 delays patch closure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Are unauthorized access points identified and removed?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Both follow MAC filtering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9 – Share the Network Security Audit with the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Are audit findings shared with the IT/security team?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 uses internal dashboard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Is employee feedback collected post-audit?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 does not conduct audit meetings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Are improvement plans created based on audit results?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Both document corrective actions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10 – Regular Network Security Audits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Is audit frequency defined (once/twice per year)?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B has no fixed audit schedule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Is there an audit report repository maintained?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Maintained in internal portal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Are audits used to improve security policies?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Periodic updates in both firms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