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Contexte et Objectifs de l'Étude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L’objectif est d’évaluer l’exposition de la compagnie au risque sismique en Algérie et de mesurer l’adéquation entre le capital souscrit et la capacité de résilience financière du portefeuille.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Finalité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Identifier les zones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‘’surconcentration’’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et proposer des mesures d'assainissement, et les zones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‘’sous concentration’’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pour permettre l’équilibre de la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Périmètre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Portefeuille garantie Tremblement de terre, toutes catégories confondues (bien immobilier, installation commerciale, Industrielle,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Phase I : Identification et Classification du Risque (Socle RPA)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L’école doit s'appuyer sur les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Règles Parasismiques Algériennes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pour établir la cartographie de référence.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Zonage Sismique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Classification des risques selon les 5 zones réglementaires (Zone 0 : négligeable à Zone III : élevée).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Vulnérabilité Intrinsèque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Définition des critères de vulnérabilité selon le type de construction.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Phase II : Analyse du Portefeuille Assurantiel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C'est ici que l’école croise les données internes avec l'aléa sismique.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Segmentation des Données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L'analyse doit ventiler le portefeuille selon 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 Nature du Risque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bien immobilier, installation commerciale, installation Industrielle.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 Zonage RPA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Concentration du capital assuré par zone (0, I, IIa, IIb, III).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 Capital Exposé (Sum Insured)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Cumul des capitaux par commune ou par wilaya.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Analyse de Concentration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bookmarkStart w:colFirst="0" w:colLast="0" w:name="_syzpsdwg2p4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Calcul des Cumuls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Identification des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"points chauds"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(zones où le cumul des capitaux assurés dépasse la capacité de rétention de la compagnie).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Profil de perte maximale possible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Simulation d'un séisme majeur sur une zone critique pour évaluer l'impact financier théorique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(si possible).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Phase III : Diagnostic d'Équilibre et Recommandations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L’école doit fournir un diagnostic critique sur la santé du portefeuille.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Indicateurs de Vulnérabilité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Ratio Capital Exposé / Zone de Risque.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Recommandations Techniques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Politique d’implantation et mesures de prévention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Livrables Attendus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Rapport de cartographie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Visualisation SIG (Système d'Information Géographique) du portefeuille sur la carte RPA.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Tableau de bord des cumuls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 Wilaya et par catégorie de risque.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Note de recommandation stratégique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Mesures de redressement du portefeuille.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