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B6C4C">
      <w:pPr>
        <w:spacing w:before="320" w:after="20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5053965" cy="1534160"/>
            <wp:effectExtent l="0" t="0" r="3810" b="889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A734">
      <w:pPr>
        <w:spacing w:before="320" w:after="200"/>
        <w:jc w:val="center"/>
        <w:rPr>
          <w:rFonts w:hint="eastAsia" w:ascii="Times New Roman" w:hAnsi="Times New Roman"/>
          <w:b/>
          <w:sz w:val="56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56"/>
          <w:szCs w:val="28"/>
          <w:lang w:val="en-US" w:eastAsia="zh-CN"/>
        </w:rPr>
        <w:t>FPGA课程设计报告</w:t>
      </w:r>
    </w:p>
    <w:p w14:paraId="6716392E">
      <w:pPr>
        <w:spacing w:before="480" w:after="240" w:line="276" w:lineRule="auto"/>
        <w:jc w:val="center"/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ascii="Calibri" w:hAnsi="Calibri" w:eastAsia="微软雅黑"/>
          <w:b/>
          <w:color w:val="0B2545"/>
          <w:sz w:val="40"/>
        </w:rPr>
        <w:t>实验00：基于 Verilog 的 UART 图像接收与 Sobel 边缘检测 RTL 仿真报告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7"/>
          <w:kern w:val="0"/>
          <w:sz w:val="28"/>
          <w:szCs w:val="28"/>
          <w:u w:val="single" w:color="auto"/>
          <w:lang w:val="en-US" w:eastAsia="zh-CN" w:bidi="ar-SA"/>
        </w:rPr>
        <w:t xml:space="preserve">  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                   </w:t>
      </w:r>
    </w:p>
    <w:p w14:paraId="193FA037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78773F4">
      <w:pPr>
        <w:kinsoku w:val="0"/>
        <w:autoSpaceDE w:val="0"/>
        <w:autoSpaceDN w:val="0"/>
        <w:adjustRightInd w:val="0"/>
        <w:snapToGrid w:val="0"/>
        <w:spacing w:before="91" w:line="240" w:lineRule="auto"/>
        <w:ind w:left="1710"/>
        <w:jc w:val="left"/>
        <w:textAlignment w:val="baseline"/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lang w:val="en-US" w:eastAsia="en-US" w:bidi="ar-SA"/>
        </w:rPr>
        <w:t>专</w:t>
      </w:r>
      <w:r>
        <w:rPr>
          <w:rFonts w:ascii="楷体" w:hAnsi="楷体" w:eastAsia="楷体" w:cs="楷体"/>
          <w:snapToGrid w:val="0"/>
          <w:color w:val="000000"/>
          <w:spacing w:val="6"/>
          <w:kern w:val="0"/>
          <w:sz w:val="28"/>
          <w:szCs w:val="28"/>
          <w:lang w:val="en-US" w:eastAsia="en-US" w:bidi="ar-SA"/>
        </w:rPr>
        <w:t xml:space="preserve">    </w:t>
      </w:r>
      <w:r>
        <w:rPr>
          <w:rFonts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lang w:val="en-US" w:eastAsia="en-US" w:bidi="ar-SA"/>
        </w:rPr>
        <w:t xml:space="preserve">业： </w:t>
      </w:r>
      <w:r>
        <w:rPr>
          <w:rFonts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u w:val="single" w:color="auto"/>
          <w:lang w:val="en-US" w:eastAsia="en-US" w:bidi="ar-SA"/>
        </w:rPr>
        <w:t>微电子科学与工</w:t>
      </w:r>
      <w:r>
        <w:rPr>
          <w:rFonts w:hint="eastAsia"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u w:val="single" w:color="auto"/>
          <w:lang w:val="en-US" w:eastAsia="zh-CN" w:bidi="ar-SA"/>
        </w:rPr>
        <w:t xml:space="preserve">程       </w:t>
      </w:r>
      <w:r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  </w:t>
      </w:r>
      <w:r>
        <w:rPr>
          <w:rFonts w:hint="eastAsia"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zh-CN" w:bidi="ar-SA"/>
        </w:rPr>
        <w:t xml:space="preserve"> </w:t>
      </w:r>
      <w:r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 </w:t>
      </w:r>
    </w:p>
    <w:p w14:paraId="3B8D43F1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FABD9E8">
      <w:pPr>
        <w:kinsoku w:val="0"/>
        <w:autoSpaceDE w:val="0"/>
        <w:autoSpaceDN w:val="0"/>
        <w:adjustRightInd w:val="0"/>
        <w:snapToGrid w:val="0"/>
        <w:spacing w:before="91" w:line="240" w:lineRule="auto"/>
        <w:ind w:left="1706"/>
        <w:jc w:val="left"/>
        <w:textAlignment w:val="baseline"/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ascii="楷体" w:hAnsi="楷体" w:eastAsia="楷体" w:cs="楷体"/>
          <w:snapToGrid w:val="0"/>
          <w:color w:val="000000"/>
          <w:spacing w:val="-9"/>
          <w:kern w:val="0"/>
          <w:sz w:val="28"/>
          <w:szCs w:val="28"/>
          <w:lang w:val="en-US" w:eastAsia="en-US" w:bidi="ar-SA"/>
        </w:rPr>
        <w:t>班</w:t>
      </w:r>
      <w:r>
        <w:rPr>
          <w:rFonts w:ascii="楷体" w:hAnsi="楷体" w:eastAsia="楷体" w:cs="楷体"/>
          <w:snapToGrid w:val="0"/>
          <w:color w:val="000000"/>
          <w:spacing w:val="6"/>
          <w:kern w:val="0"/>
          <w:sz w:val="28"/>
          <w:szCs w:val="28"/>
          <w:lang w:val="en-US" w:eastAsia="en-US" w:bidi="ar-SA"/>
        </w:rPr>
        <w:t xml:space="preserve">    </w:t>
      </w:r>
      <w:r>
        <w:rPr>
          <w:rFonts w:ascii="楷体" w:hAnsi="楷体" w:eastAsia="楷体" w:cs="楷体"/>
          <w:snapToGrid w:val="0"/>
          <w:color w:val="000000"/>
          <w:spacing w:val="-9"/>
          <w:kern w:val="0"/>
          <w:sz w:val="28"/>
          <w:szCs w:val="28"/>
          <w:lang w:val="en-US" w:eastAsia="en-US" w:bidi="ar-SA"/>
        </w:rPr>
        <w:t>级：</w:t>
      </w:r>
      <w:r>
        <w:rPr>
          <w:rFonts w:ascii="楷体" w:hAnsi="楷体" w:eastAsia="楷体" w:cs="楷体"/>
          <w:snapToGrid w:val="0"/>
          <w:color w:val="000000"/>
          <w:spacing w:val="23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9"/>
          <w:kern w:val="0"/>
          <w:sz w:val="28"/>
          <w:szCs w:val="28"/>
          <w:u w:val="single" w:color="auto"/>
          <w:lang w:val="en-US" w:eastAsia="en-US" w:bidi="ar-SA"/>
        </w:rPr>
        <w:t>微电子</w:t>
      </w:r>
      <w:r>
        <w:rPr>
          <w:rFonts w:hint="eastAsia"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u w:val="single" w:color="auto"/>
          <w:lang w:val="en-US" w:eastAsia="zh-CN" w:bidi="ar-SA"/>
        </w:rPr>
        <w:t>2</w:t>
      </w:r>
      <w:r>
        <w:rPr>
          <w:rFonts w:ascii="楷体" w:hAnsi="楷体" w:eastAsia="楷体" w:cs="楷体"/>
          <w:snapToGrid w:val="0"/>
          <w:color w:val="000000"/>
          <w:spacing w:val="-3"/>
          <w:kern w:val="0"/>
          <w:sz w:val="28"/>
          <w:szCs w:val="28"/>
          <w:u w:val="single" w:color="auto"/>
          <w:lang w:val="en-US" w:eastAsia="en-US" w:bidi="ar-SA"/>
        </w:rPr>
        <w:t>班</w:t>
      </w:r>
      <w:r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       </w:t>
      </w:r>
    </w:p>
    <w:p w14:paraId="3381A70B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14F8234D">
      <w:pPr>
        <w:kinsoku w:val="0"/>
        <w:autoSpaceDE w:val="0"/>
        <w:autoSpaceDN w:val="0"/>
        <w:adjustRightInd w:val="0"/>
        <w:snapToGrid w:val="0"/>
        <w:spacing w:before="91" w:line="240" w:lineRule="auto"/>
        <w:ind w:left="1726"/>
        <w:jc w:val="left"/>
        <w:textAlignment w:val="baseline"/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ascii="楷体" w:hAnsi="楷体" w:eastAsia="楷体" w:cs="楷体"/>
          <w:snapToGrid w:val="0"/>
          <w:color w:val="000000"/>
          <w:spacing w:val="-4"/>
          <w:kern w:val="0"/>
          <w:sz w:val="28"/>
          <w:szCs w:val="28"/>
          <w:lang w:val="en-US" w:eastAsia="en-US" w:bidi="ar-SA"/>
        </w:rPr>
        <w:t>队    名：</w:t>
      </w:r>
      <w:r>
        <w:rPr>
          <w:rFonts w:ascii="楷体" w:hAnsi="楷体" w:eastAsia="楷体" w:cs="楷体"/>
          <w:snapToGrid w:val="0"/>
          <w:color w:val="000000"/>
          <w:spacing w:val="22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hint="eastAsia" w:ascii="楷体" w:hAnsi="楷体" w:eastAsia="楷体" w:cs="楷体"/>
          <w:snapToGrid w:val="0"/>
          <w:color w:val="000000"/>
          <w:spacing w:val="-4"/>
          <w:kern w:val="0"/>
          <w:sz w:val="28"/>
          <w:szCs w:val="28"/>
          <w:u w:val="single" w:color="auto"/>
          <w:lang w:val="en-US" w:eastAsia="en-US" w:bidi="ar-SA"/>
        </w:rPr>
        <w:t>快跑通</w:t>
      </w:r>
    </w:p>
    <w:p w14:paraId="79320622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0BB71E4">
      <w:pPr>
        <w:kinsoku w:val="0"/>
        <w:autoSpaceDE w:val="0"/>
        <w:autoSpaceDN w:val="0"/>
        <w:adjustRightInd w:val="0"/>
        <w:snapToGrid w:val="0"/>
        <w:spacing w:before="91" w:line="240" w:lineRule="auto"/>
        <w:ind w:left="1704"/>
        <w:jc w:val="left"/>
        <w:textAlignment w:val="baseline"/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</w:pPr>
      <w:r>
        <w:rPr>
          <w:rFonts w:ascii="楷体" w:hAnsi="楷体" w:eastAsia="楷体" w:cs="楷体"/>
          <w:snapToGrid w:val="0"/>
          <w:color w:val="000000"/>
          <w:spacing w:val="-4"/>
          <w:kern w:val="0"/>
          <w:sz w:val="28"/>
          <w:szCs w:val="28"/>
          <w:lang w:val="en-US" w:eastAsia="en-US" w:bidi="ar-SA"/>
        </w:rPr>
        <w:t>指导老师：</w:t>
      </w:r>
      <w:r>
        <w:rPr>
          <w:rFonts w:ascii="楷体" w:hAnsi="楷体" w:eastAsia="楷体" w:cs="楷体"/>
          <w:snapToGrid w:val="0"/>
          <w:color w:val="000000"/>
          <w:spacing w:val="25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4"/>
          <w:kern w:val="0"/>
          <w:sz w:val="28"/>
          <w:szCs w:val="28"/>
          <w:u w:val="single" w:color="auto"/>
          <w:lang w:val="en-US" w:eastAsia="en-US" w:bidi="ar-SA"/>
        </w:rPr>
        <w:t>周贤</w:t>
      </w:r>
      <w:r>
        <w:rPr>
          <w:rFonts w:hint="eastAsia" w:ascii="楷体" w:hAnsi="楷体" w:eastAsia="楷体" w:cs="楷体"/>
          <w:snapToGrid w:val="0"/>
          <w:color w:val="000000"/>
          <w:spacing w:val="-4"/>
          <w:kern w:val="0"/>
          <w:sz w:val="28"/>
          <w:szCs w:val="28"/>
          <w:u w:val="single" w:color="auto"/>
          <w:lang w:val="en-US" w:eastAsia="zh-CN" w:bidi="ar-SA"/>
        </w:rPr>
        <w:t>中</w:t>
      </w:r>
      <w:r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        </w:t>
      </w:r>
    </w:p>
    <w:p w14:paraId="39B0C2B7">
      <w:pPr>
        <w:kinsoku w:val="0"/>
        <w:autoSpaceDE w:val="0"/>
        <w:autoSpaceDN w:val="0"/>
        <w:adjustRightInd w:val="0"/>
        <w:snapToGrid w:val="0"/>
        <w:spacing w:before="91" w:line="240" w:lineRule="auto"/>
        <w:ind w:left="1704"/>
        <w:jc w:val="left"/>
        <w:textAlignment w:val="baseline"/>
        <w:rPr>
          <w:rFonts w:ascii="Times New Roman" w:hAnsi="Times New Roman"/>
          <w:sz w:val="24"/>
        </w:rPr>
      </w:pPr>
      <w:r>
        <w:rPr>
          <w:rFonts w:ascii="楷体" w:hAnsi="楷体" w:eastAsia="楷体" w:cs="楷体"/>
          <w:snapToGrid w:val="0"/>
          <w:color w:val="000000"/>
          <w:kern w:val="0"/>
          <w:sz w:val="28"/>
          <w:szCs w:val="28"/>
          <w:u w:val="single" w:color="auto"/>
          <w:lang w:val="en-US" w:eastAsia="en-US" w:bidi="ar-SA"/>
        </w:rPr>
        <w:t xml:space="preserve">  </w:t>
      </w:r>
    </w:p>
    <w:p w14:paraId="102F069A">
      <w:pPr>
        <w:spacing w:before="560" w:after="20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799590" cy="499745"/>
            <wp:effectExtent l="0" t="0" r="635" b="508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D8D">
      <w:pPr>
        <w:spacing w:before="400" w:after="20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2026 年 6 月 1</w:t>
      </w:r>
      <w:r>
        <w:rPr>
          <w:rFonts w:hint="eastAsia" w:ascii="Times New Roman" w:hAnsi="Times New Roman"/>
          <w:sz w:val="24"/>
          <w:lang w:val="en-US" w:eastAsia="zh-CN"/>
        </w:rPr>
        <w:t>8</w:t>
      </w:r>
      <w:r>
        <w:rPr>
          <w:rFonts w:ascii="Times New Roman" w:hAnsi="Times New Roman"/>
          <w:sz w:val="24"/>
        </w:rPr>
        <w:t xml:space="preserve"> 日</w:t>
      </w:r>
    </w:p>
    <w:p w14:paraId="7BDD411A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1. 实验目标与验收要求</w:t>
      </w:r>
    </w:p>
    <w:p w14:paraId="4D613F6B">
      <w:pPr>
        <w:pStyle w:val="14"/>
        <w:spacing w:before="0" w:after="80" w:line="280" w:lineRule="auto"/>
      </w:pPr>
      <w:r>
        <w:rPr>
          <w:rFonts w:ascii="Calibri" w:hAnsi="Calibri" w:eastAsia="微软雅黑"/>
          <w:sz w:val="22"/>
        </w:rPr>
        <w:t>说明 128 x 72 RGB888 图像如何以字节流方式输入。</w:t>
      </w:r>
    </w:p>
    <w:p w14:paraId="418B7F92">
      <w:pPr>
        <w:pStyle w:val="14"/>
        <w:spacing w:before="0" w:after="80" w:line="280" w:lineRule="auto"/>
      </w:pPr>
      <w:r>
        <w:rPr>
          <w:rFonts w:ascii="Calibri" w:hAnsi="Calibri" w:eastAsia="微软雅黑"/>
          <w:sz w:val="22"/>
        </w:rPr>
        <w:t>说明 UART 帧头、行头与像素数据格式。</w:t>
      </w:r>
    </w:p>
    <w:p w14:paraId="336A7852">
      <w:pPr>
        <w:pStyle w:val="14"/>
        <w:spacing w:before="0" w:after="80" w:line="280" w:lineRule="auto"/>
      </w:pPr>
      <w:r>
        <w:rPr>
          <w:rFonts w:ascii="Calibri" w:hAnsi="Calibri" w:eastAsia="微软雅黑"/>
          <w:sz w:val="22"/>
        </w:rPr>
        <w:t>说明 rgb_to_gray 的灰度转换方法，以及 sobel_core 产生边缘强度的过程。</w:t>
      </w:r>
    </w:p>
    <w:p w14:paraId="0278B008">
      <w:pPr>
        <w:pStyle w:val="14"/>
        <w:spacing w:before="0" w:after="80" w:line="280" w:lineRule="auto"/>
      </w:pPr>
      <w:r>
        <w:rPr>
          <w:rFonts w:ascii="Calibri" w:hAnsi="Calibri" w:eastAsia="微软雅黑"/>
          <w:sz w:val="22"/>
        </w:rPr>
        <w:t>提交输入图、Sobel 输出图和包含关键握手信号的波形截图。</w:t>
      </w:r>
    </w:p>
    <w:p w14:paraId="53CBE878">
      <w:pPr>
        <w:pStyle w:val="14"/>
        <w:spacing w:before="0" w:after="80" w:line="280" w:lineRule="auto"/>
      </w:pPr>
      <w:r>
        <w:rPr>
          <w:rFonts w:ascii="Calibri" w:hAnsi="Calibri" w:eastAsia="微软雅黑"/>
          <w:sz w:val="22"/>
        </w:rPr>
        <w:t>根据波形判断一帧图像处理是否完成。</w:t>
      </w:r>
    </w:p>
    <w:p w14:paraId="26604AB1">
      <w:r>
        <w:rPr>
          <w:rFonts w:ascii="Calibri" w:hAnsi="Calibri" w:eastAsia="微软雅黑"/>
          <w:b/>
          <w:color w:val="2E74B5"/>
          <w:sz w:val="32"/>
        </w:rPr>
        <w:t>2. 实验环境与文件组成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2700"/>
        <w:gridCol w:w="4560"/>
      </w:tblGrid>
      <w:tr w14:paraId="3B3E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shd w:val="clear" w:color="auto" w:fill="F2F4F7"/>
            <w:vAlign w:val="center"/>
          </w:tcPr>
          <w:p w14:paraId="559077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类别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6D0661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文件</w:t>
            </w:r>
          </w:p>
        </w:tc>
        <w:tc>
          <w:tcPr>
            <w:tcW w:w="4560" w:type="dxa"/>
            <w:shd w:val="clear" w:color="auto" w:fill="F2F4F7"/>
            <w:vAlign w:val="center"/>
          </w:tcPr>
          <w:p w14:paraId="467A62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作用</w:t>
            </w:r>
          </w:p>
        </w:tc>
      </w:tr>
      <w:tr w14:paraId="3D05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2324D7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顶层</w:t>
            </w:r>
          </w:p>
        </w:tc>
        <w:tc>
          <w:tcPr>
            <w:tcW w:w="2700" w:type="dxa"/>
            <w:vAlign w:val="center"/>
          </w:tcPr>
          <w:p w14:paraId="3A24314A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sobel_system.v</w:t>
            </w:r>
          </w:p>
        </w:tc>
        <w:tc>
          <w:tcPr>
            <w:tcW w:w="4560" w:type="dxa"/>
            <w:vAlign w:val="center"/>
          </w:tcPr>
          <w:p w14:paraId="694B53D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连接 UART 接收、帧解析、灰度转换、Sobel 核心和视频流模型。</w:t>
            </w:r>
          </w:p>
        </w:tc>
      </w:tr>
      <w:tr w14:paraId="5FA7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09EB74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接收</w:t>
            </w:r>
          </w:p>
        </w:tc>
        <w:tc>
          <w:tcPr>
            <w:tcW w:w="2700" w:type="dxa"/>
            <w:vAlign w:val="center"/>
          </w:tcPr>
          <w:p w14:paraId="0410349D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uart_rx.v</w:t>
            </w:r>
          </w:p>
        </w:tc>
        <w:tc>
          <w:tcPr>
            <w:tcW w:w="4560" w:type="dxa"/>
            <w:vAlign w:val="center"/>
          </w:tcPr>
          <w:p w14:paraId="2BAE81AA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按设定时钟和波特率接收串口数据，输出 rx_valid/rx_data。</w:t>
            </w:r>
          </w:p>
        </w:tc>
      </w:tr>
      <w:tr w14:paraId="0F6C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1566662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帧解析</w:t>
            </w:r>
          </w:p>
        </w:tc>
        <w:tc>
          <w:tcPr>
            <w:tcW w:w="2700" w:type="dxa"/>
            <w:vAlign w:val="center"/>
          </w:tcPr>
          <w:p w14:paraId="4F3509C0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image_frame_rx.v</w:t>
            </w:r>
          </w:p>
        </w:tc>
        <w:tc>
          <w:tcPr>
            <w:tcW w:w="4560" w:type="dxa"/>
            <w:vAlign w:val="center"/>
          </w:tcPr>
          <w:p w14:paraId="0A3267C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识别帧头、行头和 RGB888 像素，产生 rgb_valid 及像素坐标。</w:t>
            </w:r>
          </w:p>
        </w:tc>
      </w:tr>
      <w:tr w14:paraId="01F4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18B013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灰度</w:t>
            </w:r>
          </w:p>
        </w:tc>
        <w:tc>
          <w:tcPr>
            <w:tcW w:w="2700" w:type="dxa"/>
            <w:vAlign w:val="center"/>
          </w:tcPr>
          <w:p w14:paraId="54517155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rgb_to_gray.v</w:t>
            </w:r>
          </w:p>
        </w:tc>
        <w:tc>
          <w:tcPr>
            <w:tcW w:w="4560" w:type="dxa"/>
            <w:vAlign w:val="center"/>
          </w:tcPr>
          <w:p w14:paraId="6C38D6B0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用定点系数把 R/G/B 转换为 8 位灰度。</w:t>
            </w:r>
          </w:p>
        </w:tc>
      </w:tr>
      <w:tr w14:paraId="3A91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25465A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边缘</w:t>
            </w:r>
          </w:p>
        </w:tc>
        <w:tc>
          <w:tcPr>
            <w:tcW w:w="2700" w:type="dxa"/>
            <w:vAlign w:val="center"/>
          </w:tcPr>
          <w:p w14:paraId="48011DB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sobel_core.v</w:t>
            </w:r>
          </w:p>
        </w:tc>
        <w:tc>
          <w:tcPr>
            <w:tcW w:w="4560" w:type="dxa"/>
            <w:vAlign w:val="center"/>
          </w:tcPr>
          <w:p w14:paraId="0027D71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用两行缓存和 3 x 3 窗口计算 Sobel 边缘强度。</w:t>
            </w:r>
          </w:p>
        </w:tc>
      </w:tr>
      <w:tr w14:paraId="24A5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30265E8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结果</w:t>
            </w:r>
          </w:p>
        </w:tc>
        <w:tc>
          <w:tcPr>
            <w:tcW w:w="2700" w:type="dxa"/>
            <w:vAlign w:val="center"/>
          </w:tcPr>
          <w:p w14:paraId="32170686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input_rgb.png / sobel_out.png</w:t>
            </w:r>
          </w:p>
        </w:tc>
        <w:tc>
          <w:tcPr>
            <w:tcW w:w="4560" w:type="dxa"/>
            <w:vAlign w:val="center"/>
          </w:tcPr>
          <w:p w14:paraId="02E62B28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输入图像预览与仿真生成的边缘输出。</w:t>
            </w:r>
          </w:p>
        </w:tc>
      </w:tr>
    </w:tbl>
    <w:p w14:paraId="2DF2F08B">
      <w:pPr>
        <w:spacing w:before="80" w:after="0" w:line="240" w:lineRule="auto"/>
        <w:jc w:val="both"/>
        <w:rPr>
          <w:rFonts w:hint="eastAsia" w:eastAsia="微软雅黑"/>
          <w:lang w:eastAsia="zh-CN"/>
        </w:rPr>
      </w:pPr>
      <w:bookmarkStart w:id="0" w:name="_GoBack"/>
      <w:bookmarkEnd w:id="0"/>
      <w:r>
        <w:rPr>
          <w:rFonts w:hint="eastAsia" w:eastAsia="微软雅黑"/>
          <w:lang w:eastAsia="zh-CN"/>
        </w:rPr>
        <w:drawing>
          <wp:inline distT="0" distB="0" distL="114300" distR="114300">
            <wp:extent cx="5941060" cy="2433320"/>
            <wp:effectExtent l="0" t="0" r="2540" b="5080"/>
            <wp:docPr id="11" name="图片 11" descr="bf7b3cd3-356d-4d86-9639-05d6c63d9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f7b3cd3-356d-4d86-9639-05d6c63d963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00D2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1  Windows PowerShell 仿真运行结果截图</w:t>
      </w:r>
    </w:p>
    <w:p w14:paraId="508867C3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图 1 中可以看到脚本运行后生成 VCD 波形文件、输入图和 Sobel 输出图，并打印 “Sobel RGB888 simulation passed”，说明测试平台已完成一次完整仿真。</w:t>
      </w:r>
    </w:p>
    <w:p w14:paraId="12D04997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3. UART 图像帧格式</w:t>
      </w:r>
    </w:p>
    <w:p w14:paraId="561FBF3B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仿真输入不是直接把像素送入 Sobel 核心，而是先模拟成 UART 字节流。该设计与后续上板实验保持同一帧协议，便于从仿真迁移到硬件验证。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500F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</w:tcPr>
          <w:p w14:paraId="176F773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9"/>
              </w:rPr>
              <w:t>frame header: 55 aa width_l width_h height_l height_h 18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line header : 33 cc row_l row_h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pixels      : R G B, repeated 128 times per row</w:t>
            </w:r>
          </w:p>
        </w:tc>
      </w:tr>
    </w:tbl>
    <w:p w14:paraId="06711FC2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其中 0x18 表示 RGB888；width 和 height 使用低字节在前的 16 位字段。本实验图像尺寸为 128 x 72，每行 128 个像素，每个像素 3 字节。</w:t>
      </w:r>
    </w:p>
    <w:p w14:paraId="1227AAD0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4. 系统数据流与模块功能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500"/>
        <w:gridCol w:w="2600"/>
        <w:gridCol w:w="2560"/>
      </w:tblGrid>
      <w:tr w14:paraId="6950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0BD6C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阶段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0E029F4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输入/输出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05AC40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关键模块</w:t>
            </w:r>
          </w:p>
        </w:tc>
        <w:tc>
          <w:tcPr>
            <w:tcW w:w="2560" w:type="dxa"/>
            <w:shd w:val="clear" w:color="auto" w:fill="F2F4F7"/>
            <w:vAlign w:val="center"/>
          </w:tcPr>
          <w:p w14:paraId="267BDC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 w14:paraId="6D5A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34B10C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字节接收</w:t>
            </w:r>
          </w:p>
        </w:tc>
        <w:tc>
          <w:tcPr>
            <w:tcW w:w="2500" w:type="dxa"/>
            <w:vAlign w:val="center"/>
          </w:tcPr>
          <w:p w14:paraId="17B56657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uart_rx_i -&gt; rx_data</w:t>
            </w:r>
          </w:p>
        </w:tc>
        <w:tc>
          <w:tcPr>
            <w:tcW w:w="2600" w:type="dxa"/>
            <w:vAlign w:val="center"/>
          </w:tcPr>
          <w:p w14:paraId="799175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uart_rx</w:t>
            </w:r>
          </w:p>
        </w:tc>
        <w:tc>
          <w:tcPr>
            <w:tcW w:w="2560" w:type="dxa"/>
            <w:vAlign w:val="center"/>
          </w:tcPr>
          <w:p w14:paraId="04282459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空闲检测起始位，按 CLKS_PER_BIT 采样 8 位数据并在停止位后拉高 rx_valid。</w:t>
            </w:r>
          </w:p>
        </w:tc>
      </w:tr>
      <w:tr w14:paraId="266D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393B7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帧解析</w:t>
            </w:r>
          </w:p>
        </w:tc>
        <w:tc>
          <w:tcPr>
            <w:tcW w:w="2500" w:type="dxa"/>
            <w:vAlign w:val="center"/>
          </w:tcPr>
          <w:p w14:paraId="705B0317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rx_data -&gt; RGB + 坐标</w:t>
            </w:r>
          </w:p>
        </w:tc>
        <w:tc>
          <w:tcPr>
            <w:tcW w:w="2600" w:type="dxa"/>
            <w:vAlign w:val="center"/>
          </w:tcPr>
          <w:p w14:paraId="6FF7949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image_frame_rx</w:t>
            </w:r>
          </w:p>
        </w:tc>
        <w:tc>
          <w:tcPr>
            <w:tcW w:w="2560" w:type="dxa"/>
            <w:vAlign w:val="center"/>
          </w:tcPr>
          <w:p w14:paraId="0FAEDC36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状态机识别 55 aa 帧头、33 cc 行头，并输出 r/g/b、x/y。</w:t>
            </w:r>
          </w:p>
        </w:tc>
      </w:tr>
      <w:tr w14:paraId="47E2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516FDEF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灰度转换</w:t>
            </w:r>
          </w:p>
        </w:tc>
        <w:tc>
          <w:tcPr>
            <w:tcW w:w="2500" w:type="dxa"/>
            <w:vAlign w:val="center"/>
          </w:tcPr>
          <w:p w14:paraId="7E04C55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RGB -&gt; gray</w:t>
            </w:r>
          </w:p>
        </w:tc>
        <w:tc>
          <w:tcPr>
            <w:tcW w:w="2600" w:type="dxa"/>
            <w:vAlign w:val="center"/>
          </w:tcPr>
          <w:p w14:paraId="337210E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rgb_to_gray</w:t>
            </w:r>
          </w:p>
        </w:tc>
        <w:tc>
          <w:tcPr>
            <w:tcW w:w="2560" w:type="dxa"/>
            <w:vAlign w:val="center"/>
          </w:tcPr>
          <w:p w14:paraId="7CC59A2E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使用 77R + 150G + 29B 后右移 8 位，近似 0.299R + 0.587G + 0.114B。</w:t>
            </w:r>
          </w:p>
        </w:tc>
      </w:tr>
      <w:tr w14:paraId="559B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C6F42A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边缘检测</w:t>
            </w:r>
          </w:p>
        </w:tc>
        <w:tc>
          <w:tcPr>
            <w:tcW w:w="2500" w:type="dxa"/>
            <w:vAlign w:val="center"/>
          </w:tcPr>
          <w:p w14:paraId="7BF60019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gray -&gt; edge_data</w:t>
            </w:r>
          </w:p>
        </w:tc>
        <w:tc>
          <w:tcPr>
            <w:tcW w:w="2600" w:type="dxa"/>
            <w:vAlign w:val="center"/>
          </w:tcPr>
          <w:p w14:paraId="059BDF7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sobel_core</w:t>
            </w:r>
          </w:p>
        </w:tc>
        <w:tc>
          <w:tcPr>
            <w:tcW w:w="2560" w:type="dxa"/>
            <w:vAlign w:val="center"/>
          </w:tcPr>
          <w:p w14:paraId="2CD749E4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两行缓存构造 3 x 3 窗口，计算 Gx、Gy，并用 |Gx| + |Gy| 得到边缘强度。</w:t>
            </w:r>
          </w:p>
        </w:tc>
      </w:tr>
      <w:tr w14:paraId="1608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875A6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视频输出</w:t>
            </w:r>
          </w:p>
        </w:tc>
        <w:tc>
          <w:tcPr>
            <w:tcW w:w="2500" w:type="dxa"/>
            <w:vAlign w:val="center"/>
          </w:tcPr>
          <w:p w14:paraId="0A48760F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edge_data -&gt; RGB 灰度流</w:t>
            </w:r>
          </w:p>
        </w:tc>
        <w:tc>
          <w:tcPr>
            <w:tcW w:w="2600" w:type="dxa"/>
            <w:vAlign w:val="center"/>
          </w:tcPr>
          <w:p w14:paraId="24B5E8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video_stream_model</w:t>
            </w:r>
          </w:p>
        </w:tc>
        <w:tc>
          <w:tcPr>
            <w:tcW w:w="2560" w:type="dxa"/>
            <w:vAlign w:val="center"/>
          </w:tcPr>
          <w:p w14:paraId="077C05EE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把 Sobel 强度复制到 RGB 三通道，形成可保存和观察的输出图。</w:t>
            </w:r>
          </w:p>
        </w:tc>
      </w:tr>
    </w:tbl>
    <w:p w14:paraId="4C9461C6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4.1 灰度转换实现</w:t>
      </w:r>
    </w:p>
    <w:p w14:paraId="3ECD1257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rgb_to_gray.v 使用移位友好的定点系数实现灰度化：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3E77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</w:tcPr>
          <w:p w14:paraId="3E89779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9"/>
              </w:rPr>
              <w:t>gray_calc = r * 77 + g * 150 + b * 29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gray      = gray_calc[15:8]</w:t>
            </w:r>
          </w:p>
        </w:tc>
      </w:tr>
    </w:tbl>
    <w:p w14:paraId="7D960084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77、150、29 的和为 256，因此取高 8 位相当于除以 256，硬件上比浮点计算更容易综合。模块同时延迟传递 x/y 坐标，使后级能知道每个灰度像素的位置。</w:t>
      </w:r>
    </w:p>
    <w:p w14:paraId="55352DE5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4.2 Sobel 核心实现</w:t>
      </w:r>
    </w:p>
    <w:p w14:paraId="262ADACC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sobel_core.v 使用 line0 和 line1 作为两行缓存，并维护 top/mid/bot 三列移位寄存器，形成 3 x 3 窗口。核心计算如下：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3CCB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</w:tcPr>
          <w:p w14:paraId="5F3E5AC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9"/>
              </w:rPr>
              <w:t>Gx = -top0 + top2 - 2*mid0 + 2*mid2 - bot0 + bot2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Gy = -top0 - 2*top1 - top2 + bot0 + 2*bot1 + bot2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mag = abs(Gx) + abs(Gy)</w:t>
            </w:r>
            <w:r>
              <w:br w:type="textWrapping"/>
            </w:r>
            <w:r>
              <w:rPr>
                <w:rFonts w:ascii="Consolas" w:hAnsi="Consolas" w:eastAsia="微软雅黑"/>
                <w:sz w:val="19"/>
              </w:rPr>
              <w:t>edge_data = mag &gt; 255 ? 255 : mag[7:0]</w:t>
            </w:r>
          </w:p>
        </w:tc>
      </w:tr>
    </w:tbl>
    <w:p w14:paraId="44B7FB03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边界像素因缺少完整邻域而输出 0。帧末尾通过 flush_active 补齐底边与右边输出，并在最后一个输出完成后拉高 edge_frame_done。</w:t>
      </w:r>
    </w:p>
    <w:p w14:paraId="5ED7F44E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5. 仿真过程与关键波形</w:t>
      </w:r>
    </w:p>
    <w:p w14:paraId="5330726D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仿真先由脚本生成输入数据，再调用 iverilog/vvp 编译并运行 testbench。完成后 build 目录中应包含 input_rgb.png、sobel_out.pgm、sobel_out.png 和 sobel_system_tb.vcd。</w:t>
      </w:r>
    </w:p>
    <w:p w14:paraId="457AE80D">
      <w:pPr>
        <w:spacing w:before="80" w:after="0" w:line="240" w:lineRule="auto"/>
        <w:jc w:val="center"/>
      </w:pPr>
    </w:p>
    <w:p w14:paraId="63CE16A8">
      <w:pPr>
        <w:spacing w:before="80" w:after="0" w:line="240" w:lineRule="auto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4075" cy="1241425"/>
            <wp:effectExtent l="0" t="0" r="0" b="6350"/>
            <wp:docPr id="13" name="图片 13" descr="3ef1bc7d4a685570840b628a21be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ef1bc7d4a685570840b628a21be00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D138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3  关键波形截图：rgb_valid、gray_valid、edge_valid 等信号（本地提供图片）</w:t>
      </w:r>
    </w:p>
    <w:p w14:paraId="6C3F6664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图 3 中 frame_start 在帧头解析完成后出现脉冲；rgb_valid 表示帧解析模块输出有效 RGB 像素；gray_valid 随灰度转换延迟后有效；edge_valid 在 Sobel 窗口满足计算条件后持续出现。最后 edge_frame_done 或 video_frame_done 可作为一帧处理完成的判断依据。</w:t>
      </w:r>
    </w:p>
    <w:p w14:paraId="550F1E72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6. 图像结果与现象分析</w:t>
      </w:r>
    </w:p>
    <w:p w14:paraId="0F167696">
      <w:pPr>
        <w:spacing w:before="80" w:after="0" w:line="240" w:lineRule="auto"/>
        <w:jc w:val="center"/>
      </w:pPr>
      <w:r>
        <w:drawing>
          <wp:inline distT="0" distB="0" distL="114300" distR="114300">
            <wp:extent cx="3108960" cy="174879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5008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4  输入  图像</w:t>
      </w:r>
    </w:p>
    <w:p w14:paraId="7F413A0C">
      <w:pPr>
        <w:spacing w:before="80" w:after="0" w:line="240" w:lineRule="auto"/>
        <w:jc w:val="center"/>
      </w:pPr>
      <w:r>
        <w:drawing>
          <wp:inline distT="0" distB="0" distL="114300" distR="114300">
            <wp:extent cx="3108960" cy="174879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9FDA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5  Sobel 边缘检测输出图</w:t>
      </w:r>
    </w:p>
    <w:p w14:paraId="522D72C7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从图 4 到图 5 可以看到，Sobel 输出主要保留亮度突变位置：中心垂直线、斜边和矩形边缘被增强，渐变平坦区域则明显变暗。这与 Sobel 算子检测一阶梯度的预期一致。</w:t>
      </w:r>
    </w:p>
    <w:p w14:paraId="681AAD3A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图中边缘亮度不是简单二值化结果，而是 |Gx| + |Gy| 的饱和值；因此强边缘接近白色，弱边缘和背景纹理表现为较暗的灰度。</w:t>
      </w:r>
    </w:p>
    <w:p w14:paraId="1AEFE4B8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7. 可选扩展：更换输入图片并重新仿真</w:t>
      </w:r>
    </w:p>
    <w:p w14:paraId="3E5F11C1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参考实验说明要求至少完成一项基础扩展。本次扩展选择“更换输入图片并重新仿真”，并结合本地文件夹中的 input_rgb.png、sobel_out.png、sobel_out-1.png、sobel_out-2.png 以及扩展波形截图，对输入变化、输出边缘和时序响应进行更完整的分析。</w:t>
      </w:r>
    </w:p>
    <w:p w14:paraId="6B75F76C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7.1 扩展目的与修改思路</w:t>
      </w:r>
    </w:p>
    <w:p w14:paraId="27DBBB2B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基础实验已经证明了默认图像能够通过 UART 字节流进入 RTL 系统并得到 Sobel 输出。扩展实验的目的不是修改算法结构，而是更换输入图像内容，观察同一条 RTL 数据链在不同边缘形状下的响应是否合理。这样可以进一步验证坐标传递、行缓存窗口扫描和边界处理逻辑。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2900"/>
        <w:gridCol w:w="4260"/>
      </w:tblGrid>
      <w:tr w14:paraId="1796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F2F4F7"/>
            <w:vAlign w:val="center"/>
          </w:tcPr>
          <w:p w14:paraId="53A28D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扩展项</w:t>
            </w:r>
          </w:p>
        </w:tc>
        <w:tc>
          <w:tcPr>
            <w:tcW w:w="2900" w:type="dxa"/>
            <w:shd w:val="clear" w:color="auto" w:fill="F2F4F7"/>
            <w:vAlign w:val="center"/>
          </w:tcPr>
          <w:p w14:paraId="47EE17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本地证据文件</w:t>
            </w:r>
          </w:p>
        </w:tc>
        <w:tc>
          <w:tcPr>
            <w:tcW w:w="4260" w:type="dxa"/>
            <w:shd w:val="clear" w:color="auto" w:fill="F2F4F7"/>
            <w:vAlign w:val="center"/>
          </w:tcPr>
          <w:p w14:paraId="5A5D877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观察重点</w:t>
            </w:r>
          </w:p>
        </w:tc>
      </w:tr>
      <w:tr w14:paraId="0179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6D4A730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更换输入图</w:t>
            </w:r>
          </w:p>
        </w:tc>
        <w:tc>
          <w:tcPr>
            <w:tcW w:w="2900" w:type="dxa"/>
            <w:vAlign w:val="center"/>
          </w:tcPr>
          <w:p w14:paraId="15D5D98F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input_rgb.png</w:t>
            </w:r>
          </w:p>
        </w:tc>
        <w:tc>
          <w:tcPr>
            <w:tcW w:w="4260" w:type="dxa"/>
            <w:vAlign w:val="center"/>
          </w:tcPr>
          <w:p w14:paraId="0D6D436B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灰度渐变背景、绿色竖线、黄色圆环是否能形成可分辨边缘。</w:t>
            </w:r>
          </w:p>
        </w:tc>
      </w:tr>
      <w:tr w14:paraId="32C2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35775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重新生成输出</w:t>
            </w:r>
          </w:p>
        </w:tc>
        <w:tc>
          <w:tcPr>
            <w:tcW w:w="2900" w:type="dxa"/>
            <w:vAlign w:val="center"/>
          </w:tcPr>
          <w:p w14:paraId="5A9CC03D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sobel_out.png</w:t>
            </w:r>
          </w:p>
        </w:tc>
        <w:tc>
          <w:tcPr>
            <w:tcW w:w="4260" w:type="dxa"/>
            <w:vAlign w:val="center"/>
          </w:tcPr>
          <w:p w14:paraId="00EC7A0C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圆环边缘和竖线边缘是否在 Sobel 输出中被突出。</w:t>
            </w:r>
          </w:p>
        </w:tc>
      </w:tr>
      <w:tr w14:paraId="14A4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78E473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重复输出对比</w:t>
            </w:r>
          </w:p>
        </w:tc>
        <w:tc>
          <w:tcPr>
            <w:tcW w:w="2900" w:type="dxa"/>
            <w:vAlign w:val="center"/>
          </w:tcPr>
          <w:p w14:paraId="6A768005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sobel_out-1.png / sobel_out-2.png</w:t>
            </w:r>
          </w:p>
        </w:tc>
        <w:tc>
          <w:tcPr>
            <w:tcW w:w="4260" w:type="dxa"/>
            <w:vAlign w:val="center"/>
          </w:tcPr>
          <w:p w14:paraId="66284B7D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多次保存的输出是否保持主要结构一致，是否存在边界差异。</w:t>
            </w:r>
          </w:p>
        </w:tc>
      </w:tr>
      <w:tr w14:paraId="0AAA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70FEA7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扩展波形观察</w:t>
            </w:r>
          </w:p>
        </w:tc>
        <w:tc>
          <w:tcPr>
            <w:tcW w:w="2900" w:type="dxa"/>
            <w:vAlign w:val="center"/>
          </w:tcPr>
          <w:p w14:paraId="04BD65A2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f3f6f41149a57971b596615f9e82584f.png</w:t>
            </w:r>
          </w:p>
        </w:tc>
        <w:tc>
          <w:tcPr>
            <w:tcW w:w="4260" w:type="dxa"/>
            <w:vAlign w:val="center"/>
          </w:tcPr>
          <w:p w14:paraId="5A1CC2FD">
            <w:pPr>
              <w:spacing w:before="0" w:after="0" w:line="259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frame_err、video_valid、line_index 等信号是否符合预期。</w:t>
            </w:r>
          </w:p>
        </w:tc>
      </w:tr>
    </w:tbl>
    <w:p w14:paraId="2FDB9661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7.2 扩展输入图像特征</w:t>
      </w:r>
    </w:p>
    <w:p w14:paraId="1C2199D6">
      <w:pPr>
        <w:spacing w:before="80" w:after="0" w:line="240" w:lineRule="auto"/>
        <w:jc w:val="center"/>
      </w:pPr>
      <w:r>
        <w:drawing>
          <wp:inline distT="0" distB="0" distL="114300" distR="114300">
            <wp:extent cx="3108960" cy="1748790"/>
            <wp:effectExtent l="0" t="0" r="571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4E4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6  扩展输入图：渐变背景、绿色竖线和黄色圆环</w:t>
      </w:r>
    </w:p>
    <w:p w14:paraId="3F3B3DAA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扩展输入图仍保持 128 x 72 RGB888 尺寸，满足实验帧格式对 width 和 height 的要求。图像中包含三类典型区域：第一类是从左到右变化的灰度背景，用来观察缓慢亮度变化是否会产生弱边缘；第二类是左侧绿色竖线，它在水平方向上产生明显颜色突变；第三类是黄色圆环，其内外边界都存在亮度和颜色变化，适合观察 Sobel 对曲线边缘的响应。</w:t>
      </w:r>
    </w:p>
    <w:p w14:paraId="067D659D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7.3 扩展输出结果对比</w:t>
      </w:r>
    </w:p>
    <w:p w14:paraId="381D7937">
      <w:pPr>
        <w:spacing w:before="80" w:after="0" w:line="240" w:lineRule="auto"/>
        <w:jc w:val="center"/>
      </w:pPr>
      <w:r>
        <w:drawing>
          <wp:inline distT="0" distB="0" distL="114300" distR="114300">
            <wp:extent cx="2468880" cy="1388745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09A6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 xml:space="preserve">图 7  扩展 Sobel 输出 </w:t>
      </w:r>
    </w:p>
    <w:p w14:paraId="1111CA37">
      <w:pPr>
        <w:spacing w:before="80" w:after="0" w:line="240" w:lineRule="auto"/>
        <w:jc w:val="center"/>
      </w:pPr>
      <w:r>
        <w:drawing>
          <wp:inline distT="0" distB="0" distL="114300" distR="114300">
            <wp:extent cx="2468880" cy="1388745"/>
            <wp:effectExtent l="0" t="0" r="762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3A8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 xml:space="preserve">图 8  扩展 Sobel 输出 </w:t>
      </w:r>
    </w:p>
    <w:p w14:paraId="315E4631">
      <w:pPr>
        <w:spacing w:before="80" w:after="0" w:line="240" w:lineRule="auto"/>
        <w:jc w:val="center"/>
      </w:pPr>
      <w:r>
        <w:drawing>
          <wp:inline distT="0" distB="0" distL="114300" distR="114300">
            <wp:extent cx="2468880" cy="1388745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C341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 xml:space="preserve">图 9  扩展 Sobel 输出 </w:t>
      </w:r>
    </w:p>
    <w:p w14:paraId="1D35B9F3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从图 7 至图 9 可以看到，绿色竖线在输出中表现为明亮的垂直边缘，黄色圆环则形成近似圆形的双边界轮廓。这说明 rgb_to_gray 转换后，颜色突变已经转化为灰度突变，sobel_core 的 3 x 3 窗口能够正确捕捉这些局部梯度。</w:t>
      </w:r>
    </w:p>
    <w:p w14:paraId="3989F5C1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三个输出文件的主体结构基本一致：竖线边缘位置稳定，圆环边缘集中在原图圆周附近。局部差异主要体现在圆环右侧或边界亮度的连续性上，这类差异可从输出保存时刻、边界补齐和窗口尚未完全覆盖的像素位置理解；但整体边缘分布没有偏移，说明帧解析得到的 x/y 坐标与后级 Sobel 输出坐标保持一致。</w:t>
      </w:r>
    </w:p>
    <w:p w14:paraId="6B9439CF">
      <w:pPr>
        <w:pStyle w:val="16"/>
        <w:numPr>
          <w:numId w:val="0"/>
        </w:numPr>
        <w:spacing w:before="0" w:after="80" w:line="280" w:lineRule="auto"/>
        <w:ind w:leftChars="0"/>
      </w:pPr>
      <w:r>
        <w:rPr>
          <w:rFonts w:ascii="Calibri" w:hAnsi="Calibri" w:eastAsia="微软雅黑"/>
          <w:sz w:val="22"/>
        </w:rPr>
        <w:t>渐变背景不会形成大面积高亮区域，说明 Sobel 对缓慢变化区域响应较弱。</w:t>
      </w:r>
    </w:p>
    <w:p w14:paraId="6D862F1E">
      <w:pPr>
        <w:pStyle w:val="16"/>
        <w:numPr>
          <w:numId w:val="0"/>
        </w:numPr>
        <w:spacing w:before="0" w:after="80" w:line="280" w:lineRule="auto"/>
        <w:ind w:leftChars="0"/>
      </w:pPr>
      <w:r>
        <w:rPr>
          <w:rFonts w:ascii="Calibri" w:hAnsi="Calibri" w:eastAsia="微软雅黑"/>
          <w:sz w:val="22"/>
        </w:rPr>
        <w:t>竖线边缘亮度高且位置明确，说明水平梯度计算 Gx 能捕捉左右像素差异。</w:t>
      </w:r>
    </w:p>
    <w:p w14:paraId="58F82E2D">
      <w:pPr>
        <w:pStyle w:val="16"/>
        <w:numPr>
          <w:numId w:val="0"/>
        </w:numPr>
        <w:spacing w:before="0" w:after="80" w:line="280" w:lineRule="auto"/>
        <w:ind w:leftChars="0"/>
      </w:pPr>
      <w:r>
        <w:rPr>
          <w:rFonts w:ascii="Calibri" w:hAnsi="Calibri" w:eastAsia="微软雅黑"/>
          <w:sz w:val="22"/>
        </w:rPr>
        <w:t>圆环内外轮廓同时出现，说明曲线边缘在连续扫描窗口中能够被逐点检测。</w:t>
      </w:r>
    </w:p>
    <w:p w14:paraId="4FF5C526">
      <w:pPr>
        <w:pStyle w:val="16"/>
        <w:numPr>
          <w:numId w:val="0"/>
        </w:numPr>
        <w:spacing w:before="0" w:after="80" w:line="280" w:lineRule="auto"/>
        <w:ind w:leftChars="0"/>
      </w:pPr>
      <w:r>
        <w:rPr>
          <w:rFonts w:ascii="Calibri" w:hAnsi="Calibri" w:eastAsia="微软雅黑"/>
          <w:sz w:val="22"/>
        </w:rPr>
        <w:t>输出图仍为灰度强度图，而不是二值化图；亮度越高表示 |Gx| + |Gy| 越大。</w:t>
      </w:r>
    </w:p>
    <w:p w14:paraId="78CCA191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7.4 扩展波形与完成条件观察</w:t>
      </w:r>
    </w:p>
    <w:p w14:paraId="1DD84154">
      <w:pPr>
        <w:spacing w:before="80" w:after="0" w:line="240" w:lineRule="auto"/>
        <w:jc w:val="center"/>
      </w:pPr>
      <w:r>
        <w:drawing>
          <wp:inline distT="0" distB="0" distL="114300" distR="114300">
            <wp:extent cx="5760720" cy="1056005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C895">
      <w:pPr>
        <w:spacing w:before="40" w:after="160" w:line="240" w:lineRule="auto"/>
        <w:jc w:val="center"/>
      </w:pPr>
      <w:r>
        <w:rPr>
          <w:rFonts w:ascii="Calibri" w:hAnsi="Calibri" w:eastAsia="微软雅黑"/>
          <w:color w:val="555555"/>
          <w:sz w:val="19"/>
        </w:rPr>
        <w:t>图 10  扩展仿真波形：frame_err、line_index、video_valid 等信号</w:t>
      </w:r>
    </w:p>
    <w:p w14:paraId="28249F61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扩展波形中可以继续观察到 clk 与 rst_n 的基础时序，uart_rx_line 表示仿真字节流输入过程；line_index 用于显示 image_frame_rx 当前解析到的行号；video_valid 表示后级视频像素流输出有效。截图中 frame_err 保持为低电平，说明帧头、行头、图像宽高和 RGB888 格式字段没有触发协议错误。</w:t>
      </w:r>
    </w:p>
    <w:p w14:paraId="637F96F6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当输入图更换后，RTL 的控制流程没有变化：UART 字节先进入 uart_rx，再由 image_frame_rx 解析为 RGB 像素和坐标，随后进入 rgb_to_gray 与 sobel_core。只要帧格式合法、行号小于 frame_height、每行像素数达到 frame_width，系统即可按同样流程输出边缘图。因此扩展实验验证的是数据内容变化对 Sobel 输出的影响，而不是依赖某一张固定测试图才能通过仿真。</w:t>
      </w:r>
    </w:p>
    <w:p w14:paraId="7E772510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8. 结论</w:t>
      </w:r>
    </w:p>
    <w:p w14:paraId="47177EA9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本实验完成了基于 UART 字节流的 RGB888 图像输入、帧协议解析、灰度转换、Sobel 边缘检测和视频像素流输出的 RTL 仿真验证。</w:t>
      </w:r>
    </w:p>
    <w:p w14:paraId="42FF08B7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仿真输出和波形共同表明：rgb_valid、gray_valid 与 edge_valid 按数据流顺序产生，Sobel 输出图能够突出输入图像中的主要边缘，edge_frame_done/video_frame_done 可作为整帧处理结束标志。</w:t>
      </w:r>
    </w:p>
    <w:p w14:paraId="5E21F0C1"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后续若迁移到 FPGA 开发板，可继续复用当前 UART 帧格式和 Sobel 核心，只需将 testbench 中的字节流模型替换为真实 UART 输入或上位机发送链路。</w:t>
      </w:r>
    </w:p>
    <w:p w14:paraId="51A3BF60">
      <w:pPr>
        <w:spacing w:before="0" w:after="120" w:line="264" w:lineRule="auto"/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CD68F">
    <w:pPr>
      <w:pStyle w:val="24"/>
      <w:jc w:val="center"/>
    </w:pPr>
    <w:r>
      <w:rPr>
        <w:rFonts w:ascii="Calibri" w:hAnsi="Calibri" w:eastAsia="微软雅黑"/>
        <w:color w:val="777777"/>
        <w:sz w:val="18"/>
      </w:rPr>
      <w:t>实验00 Sobel RTL 仿真报告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F3B28"/>
    <w:rsid w:val="2CE1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546</Words>
  <Characters>897</Characters>
  <Lines>0</Lines>
  <Paragraphs>0</Paragraphs>
  <TotalTime>1</TotalTime>
  <ScaleCrop>false</ScaleCrop>
  <LinksUpToDate>false</LinksUpToDate>
  <CharactersWithSpaces>978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lv&amp;极光</cp:lastModifiedBy>
  <dcterms:modified xsi:type="dcterms:W3CDTF">2026-06-22T12:40:17Z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eyJoZGlkIjoiOTI4MGYzZmE4YWUwNjFkNjU2MjJlNWQ2YWFjMDBlNzMiLCJ1c2VySWQiOiIxMjI1NDQ3MTAwIn0=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2A38C62D034E4ACDB6B31E6446FA310F_12</vt:lpwstr>
  </property>
</Properties>
</file>