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Yu Gothic" w:hAnsi="Yu Gothic"/>
          <w:sz w:val="21"/>
        </w:rPr>
        <w:t>社内AI利用規程</w:t>
      </w:r>
    </w:p>
    <w:p>
      <w:r>
        <w:rPr>
          <w:rFonts w:ascii="Yu Gothic" w:hAnsi="Yu Gothic"/>
          <w:sz w:val="21"/>
        </w:rPr>
        <w:t>文書番号: SEC-AI-STD-014 / 改定日: 2026-04-01 / 管理部署: 情報セキュリティ統括室</w:t>
      </w:r>
    </w:p>
    <w:p>
      <w:r>
        <w:rPr>
          <w:rFonts w:ascii="Yu Gothic" w:hAnsi="Yu Gothic"/>
          <w:sz w:val="21"/>
        </w:rPr>
        <w:t>この規程は、生成AI、要約AI、音声認識AI、外部チャットAIなどを業務利用する際の入力禁止情報、例外申請、監査ログ、違反時の一次対応を定める。</w:t>
      </w:r>
    </w:p>
    <w:p>
      <w:pPr>
        <w:pStyle w:val="Heading2"/>
      </w:pPr>
      <w:r>
        <w:rPr>
          <w:rFonts w:ascii="Yu Gothic" w:hAnsi="Yu Gothic"/>
          <w:sz w:val="21"/>
        </w:rPr>
        <w:t>1. 適用範囲</w:t>
      </w:r>
    </w:p>
    <w:p>
      <w:r>
        <w:rPr>
          <w:rFonts w:ascii="Yu Gothic" w:hAnsi="Yu Gothic"/>
          <w:sz w:val="21"/>
        </w:rPr>
        <w:t>対象者は、社員、契約社員、派遣社員、業務委託先のうち社内データを扱う者とする。</w:t>
      </w:r>
    </w:p>
    <w:p>
      <w:r>
        <w:rPr>
          <w:rFonts w:ascii="Yu Gothic" w:hAnsi="Yu Gothic"/>
          <w:sz w:val="21"/>
        </w:rPr>
        <w:t>対象サービスは、社内承認済みAI、外部AI、ブラウザ拡張型AI、議事録生成AIを含む。</w:t>
      </w:r>
    </w:p>
    <w:p>
      <w:r>
        <w:rPr>
          <w:rFonts w:ascii="Yu Gothic" w:hAnsi="Yu Gothic"/>
          <w:sz w:val="21"/>
        </w:rPr>
        <w:t>対象となる利用には、文章や表を直接貼り付ける操作だけでなく、ファイルをアップロードする操作、会議録や録音を自動送信する設定、ブラウザ拡張機能がページ内容を読み取る操作を含む。個人契約の無償版サービス、試用アカウント、部門が独自に契約したサービスも、社内データを扱う場合は本規程の対象とする。</w:t>
      </w:r>
    </w:p>
    <w:p>
      <w:r>
        <w:rPr>
          <w:rFonts w:ascii="Yu Gothic" w:hAnsi="Yu Gothic"/>
          <w:sz w:val="21"/>
        </w:rPr>
        <w:t>社外へ送付する成果物を作成しない利用であっても、入力時点で外部サービスへ情報が送信される場合がある。利用者は、業務端末、私物端末、共有アカウントのいずれを使うかにかかわらず、利用するサービス、入力元、保存先、共有範囲を事前に把握する。</w:t>
      </w:r>
    </w:p>
    <w:p>
      <w:r>
        <w:rPr>
          <w:rFonts w:ascii="Yu Gothic" w:hAnsi="Yu Gothic"/>
          <w:sz w:val="21"/>
        </w:rPr>
        <w:t>委託先や共同プロジェクトの担当者が社内データを扱う場合は、契約上の役割に加えて本規程を適用する。ただし、委託契約、NDA、顧客との個別合意に本規程より厳しい持出し制限がある場合は、その制限を優先する。判断に迷う場合は、入力前に部門の情報管理責任者へ相談する。</w:t>
      </w:r>
    </w:p>
    <w:p>
      <w:r>
        <w:rPr>
          <w:rFonts w:ascii="Yu Gothic" w:hAnsi="Yu Gothic"/>
          <w:sz w:val="21"/>
        </w:rPr>
        <w:t>対象サービスかどうかは、画面に生成AIという名称があるかではなく、社内データを外部の処理基盤へ送信し、要約、分類、検索、提案、翻訳、音声認識、コード補完などの処理を行うかで判断する。業務アプリケーションに組み込まれた補助機能であっても、外部送信、保存、学習利用、第三者提供の条件を確認する。</w:t>
      </w:r>
    </w:p>
    <w:p>
      <w:r>
        <w:rPr>
          <w:rFonts w:ascii="Yu Gothic" w:hAnsi="Yu Gothic"/>
          <w:sz w:val="21"/>
        </w:rPr>
        <w:t>利用者は、承認された業務目的の範囲でのみサービスを利用する。人事評価、採用、与信、懲戒など、個人に重大な影響を与える判断を外部AIの出力だけで行ってはならない。利用を検討する場合も、個人情報を入力せず、担当者が根拠資料と出力を確認して最終判断を行う。</w:t>
      </w:r>
    </w:p>
    <w:p>
      <w:r>
        <w:rPr>
          <w:rFonts w:ascii="Yu Gothic" w:hAnsi="Yu Gothic"/>
          <w:sz w:val="21"/>
        </w:rPr>
        <w:t>部門管理者は、利用開始時、異動時、業務終了時に、利用者、利用目的、利用サービス、共有先を確認する。承認済みのサービスであっても、個人アカウントや無償版へのコピー、未承認のブラウザ拡張機能、個人端末からの持ち出しは、承認済み利用の範囲に含めない。</w:t>
      </w:r>
    </w:p>
    <w:p>
      <w:r>
        <w:rPr>
          <w:rFonts w:ascii="Yu Gothic" w:hAnsi="Yu Gothic"/>
          <w:sz w:val="21"/>
        </w:rPr>
        <w:t>会議要約や音声認識の機能を使う場合は、録音の自動保存、参加者名の取り込み、外部クラウドへの自動アップロード、議事録の共有範囲を利用前に確認する。会議主催者だけでなく、設定を変更できる管理者と利用者が、誰の情報がどこへ送られるかを把握し、不要な自動連携を無効化する。</w:t>
      </w:r>
    </w:p>
    <w:p>
      <w:r>
        <w:rPr>
          <w:rFonts w:ascii="Yu Gothic" w:hAnsi="Yu Gothic"/>
          <w:sz w:val="21"/>
        </w:rPr>
        <w:t>本規程の対象外と判断する場合も、その根拠を明確にする。完全に公開済みの情報だけを扱う場合、外部送信を伴わない社内環境で処理する場合、または契約で利用が明示的に認められている場合であっても、資料の最新版、公開範囲、利用サービスの設定が変われば、判断を見直す。</w:t>
      </w:r>
    </w:p>
    <w:p>
      <w:pPr>
        <w:pStyle w:val="Heading2"/>
      </w:pPr>
      <w:r>
        <w:rPr>
          <w:rFonts w:ascii="Yu Gothic" w:hAnsi="Yu Gothic"/>
          <w:sz w:val="21"/>
        </w:rPr>
        <w:t>2. 入力禁止情報</w:t>
      </w:r>
    </w:p>
    <w:p>
      <w:r>
        <w:rPr>
          <w:rFonts w:ascii="Yu Gothic" w:hAnsi="Yu Gothic"/>
          <w:sz w:val="21"/>
        </w:rPr>
        <w:t>次の情報は外部AIサービスへ入力してはならない。</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区分</w:t>
            </w:r>
          </w:p>
        </w:tc>
        <w:tc>
          <w:tcPr>
            <w:tcW w:type="dxa" w:w="2484"/>
          </w:tcPr>
          <w:p>
            <w:r>
              <w:t>具体例</w:t>
            </w:r>
          </w:p>
        </w:tc>
        <w:tc>
          <w:tcPr>
            <w:tcW w:type="dxa" w:w="2484"/>
          </w:tcPr>
          <w:p>
            <w:r>
              <w:t>外部AI入力</w:t>
            </w:r>
          </w:p>
        </w:tc>
        <w:tc>
          <w:tcPr>
            <w:tcW w:type="dxa" w:w="2484"/>
          </w:tcPr>
          <w:p>
            <w:r>
              <w:t>補足</w:t>
            </w:r>
          </w:p>
        </w:tc>
      </w:tr>
      <w:tr>
        <w:tc>
          <w:tcPr>
            <w:tcW w:type="dxa" w:w="2484"/>
          </w:tcPr>
          <w:p>
            <w:r>
              <w:t>機密区分A</w:t>
            </w:r>
          </w:p>
        </w:tc>
        <w:tc>
          <w:tcPr>
            <w:tcW w:type="dxa" w:w="2484"/>
          </w:tcPr>
          <w:p>
            <w:r>
              <w:t>未公表の財務数値、M&amp;A情報、役員会資料</w:t>
            </w:r>
          </w:p>
        </w:tc>
        <w:tc>
          <w:tcPr>
            <w:tcW w:type="dxa" w:w="2484"/>
          </w:tcPr>
          <w:p>
            <w:r>
              <w:t>禁止</w:t>
            </w:r>
          </w:p>
        </w:tc>
        <w:tc>
          <w:tcPr>
            <w:tcW w:type="dxa" w:w="2484"/>
          </w:tcPr>
          <w:p>
            <w:r>
              <w:t>匿名化しても入力不可</w:t>
            </w:r>
          </w:p>
        </w:tc>
      </w:tr>
      <w:tr>
        <w:tc>
          <w:tcPr>
            <w:tcW w:type="dxa" w:w="2484"/>
          </w:tcPr>
          <w:p>
            <w:r>
              <w:t>個人情報</w:t>
            </w:r>
          </w:p>
        </w:tc>
        <w:tc>
          <w:tcPr>
            <w:tcW w:type="dxa" w:w="2484"/>
          </w:tcPr>
          <w:p>
            <w:r>
              <w:t>氏名、メールアドレス、社員ID、顧客ID</w:t>
            </w:r>
          </w:p>
        </w:tc>
        <w:tc>
          <w:tcPr>
            <w:tcW w:type="dxa" w:w="2484"/>
          </w:tcPr>
          <w:p>
            <w:r>
              <w:t>禁止</w:t>
            </w:r>
          </w:p>
        </w:tc>
        <w:tc>
          <w:tcPr>
            <w:tcW w:type="dxa" w:w="2484"/>
          </w:tcPr>
          <w:p>
            <w:r>
              <w:t>DLP承認済み処理を除く</w:t>
            </w:r>
          </w:p>
        </w:tc>
      </w:tr>
      <w:tr>
        <w:tc>
          <w:tcPr>
            <w:tcW w:type="dxa" w:w="2484"/>
          </w:tcPr>
          <w:p>
            <w:r>
              <w:t>認証情報</w:t>
            </w:r>
          </w:p>
        </w:tc>
        <w:tc>
          <w:tcPr>
            <w:tcW w:type="dxa" w:w="2484"/>
          </w:tcPr>
          <w:p>
            <w:r>
              <w:t>APIキー、パスワード、秘密鍵、OAuthトークン</w:t>
            </w:r>
          </w:p>
        </w:tc>
        <w:tc>
          <w:tcPr>
            <w:tcW w:type="dxa" w:w="2484"/>
          </w:tcPr>
          <w:p>
            <w:r>
              <w:t>禁止</w:t>
            </w:r>
          </w:p>
        </w:tc>
        <w:tc>
          <w:tcPr>
            <w:tcW w:type="dxa" w:w="2484"/>
          </w:tcPr>
          <w:p>
            <w:r>
              <w:t>ログにも残してはならない</w:t>
            </w:r>
          </w:p>
        </w:tc>
      </w:tr>
      <w:tr>
        <w:tc>
          <w:tcPr>
            <w:tcW w:type="dxa" w:w="2484"/>
          </w:tcPr>
          <w:p>
            <w:r>
              <w:t>契約制限情報</w:t>
            </w:r>
          </w:p>
        </w:tc>
        <w:tc>
          <w:tcPr>
            <w:tcW w:type="dxa" w:w="2484"/>
          </w:tcPr>
          <w:p>
            <w:r>
              <w:t>NDA対象資料、委託先提供資料</w:t>
            </w:r>
          </w:p>
        </w:tc>
        <w:tc>
          <w:tcPr>
            <w:tcW w:type="dxa" w:w="2484"/>
          </w:tcPr>
          <w:p>
            <w:r>
              <w:t>禁止</w:t>
            </w:r>
          </w:p>
        </w:tc>
        <w:tc>
          <w:tcPr>
            <w:tcW w:type="dxa" w:w="2484"/>
          </w:tcPr>
          <w:p>
            <w:r>
              <w:t>契約条件を確認する</w:t>
            </w:r>
          </w:p>
        </w:tc>
      </w:tr>
      <w:tr>
        <w:tc>
          <w:tcPr>
            <w:tcW w:type="dxa" w:w="2484"/>
          </w:tcPr>
          <w:p>
            <w:r>
              <w:t>機密区分B</w:t>
            </w:r>
          </w:p>
        </w:tc>
        <w:tc>
          <w:tcPr>
            <w:tcW w:type="dxa" w:w="2484"/>
          </w:tcPr>
          <w:p>
            <w:r>
              <w:t>社内運用手順、未公開FAQ</w:t>
            </w:r>
          </w:p>
        </w:tc>
        <w:tc>
          <w:tcPr>
            <w:tcW w:type="dxa" w:w="2484"/>
          </w:tcPr>
          <w:p>
            <w:r>
              <w:t>条件付き可</w:t>
            </w:r>
          </w:p>
        </w:tc>
        <w:tc>
          <w:tcPr>
            <w:tcW w:type="dxa" w:w="2484"/>
          </w:tcPr>
          <w:p>
            <w:r>
              <w:t>承認済みAIで匿名化した場合のみ可</w:t>
            </w:r>
          </w:p>
        </w:tc>
      </w:tr>
    </w:tbl>
    <w:p>
      <w:r>
        <w:rPr>
          <w:rFonts w:ascii="Yu Gothic" w:hAnsi="Yu Gothic"/>
          <w:sz w:val="21"/>
        </w:rPr>
        <w:t>入力禁止情報は、単語単位で判定しない。本文から氏名を削除しても、案件名、日付、拠点、製品構成、組織の略称、少数の取引条件を組み合わせることで、顧客、担当者、未公表の取り組みを推定できる場合がある。このような場合は匿名化済みとは扱わず、外部AIへの入力を停止する。</w:t>
      </w:r>
    </w:p>
    <w:p>
      <w:r>
        <w:rPr>
          <w:rFonts w:ascii="Yu Gothic" w:hAnsi="Yu Gothic"/>
          <w:sz w:val="21"/>
        </w:rPr>
        <w:t>表、画像、画面キャプチャ、コメント、変更履歴、ファイル名、URL、ログ出力にも禁止情報が含まれ得る。入力前の確認では、本文だけをコピーして安全と判断せず、添付物や見出し・脚注を含めて確認する。認証情報を見つけた場合は、削除した後もチャット履歴や作業メモに残っていないかを確認する。</w:t>
      </w:r>
    </w:p>
    <w:p>
      <w:r>
        <w:rPr>
          <w:rFonts w:ascii="Yu Gothic" w:hAnsi="Yu Gothic"/>
          <w:sz w:val="21"/>
        </w:rPr>
        <w:t>機密区分Bの情報であっても、承認済みAIの利用、匿名化、利用目的の明確化、必要な申請という条件をすべて満たさなければ入力できない。分類が不明な資料、公開前かどうかを確認できない資料、契約条件を確認できない資料は、入力可と推定せず、情報管理責任者へ判断を求める。</w:t>
      </w:r>
    </w:p>
    <w:p>
      <w:r>
        <w:rPr>
          <w:rFonts w:ascii="Yu Gothic" w:hAnsi="Yu Gothic"/>
          <w:sz w:val="21"/>
        </w:rPr>
        <w:t>社内FAQ、手順書、障害報告、営業資料のように一見すると一般的な文章でも、最新でない情報、未公表の変更予定、顧客固有の補足、委託先から受領した資料が混在することがある。資料全体を一律に安全と扱わず、入力する箇所ごとに情報区分と利用条件を確認する。</w:t>
      </w:r>
    </w:p>
    <w:p>
      <w:r>
        <w:rPr>
          <w:rFonts w:ascii="Yu Gothic" w:hAnsi="Yu Gothic"/>
          <w:sz w:val="21"/>
        </w:rPr>
        <w:t>入力禁止情報を含む可能性がある文書を扱う必要がある場合は、外部AIに貼り付けず、社内で利用が認められたツール、公開済みの抜粋、または合成データへ置き換える。削除・置換を行った場合は、原文と匿名化後の文書を混在させず、確認者が再識別可能性を見直せるよう作業記録を残す。</w:t>
      </w:r>
    </w:p>
    <w:p>
      <w:r>
        <w:rPr>
          <w:rFonts w:ascii="Yu Gothic" w:hAnsi="Yu Gothic"/>
          <w:sz w:val="21"/>
        </w:rPr>
        <w:t>外部AIの出力に、入力していないはずの固有名詞、契約情報、認証情報らしき文字列が現れた場合も、そのまま共有・利用してはならない。出力の利用を止め、入力、プロンプト、参照ファイル、サービス設定を確認し、必要に応じてセキュリティ窓口へ相談する。</w:t>
      </w:r>
    </w:p>
    <w:p>
      <w:r>
        <w:rPr>
          <w:rFonts w:ascii="Yu Gothic" w:hAnsi="Yu Gothic"/>
          <w:sz w:val="21"/>
        </w:rPr>
        <w:t>匿名化の確認は、入力する本人だけで完結させない。顧客や案件の背景を知らない確認者が読んでも特定できないか、表の列名や集計値から対象が推定できないか、画像の端に残った氏名やメールアドレスがないかを確認する。確認できない場合は、入力範囲をより小さくするか、外部AIを利用しない。</w:t>
      </w:r>
    </w:p>
    <w:p>
      <w:r>
        <w:rPr>
          <w:rFonts w:ascii="Yu Gothic" w:hAnsi="Yu Gothic"/>
          <w:sz w:val="21"/>
        </w:rPr>
        <w:t>禁止情報を発見した場合は、削除後の一部だけを外部AIへ入力すればよいと即断しない。削除対象の周辺に、同じ情報を示す文脈、参照番号、URL、ファイル名、出力例が残っていないかを確認する。匿名化作業の根拠と残るリスクは、申請または作業記録に残し、後から確認できるようにする。</w:t>
      </w:r>
    </w:p>
    <w:p>
      <w:pPr>
        <w:pStyle w:val="Heading2"/>
      </w:pPr>
      <w:r>
        <w:rPr>
          <w:rFonts w:ascii="Yu Gothic" w:hAnsi="Yu Gothic"/>
          <w:sz w:val="21"/>
        </w:rPr>
        <w:t>3. 例外利用</w:t>
      </w:r>
    </w:p>
    <w:p>
      <w:r>
        <w:rPr>
          <w:rFonts w:ascii="Yu Gothic" w:hAnsi="Yu Gothic"/>
          <w:sz w:val="21"/>
        </w:rPr>
        <w:t>本節は、入力禁止情報には該当しないが、社内運用手順など取り扱いに注意を要する情報を対象とする。</w:t>
      </w:r>
    </w:p>
    <w:p>
      <w:pPr>
        <w:pStyle w:val="Heading3"/>
      </w:pPr>
      <w:r>
        <w:rPr>
          <w:rFonts w:ascii="Yu Gothic" w:hAnsi="Yu Gothic"/>
          <w:sz w:val="21"/>
        </w:rPr>
        <w:t>3.1 利用できる条件</w:t>
      </w:r>
    </w:p>
    <w:p>
      <w:r>
        <w:rPr>
          <w:rFonts w:ascii="Yu Gothic" w:hAnsi="Yu Gothic"/>
          <w:sz w:val="21"/>
        </w:rPr>
        <w:t>機密区分Bの社内運用手順は、承認済みAIを利用し、個人名・顧客名・識別子を匿名化できる場合に限り、例外利用を検討できる。</w:t>
      </w:r>
    </w:p>
    <w:p>
      <w:r>
        <w:rPr>
          <w:rFonts w:ascii="Yu Gothic" w:hAnsi="Yu Gothic"/>
          <w:sz w:val="21"/>
        </w:rPr>
        <w:t>機密区分A、個人情報、認証情報、契約制限情報は、例外申請の対象外とする。</w:t>
      </w:r>
    </w:p>
    <w:p>
      <w:pPr>
        <w:pStyle w:val="Heading3"/>
      </w:pPr>
      <w:r>
        <w:rPr>
          <w:rFonts w:ascii="Yu Gothic" w:hAnsi="Yu Gothic"/>
          <w:sz w:val="21"/>
        </w:rPr>
        <w:t>3.2 利用開始前の事前確認</w:t>
      </w:r>
    </w:p>
    <w:p>
      <w:r>
        <w:rPr>
          <w:rFonts w:ascii="Yu Gothic" w:hAnsi="Yu Gothic"/>
          <w:sz w:val="21"/>
        </w:rPr>
        <w:t>申請担当者は、要約・分類・草案作成などの利用目的を具体化し、外部AIを使わない代替手段で業務要件を満たせないかを確認する。急ぎの業務であっても、承認前の試行入力は行わない。</w:t>
      </w:r>
    </w:p>
    <w:p>
      <w:r>
        <w:rPr>
          <w:rFonts w:ascii="Yu Gothic" w:hAnsi="Yu Gothic"/>
          <w:sz w:val="21"/>
        </w:rPr>
        <w:t>入力予定データは、作業に必要な最小範囲に絞る。氏名、顧客名、社員番号、案件番号、メールアドレス、画面キャプチャに含まれる識別子は、置換または削除できることを申請前に確認する。</w:t>
      </w:r>
    </w:p>
    <w:p>
      <w:r>
        <w:rPr>
          <w:rFonts w:ascii="Yu Gothic" w:hAnsi="Yu Gothic"/>
          <w:sz w:val="21"/>
        </w:rPr>
        <w:t>匿名化後も、複数の業務情報を組み合わせることで特定の顧客や案件を推測できる場合は、部門の情報管理責任者に相談し、入力範囲を見直す。ログ保存や外部サービスの学習利用設定も確認する。</w:t>
      </w:r>
    </w:p>
    <w:p>
      <w:r>
        <w:rPr>
          <w:rFonts w:ascii="Yu Gothic" w:hAnsi="Yu Gothic"/>
          <w:sz w:val="21"/>
        </w:rPr>
        <w:t>部門長は利用目的と必要性を確認し、情報セキュリティ責任者は匿名化方法、保存期間、利用サービスが承認済みであることを確認する。確認で不足が見つかった場合は、申請前に補正する。</w:t>
      </w:r>
    </w:p>
    <w:p>
      <w:pPr>
        <w:pStyle w:val="Heading3"/>
      </w:pPr>
      <w:r>
        <w:rPr>
          <w:rFonts w:ascii="Yu Gothic" w:hAnsi="Yu Gothic"/>
          <w:sz w:val="21"/>
        </w:rPr>
        <w:t>3.3 利用開始前の申請</w:t>
      </w:r>
    </w:p>
    <w:p>
      <w:r>
        <w:rPr>
          <w:rFonts w:ascii="Yu Gothic" w:hAnsi="Yu Gothic"/>
          <w:sz w:val="21"/>
        </w:rPr>
        <w:t>利用開始前にAI-REQ-17へ利用目的、入力予定データ、匿名化方法、保存期間を登録し、部門長と情報セキュリティ責任者の承認を得る。申請は利用開始日の3営業日前までに提出する。</w:t>
      </w:r>
    </w:p>
    <w:p>
      <w:r>
        <w:rPr>
          <w:rFonts w:ascii="Yu Gothic" w:hAnsi="Yu Gothic"/>
          <w:sz w:val="21"/>
        </w:rPr>
        <w:t>申請では、利用目的を『要約する』だけで終わらせず、誰がどの業務でどの出力を利用するかを記載する。入力予定データは、文書名、対象期間、表や画像の有無、除外する情報を示し、匿名化方法は置換する項目と確認者を明記する。保存期間は利用サービス側の設定と出力の保管場所の両方を確認する。</w:t>
      </w:r>
    </w:p>
    <w:p>
      <w:r>
        <w:rPr>
          <w:rFonts w:ascii="Yu Gothic" w:hAnsi="Yu Gothic"/>
          <w:sz w:val="21"/>
        </w:rPr>
        <w:t>承認後も、申請した利用サービス、入力範囲、利用部門、保存期間、利用目的を超えてはならない。利用内容を変える場合の個別の判断条件と手続きは、第17章「顧客事例を含む利用内容の変更」に従う。</w:t>
      </w:r>
    </w:p>
    <w:p>
      <w:r>
        <w:rPr>
          <w:rFonts w:ascii="Yu Gothic" w:hAnsi="Yu Gothic"/>
          <w:sz w:val="21"/>
        </w:rPr>
        <w:t>利用開始後は、最初の入力と出力について、申請した匿名化方法が実際に機能しているかを申請者と部門管理者が確認する。入力本文、添付表、画面キャプチャ、プロンプトの例示、出力に残る固有表現を確認し、承認した範囲を超える情報が混入している場合は利用を止めて対応を相談する。</w:t>
      </w:r>
    </w:p>
    <w:p>
      <w:r>
        <w:rPr>
          <w:rFonts w:ascii="Yu Gothic" w:hAnsi="Yu Gothic"/>
          <w:sz w:val="21"/>
        </w:rPr>
        <w:t>例外利用の承認は、外部AIの出力が正しいこと、社外提供できること、著作権上の問題がないことを保証するものではない。利用者は、出力を業務に用いる前に、原典、数値、日付、引用、第三者情報の混入を確認し、必要に応じて人手レビューの記録を残す。</w:t>
      </w:r>
    </w:p>
    <w:p>
      <w:r>
        <w:rPr>
          <w:rFonts w:ascii="Yu Gothic" w:hAnsi="Yu Gothic"/>
          <w:sz w:val="21"/>
        </w:rPr>
        <w:t>利用中に当初予定していなかった資料を追加したい場合は、作業を止めて変更の有無を確認する。個別事例を含む変更は第17章の判断条件、確認項目、手続きに従う。</w:t>
      </w:r>
    </w:p>
    <w:p>
      <w:r>
        <w:rPr>
          <w:rFonts w:ascii="Yu Gothic" w:hAnsi="Yu Gothic"/>
          <w:sz w:val="21"/>
        </w:rPr>
        <w:t>変更の相談では、追加する情報、利用目的への必要性、代替手段、匿名化方法、保存期間、利用サービスの設定を共有する。判断と承認の扱いは第17章に定める。</w:t>
      </w:r>
    </w:p>
    <w:p>
      <w:r>
        <w:rPr>
          <w:rFonts w:ascii="Yu Gothic" w:hAnsi="Yu Gothic"/>
          <w:sz w:val="21"/>
        </w:rPr>
        <w:t>図1: AI-REQ-17 申請フォーム画面例。申請前に入力予定データ、匿名化方法、ログ保存期間、承認者を確認する。</w:t>
      </w:r>
    </w:p>
    <w:p>
      <w:r>
        <w:rPr>
          <w:rFonts w:ascii="Yu Gothic" w:hAnsi="Yu Gothic"/>
          <w:sz w:val="21"/>
        </w:rPr>
        <w:drawing>
          <wp:inline xmlns:a="http://schemas.openxmlformats.org/drawingml/2006/main" xmlns:pic="http://schemas.openxmlformats.org/drawingml/2006/picture">
            <wp:extent cx="5303520" cy="3358896"/>
            <wp:docPr id="1" name="Picture 1"/>
            <wp:cNvGraphicFramePr>
              <a:graphicFrameLocks noChangeAspect="1"/>
            </wp:cNvGraphicFramePr>
            <a:graphic>
              <a:graphicData uri="http://schemas.openxmlformats.org/drawingml/2006/picture">
                <pic:pic>
                  <pic:nvPicPr>
                    <pic:cNvPr id="0" name="ai_req_17_form_screenshot.png"/>
                    <pic:cNvPicPr/>
                  </pic:nvPicPr>
                  <pic:blipFill>
                    <a:blip r:embed="rId9"/>
                    <a:stretch>
                      <a:fillRect/>
                    </a:stretch>
                  </pic:blipFill>
                  <pic:spPr>
                    <a:xfrm>
                      <a:off x="0" y="0"/>
                      <a:ext cx="5303520" cy="3358896"/>
                    </a:xfrm>
                    <a:prstGeom prst="rect"/>
                  </pic:spPr>
                </pic:pic>
              </a:graphicData>
            </a:graphic>
          </wp:inline>
        </w:drawing>
      </w:r>
    </w:p>
    <w:p>
      <w:pPr>
        <w:pStyle w:val="Heading2"/>
      </w:pPr>
      <w:r>
        <w:rPr>
          <w:rFonts w:ascii="Yu Gothic" w:hAnsi="Yu Gothic"/>
          <w:sz w:val="21"/>
        </w:rPr>
        <w:t>4. 違反時の初動</w:t>
      </w:r>
    </w:p>
    <w:p>
      <w:r>
        <w:rPr>
          <w:rFonts w:ascii="Yu Gothic" w:hAnsi="Yu Gothic"/>
          <w:sz w:val="21"/>
        </w:rPr>
        <w:t>入力禁止情報を外部AIへ送信した疑いがある場合は、発見から1時間以内にセキュリティ窓口へ連絡し、利用サービス名、送信時刻、入力内容の概要、影響範囲を報告する。</w:t>
      </w:r>
    </w:p>
    <w:p>
      <w:r>
        <w:rPr>
          <w:rFonts w:ascii="Yu Gothic" w:hAnsi="Yu Gothic"/>
          <w:sz w:val="21"/>
        </w:rPr>
        <w:t>重大度Highの場合は、セキュリティ統括室がインシデント管理番号を払い出し、経営報告要否を判定する。</w:t>
      </w:r>
    </w:p>
    <w:p>
      <w:r>
        <w:rPr>
          <w:rFonts w:ascii="Yu Gothic" w:hAnsi="Yu Gothic"/>
          <w:sz w:val="21"/>
        </w:rPr>
        <w:t>発見者は、送信内容を自己判断で完全に削除しようとして証跡を失わないようにする。利用サービスの画面、送信時刻、入力した内容の概要、添付ファイルの有無、共有または公開の設定、削除依頼を行った時刻と結果を記録する。入力内容を再送したり、同じ資料で動作確認したりしてはならない。</w:t>
      </w:r>
    </w:p>
    <w:p>
      <w:r>
        <w:rPr>
          <w:rFonts w:ascii="Yu Gothic" w:hAnsi="Yu Gothic"/>
          <w:sz w:val="21"/>
        </w:rPr>
        <w:t>一次連絡後は、セキュリティ統括室の指示に従い、アカウントの利用停止、共有設定の変更、削除依頼、関係部門への連絡を行う。重大度は入力した情報の種類、外部サービス側の保存・学習設定、閲覧可能な範囲、契約上の通知義務を踏まえてSLAに従い判定する。</w:t>
      </w:r>
    </w:p>
    <w:p>
      <w:r>
        <w:rPr>
          <w:rFonts w:ascii="Yu Gothic" w:hAnsi="Yu Gothic"/>
          <w:sz w:val="21"/>
        </w:rPr>
        <w:t>誤入力の兆候を申告した利用者を責任追及だけの対象にしない。部門管理者は、再発防止のために、どの作業手順、画面設定、教育内容、承認フローで見落としが起きたかを確認し、必要に応じてチェックリストと利用手順を更新する。</w:t>
      </w:r>
    </w:p>
    <w:p>
      <w:r>
        <w:rPr>
          <w:rFonts w:ascii="Yu Gothic" w:hAnsi="Yu Gothic"/>
          <w:sz w:val="21"/>
        </w:rPr>
        <w:t>報告時には、利用者の記憶だけに頼らず、ブラウザ履歴、サービスの利用履歴、DLPアラート、共有設定、関連する申請記録を確認する。ただし、調査のために同じ資料を再入力したり、他の利用者へ画面を転送したりしてはならない。調査資料の閲覧範囲はインシデント対応に必要な担当者へ限定する。</w:t>
      </w:r>
    </w:p>
    <w:p>
      <w:r>
        <w:rPr>
          <w:rFonts w:ascii="Yu Gothic" w:hAnsi="Yu Gothic"/>
          <w:sz w:val="21"/>
        </w:rPr>
        <w:t>部門管理者は、初動後に利用者へ必要な代替手段を案内する。期限が迫っていても、未承認の別サービスへ同じ内容を入力して作業を続けない。公開済み資料、合成データ、社内環境での手作業などへ切り替え、業務継続と情報保護の両方を満たす方法を選ぶ。</w:t>
      </w:r>
    </w:p>
    <w:p>
      <w:r>
        <w:rPr>
          <w:rFonts w:ascii="Yu Gothic" w:hAnsi="Yu Gothic"/>
          <w:sz w:val="21"/>
        </w:rPr>
        <w:t>重大度の連絡期限は、報告書を完成させる期限ではなく、セキュリティ窓口へ一次連絡する期限である。入力内容の詳細が直ちに分からない場合も、分かっている範囲で連絡し、利用サービス名、送信時刻、入力内容の概要、添付の有無、削除依頼の状況を順次補足する。</w:t>
      </w:r>
    </w:p>
    <w:p>
      <w:r>
        <w:rPr>
          <w:rFonts w:ascii="Yu Gothic" w:hAnsi="Yu Gothic"/>
          <w:sz w:val="21"/>
        </w:rPr>
        <w:t>インシデント対応中に外部から問い合わせを受けた場合は、担当外の利用者が個別に説明や謝罪を行わない。対外連絡、顧客通知、契約上の報告、経営報告の要否は、セキュリティ統括室と関係部門が判断する。利用者は、事実関係の確認に必要な記録を保全し、指示された範囲で協力する。</w:t>
      </w:r>
    </w:p>
    <w:p>
      <w:pPr>
        <w:pStyle w:val="Heading2"/>
      </w:pPr>
      <w:r>
        <w:rPr>
          <w:rFonts w:ascii="Yu Gothic" w:hAnsi="Yu Gothic"/>
          <w:sz w:val="21"/>
        </w:rPr>
        <w:t>5. 監査ログ</w:t>
      </w:r>
    </w:p>
    <w:p>
      <w:r>
        <w:rPr>
          <w:rFonts w:ascii="Yu Gothic" w:hAnsi="Yu Gothic"/>
          <w:sz w:val="21"/>
        </w:rPr>
        <w:t>承認済みAIの利用ログは365日保管する。外部AIの利用履歴は月次で棚卸し、未承認利用を確認する。</w:t>
      </w:r>
    </w:p>
    <w:p>
      <w:r>
        <w:rPr>
          <w:rFonts w:ascii="Yu Gothic" w:hAnsi="Yu Gothic"/>
          <w:sz w:val="21"/>
        </w:rPr>
        <w:t>保管する記録には、申請ID、利用者、利用部門、利用サービス、利用目的、入力範囲、承認日、保存期間、利用開始日と終了日を含める。出力を業務判断や社外説明に用いた場合は、出力の確認者と確認日を記録し、出力だけが独立して流通しないよう元の申請と紐付ける。</w:t>
      </w:r>
    </w:p>
    <w:p>
      <w:r>
        <w:rPr>
          <w:rFonts w:ascii="Yu Gothic" w:hAnsi="Yu Gothic"/>
          <w:sz w:val="21"/>
        </w:rPr>
        <w:t>月次棚卸しでは、承認済み一覧と実際のアカウント、ブラウザ拡張、共有設定、保存済み出力を照合する。異動、退職、業務終了、PoCの終了後に不要となった権限やデータが残っている場合は、部門管理者が削除状況を確認する。利用実態が申請内容と異なる場合は、是正計画または変更申請を記録する。</w:t>
      </w:r>
    </w:p>
    <w:p>
      <w:r>
        <w:rPr>
          <w:rFonts w:ascii="Yu Gothic" w:hAnsi="Yu Gothic"/>
          <w:sz w:val="21"/>
        </w:rPr>
        <w:t>ログの閲覧権限は、監査、インシデント対応、利用状況の確認に必要な担当者に限定する。ログ自体に個人情報や業務上の機微な内容が含まれる可能性があるため、利用目的外の閲覧、個人評価への転用、無断での外部共有を行ってはならない。</w:t>
      </w:r>
    </w:p>
    <w:p>
      <w:r>
        <w:rPr>
          <w:rFonts w:ascii="Yu Gothic" w:hAnsi="Yu Gothic"/>
          <w:sz w:val="21"/>
        </w:rPr>
        <w:t>監査ログの欠落、時刻の不整合、未承認アカウントからの利用、申請にない入力範囲の利用を見つけた場合は、部門管理者が事実関係を確認する。単なる記録漏れであっても、利用実態が把握できない状態を放置せず、必要な記録の補完、権限の停止、変更申請、教育の実施を判断する。</w:t>
      </w:r>
    </w:p>
    <w:p>
      <w:r>
        <w:rPr>
          <w:rFonts w:ascii="Yu Gothic" w:hAnsi="Yu Gothic"/>
          <w:sz w:val="21"/>
        </w:rPr>
        <w:t>棚卸し結果は、件数だけでなく、利用目的の変更、保存期間の超過、利用者の異動、出力の共有範囲、再発防止の実施状況を確認できる形で残す。部門横断で同じ見落としが続く場合は、個別の注意喚起だけで済ませず、申請フォーム、承認基準、システム設定を見直す。</w:t>
      </w:r>
    </w:p>
    <w:p>
      <w:r>
        <w:rPr>
          <w:rFonts w:ascii="Yu Gothic" w:hAnsi="Yu Gothic"/>
          <w:sz w:val="21"/>
        </w:rPr>
        <w:t>監査のために保管する記録は、後から検索したときに申請、利用、変更、点検、違反報告の関係をたどれる必要がある。受付ID、申請ID、利用サービス名、部門、対象期間を共通の検索項目として扱い、文書だけでなく表や画像に残る記録とも対応付ける。</w:t>
      </w:r>
    </w:p>
    <w:p>
      <w:r>
        <w:rPr>
          <w:rFonts w:ascii="Yu Gothic" w:hAnsi="Yu Gothic"/>
          <w:sz w:val="21"/>
        </w:rPr>
        <w:t>監査ログは、利用の可否を後から説明するための根拠でもある。利用者が『承認済みだと思っていた』という状態を防ぐため、申請の承認状態、承認条件、失効日、変更履歴を利用者と部門管理者が確認できるようにする。承認条件に期限がある場合は、期限前に継続・終了・変更を判断する。</w:t>
      </w:r>
    </w:p>
    <w:p>
      <w:r>
        <w:rPr>
          <w:rFonts w:ascii="Yu Gothic" w:hAnsi="Yu Gothic"/>
          <w:sz w:val="21"/>
        </w:rPr>
        <w:t>利用ログの形式や保存場所を変更する場合は、既存の記録との対応関係を失わないようにする。移行前後で申請ID、利用者、利用サービス、時刻、入力範囲、承認状態を照合し、検索や監査に必要な項目が欠落していないかを確認する。保存期間が満了した記録の削除も、定めた手順と権限に従う。</w:t>
      </w:r>
    </w:p>
    <w:p>
      <w:pPr>
        <w:pStyle w:val="Heading2"/>
      </w:pPr>
      <w:r>
        <w:rPr>
          <w:rFonts w:ascii="Yu Gothic" w:hAnsi="Yu Gothic"/>
          <w:sz w:val="21"/>
        </w:rPr>
        <w:t>6. 改定履歴</w:t>
      </w:r>
    </w:p>
    <w:tbl>
      <w:tblPr>
        <w:tblStyle w:val="TableGrid"/>
        <w:tblW w:type="auto" w:w="0"/>
        <w:tblLook w:firstColumn="1" w:firstRow="1" w:lastColumn="0" w:lastRow="0" w:noHBand="0" w:noVBand="1" w:val="04A0"/>
      </w:tblPr>
      <w:tblGrid>
        <w:gridCol w:w="3312"/>
        <w:gridCol w:w="3312"/>
        <w:gridCol w:w="3312"/>
      </w:tblGrid>
      <w:tr>
        <w:tc>
          <w:tcPr>
            <w:tcW w:type="dxa" w:w="3312"/>
          </w:tcPr>
          <w:p>
            <w:r>
              <w:t>日付</w:t>
            </w:r>
          </w:p>
        </w:tc>
        <w:tc>
          <w:tcPr>
            <w:tcW w:type="dxa" w:w="3312"/>
          </w:tcPr>
          <w:p>
            <w:r>
              <w:t>改定内容</w:t>
            </w:r>
          </w:p>
        </w:tc>
        <w:tc>
          <w:tcPr>
            <w:tcW w:type="dxa" w:w="3312"/>
          </w:tcPr>
          <w:p>
            <w:r>
              <w:t>承認者</w:t>
            </w:r>
          </w:p>
        </w:tc>
      </w:tr>
      <w:tr>
        <w:tc>
          <w:tcPr>
            <w:tcW w:type="dxa" w:w="3312"/>
          </w:tcPr>
          <w:p>
            <w:r>
              <w:t>2026-04-01</w:t>
            </w:r>
          </w:p>
        </w:tc>
        <w:tc>
          <w:tcPr>
            <w:tcW w:type="dxa" w:w="3312"/>
          </w:tcPr>
          <w:p>
            <w:r>
              <w:t>外部AI利用違反時の1時間以内報告を追加</w:t>
            </w:r>
          </w:p>
        </w:tc>
        <w:tc>
          <w:tcPr>
            <w:tcW w:type="dxa" w:w="3312"/>
          </w:tcPr>
          <w:p>
            <w:r>
              <w:t>情報セキュリティ責任者</w:t>
            </w:r>
          </w:p>
        </w:tc>
      </w:tr>
      <w:tr>
        <w:tc>
          <w:tcPr>
            <w:tcW w:type="dxa" w:w="3312"/>
          </w:tcPr>
          <w:p>
            <w:r>
              <w:t>2026-01-15</w:t>
            </w:r>
          </w:p>
        </w:tc>
        <w:tc>
          <w:tcPr>
            <w:tcW w:type="dxa" w:w="3312"/>
          </w:tcPr>
          <w:p>
            <w:r>
              <w:t>機密区分Bの匿名化条件を明確化</w:t>
            </w:r>
          </w:p>
        </w:tc>
        <w:tc>
          <w:tcPr>
            <w:tcW w:type="dxa" w:w="3312"/>
          </w:tcPr>
          <w:p>
            <w:r>
              <w:t>AIガバナンス委員会</w:t>
            </w:r>
          </w:p>
        </w:tc>
      </w:tr>
    </w:tbl>
    <w:p>
      <w:r>
        <w:rPr>
          <w:rFonts w:ascii="Yu Gothic" w:hAnsi="Yu Gothic"/>
          <w:sz w:val="21"/>
        </w:rPr>
        <w:t>改定時は、規程本文、申請フォーム、エスカレーションSLA、教育資料、承認済みサービス一覧の間で用語と期限に矛盾がないかを確認する。改定理由、影響を受ける利用者、周知方法、既存申請への影響を記録し、施行日までに部門管理者へ通知する。</w:t>
      </w:r>
    </w:p>
    <w:p>
      <w:r>
        <w:rPr>
          <w:rFonts w:ascii="Yu Gothic" w:hAnsi="Yu Gothic"/>
          <w:sz w:val="21"/>
        </w:rPr>
        <w:t>緊急改定が必要な場合でも、変更箇所、判断者、暫定運用の期限を明記する。恒久改定後は、暫定的な手順や古いフォームが共有フォルダ、ポータル、教育資料に残っていないかを点検し、利用者が新旧のルールを取り違えないようにする。</w:t>
      </w:r>
    </w:p>
    <w:p>
      <w:r>
        <w:rPr>
          <w:rFonts w:ascii="Yu Gothic" w:hAnsi="Yu Gothic"/>
          <w:sz w:val="21"/>
        </w:rPr>
        <w:t>改定案は、情報セキュリティ統括室、利用部門、法務、購買、情報システム部門など、影響を受ける担当者が確認する。特に、契約条件、データ保管場所、外部サービスの学習利用設定、事故時の連絡期限が変わる場合は、関連する手順書やSLAと同時に整合を確認する。</w:t>
      </w:r>
    </w:p>
    <w:p>
      <w:r>
        <w:rPr>
          <w:rFonts w:ascii="Yu Gothic" w:hAnsi="Yu Gothic"/>
          <w:sz w:val="21"/>
        </w:rPr>
        <w:t>改定履歴には、変更した見出しだけでなく、変更理由、対象となる利用、既存申請への扱い、周知日、施行日、旧版の保管先を記録する。利用者からの質問や解釈の違いが多い箇所は、次回改定時に例示や確認手順を補い、運用上の迷いを減らす。</w:t>
      </w:r>
    </w:p>
    <w:p>
      <w:r>
        <w:rPr>
          <w:rFonts w:ascii="Yu Gothic" w:hAnsi="Yu Gothic"/>
          <w:sz w:val="21"/>
        </w:rPr>
        <w:t>教育資料やポータルの説明が規程と異なる場合は、規程を正とし、差異を発見した担当者が情報セキュリティ統括室へ連絡する。改定後の周知では、単にファイルを置き換えるのではなく、変更された利用条件、入力禁止情報、申請期限、初動期限を利用者が確認できるようにする。</w:t>
      </w:r>
    </w:p>
    <w:p>
      <w:r>
        <w:rPr>
          <w:rFonts w:ascii="Yu Gothic" w:hAnsi="Yu Gothic"/>
          <w:sz w:val="21"/>
        </w:rPr>
        <w:t>改定の施行後は、一定期間の問い合わせ、申請差戻し、誤入力、監査指摘を確認し、説明不足や運用上の負担がないかを評価する。頻繁に解釈が分かれる箇所は、規程の本文を短縮するのではなく、判断条件、具体例、相談先を補足して、利用者が自己判断で危険な入力をしないようにする。</w:t>
      </w:r>
    </w:p>
    <w:p>
      <w:r>
        <w:rPr>
          <w:rFonts w:ascii="Yu Gothic" w:hAnsi="Yu Gothic"/>
          <w:sz w:val="21"/>
        </w:rPr>
        <w:t>旧版の規程は、施行日と失効日が分かる形で保管する。監査やインシデント調査では、発生時点でどの版が適用されていたかを確認する必要があるため、改定履歴の表だけでなく、本文、関連フォーム、SLA、教育資料の版番号を対応付けて管理する。</w:t>
      </w:r>
    </w:p>
    <w:p>
      <w:r>
        <w:rPr>
          <w:rFonts w:ascii="Yu Gothic" w:hAnsi="Yu Gothic"/>
          <w:sz w:val="21"/>
        </w:rPr>
        <w:t>改定の承認者は、変更が現場の申請、入力確認、ログ保管、事故対応に及ぼす影響を確認する。単に表現を整える改定であっても、利用者が期限や禁止事項の意味を変えて受け取るおそれがある場合は、周知文、FAQ、研修資料を更新し、部門管理者からの質問を受け付ける。</w:t>
      </w:r>
    </w:p>
    <w:p>
      <w:r>
        <w:rPr>
          <w:rFonts w:ascii="Yu Gothic" w:hAnsi="Yu Gothic"/>
          <w:sz w:val="21"/>
        </w:rPr>
        <w:t>規程に反映されていない運用上の例外が常態化した場合は、個別のメールや口頭説明で補うのではなく、正式な改定または手順書の整備を行う。例外の対象、期限、承認者、終了条件を記録し、期限到来時に通常の規程へ戻せるようにする。</w:t>
      </w:r>
    </w:p>
    <w:p>
      <w:pPr>
        <w:pStyle w:val="Heading2"/>
      </w:pPr>
      <w:r>
        <w:rPr>
          <w:rFonts w:ascii="Yu Gothic" w:hAnsi="Yu Gothic"/>
          <w:sz w:val="21"/>
        </w:rPr>
        <w:t>7. 利用目的の確認</w:t>
      </w:r>
    </w:p>
    <w:p>
      <w:r>
        <w:rPr>
          <w:rFonts w:ascii="Yu Gothic" w:hAnsi="Yu Gothic"/>
          <w:sz w:val="21"/>
        </w:rPr>
        <w:t>申請時は、利用する業務、期待する出力、利用者、利用期間を記載する。定型的な要約、公開済み資料の分類、社内FAQの下書きは、目的と入力範囲が明確な場合に検討できる。利用目的は、出力を誰が確認し、どの業務判断または文書作成に使うかまで説明する。</w:t>
      </w:r>
    </w:p>
    <w:p>
      <w:r>
        <w:rPr>
          <w:rFonts w:ascii="Yu Gothic" w:hAnsi="Yu Gothic"/>
          <w:sz w:val="21"/>
        </w:rPr>
        <w:t>人事評価、採用判断、与信判断、懲戒判断など、個人に重大な影響を与える判断を外部AIの出力だけで行ってはならない。担当者は出力を確認し、根拠資料と照合したうえで業務上の最終判断を行う。個人情報を扱う可能性がある場合は、利用目的が妥当でも入力前に相談する。</w:t>
      </w:r>
    </w:p>
    <w:p>
      <w:r>
        <w:rPr>
          <w:rFonts w:ascii="Yu Gothic" w:hAnsi="Yu Gothic"/>
          <w:sz w:val="21"/>
        </w:rPr>
        <w:t>PoCや短期検証でも、本番利用と同じ入力禁止情報と承認手順を適用する。検証用データは可能な限り合成データまたは公開情報を利用し、実データが必要と考える場合は、なぜ代替できないか、入力範囲をどこまで絞るか、終了後に何を削除するかを申請に記録する。</w:t>
      </w:r>
    </w:p>
    <w:p>
      <w:r>
        <w:rPr>
          <w:rFonts w:ascii="Yu Gothic" w:hAnsi="Yu Gothic"/>
          <w:sz w:val="21"/>
        </w:rPr>
        <w:t>利用開始後に目的が変わる場合は、同じサービスを使い続けることだけを理由に既存承認を流用しない。回答案の作成から顧客向け提案の作成へ用途を広げる場合や、利用者を別部門へ広げる場合は、出力の利用先、確認者、共有範囲を見直し、変更申請の要否を確認する。</w:t>
      </w:r>
    </w:p>
    <w:p>
      <w:pPr>
        <w:pStyle w:val="Heading2"/>
      </w:pPr>
      <w:r>
        <w:rPr>
          <w:rFonts w:ascii="Yu Gothic" w:hAnsi="Yu Gothic"/>
          <w:sz w:val="21"/>
        </w:rPr>
        <w:t>8. 入力データの準備</w:t>
      </w:r>
    </w:p>
    <w:p>
      <w:r>
        <w:rPr>
          <w:rFonts w:ascii="Yu Gothic" w:hAnsi="Yu Gothic"/>
          <w:sz w:val="21"/>
        </w:rPr>
        <w:t>入力前に、文書のヘッダー、フッター、コメント、変更履歴、ファイル名、添付画像を確認する。本文を匿名化しても、これらに氏名や案件名が残る場合がある。表の列名、グラフの注記、画面キャプチャの通知、URLに含まれる識別子も確認対象とする。</w:t>
      </w:r>
    </w:p>
    <w:p>
      <w:r>
        <w:rPr>
          <w:rFonts w:ascii="Yu Gothic" w:hAnsi="Yu Gothic"/>
          <w:sz w:val="21"/>
        </w:rPr>
        <w:t>部署内の略称、顧客の固有プロジェクト名、日付と拠点の組合せも識別子になり得る。置換後の文章を第三者が読んだ場合に、対象を推測できないかを確認する。少数の取引先にしか当てはまらない条件や、障害の発生日と製品構成の組合せが残る場合は、匿名化の方法を見直す。</w:t>
      </w:r>
    </w:p>
    <w:p>
      <w:r>
        <w:rPr>
          <w:rFonts w:ascii="Yu Gothic" w:hAnsi="Yu Gothic"/>
          <w:sz w:val="21"/>
        </w:rPr>
        <w:t>入力範囲の変更、サービスの追加、保存期間の延長がある場合は、既存申請をそのまま流用しない。個別事例を含む変更の判断と確認中の扱いは第17章に従う。</w:t>
      </w:r>
    </w:p>
    <w:p>
      <w:r>
        <w:rPr>
          <w:rFonts w:ascii="Yu Gothic" w:hAnsi="Yu Gothic"/>
          <w:sz w:val="21"/>
        </w:rPr>
        <w:t>匿名化後のデータは、原文と同じ共有フォルダに無制限に置かない。作業者、確認者、保存場所、削除予定日を記録し、利用終了後に不要な中間ファイル、貼り付け用の抜粋、生成された出力が残っていないかを確認する。</w:t>
      </w:r>
    </w:p>
    <w:p>
      <w:pPr>
        <w:pStyle w:val="Heading2"/>
      </w:pPr>
      <w:r>
        <w:rPr>
          <w:rFonts w:ascii="Yu Gothic" w:hAnsi="Yu Gothic"/>
          <w:sz w:val="21"/>
        </w:rPr>
        <w:t>9. 利用中の管理</w:t>
      </w:r>
    </w:p>
    <w:p>
      <w:r>
        <w:rPr>
          <w:rFonts w:ascii="Yu Gothic" w:hAnsi="Yu Gothic"/>
          <w:sz w:val="21"/>
        </w:rPr>
        <w:t>利用者は、承認された用途、サービス、入力範囲を超えて利用しない。ブラウザ拡張、個人アカウント、無償版サービスへのコピー&amp;ペーストは承認済み利用に含まれない。利用画面の設定が変わった場合は、外部送信、保存、学習利用、共有範囲を再確認する。</w:t>
      </w:r>
    </w:p>
    <w:p>
      <w:r>
        <w:rPr>
          <w:rFonts w:ascii="Yu Gothic" w:hAnsi="Yu Gothic"/>
          <w:sz w:val="21"/>
        </w:rPr>
        <w:t>出力を社外へ提供する前に、事実誤認、著作権上の問題、第三者情報の混入がないかを確認する。生成結果には必要に応じて人手レビューの記録を残し、数値、日付、引用、法的な表現は原典と照合する。出力に含まれる固有名詞が入力範囲を超えている場合は利用を止める。</w:t>
      </w:r>
    </w:p>
    <w:p>
      <w:r>
        <w:rPr>
          <w:rFonts w:ascii="Yu Gothic" w:hAnsi="Yu Gothic"/>
          <w:sz w:val="21"/>
        </w:rPr>
        <w:t>部門管理者は月次で利用者一覧と利用目的を確認し、退職・異動・業務終了後に不要となったアクセス権を削除する。利用実態が申請と異なる場合は、利用者に口頭で注意するだけで済ませず、入力停止、変更申請、設定変更、再教育のどれが必要かを記録する。</w:t>
      </w:r>
    </w:p>
    <w:p>
      <w:r>
        <w:rPr>
          <w:rFonts w:ascii="Yu Gothic" w:hAnsi="Yu Gothic"/>
          <w:sz w:val="21"/>
        </w:rPr>
        <w:t>会議要約機能では、録音の自動保存、参加者名の取り込み、外部クラウドへのアップロードが有効になっていないかを会議前に確認する。申請前の自動アップロードを無効化し、参加者名、顧客名、録音URLを外部AIへ送らない。</w:t>
      </w:r>
    </w:p>
    <w:p>
      <w:pPr>
        <w:pStyle w:val="Heading2"/>
      </w:pPr>
      <w:r>
        <w:rPr>
          <w:rFonts w:ascii="Yu Gothic" w:hAnsi="Yu Gothic"/>
          <w:sz w:val="21"/>
        </w:rPr>
        <w:t>10. 相談窓口と記録</w:t>
      </w:r>
    </w:p>
    <w:p>
      <w:r>
        <w:rPr>
          <w:rFonts w:ascii="Yu Gothic" w:hAnsi="Yu Gothic"/>
          <w:sz w:val="21"/>
        </w:rPr>
        <w:t>利用可否が判断できない場合は、利用開始前にAI利用相談窓口または部門の情報管理責任者へ相談する。緊急対応を理由に無承認で入力してはならない。相談では、利用目的、入力予定データ、利用サービス、匿名化の可否、想定する保存先を共有する。</w:t>
      </w:r>
    </w:p>
    <w:p>
      <w:r>
        <w:rPr>
          <w:rFonts w:ascii="Yu Gothic" w:hAnsi="Yu Gothic"/>
          <w:sz w:val="21"/>
        </w:rPr>
        <w:t>回答内容は申請時の判断根拠として保存する。相談の結論だけでなく、確認した資料、前提条件、代替手段、追加で確認すべき事項を記録し、後から別の利用者が同じ相談をした際に、条件が変わっていないかを確認できるようにする。</w:t>
      </w:r>
    </w:p>
    <w:p>
      <w:r>
        <w:rPr>
          <w:rFonts w:ascii="Yu Gothic" w:hAnsi="Yu Gothic"/>
          <w:sz w:val="21"/>
        </w:rPr>
        <w:t>運用上の気付きや誤入力の兆候は、責任追及ではなく再発防止を目的に記録する。重大度の判定と正式なエスカレーションはSLAに従い、利用サービス名、送信時刻、入力内容の概要、影響範囲、削除依頼の状況を分かる範囲で共有する。</w:t>
      </w:r>
    </w:p>
    <w:p>
      <w:r>
        <w:rPr>
          <w:rFonts w:ascii="Yu Gothic" w:hAnsi="Yu Gothic"/>
          <w:sz w:val="21"/>
        </w:rPr>
        <w:t>相談窓口は、個別の承認を口頭で代替する場所ではない。利用者は、相談結果に変更申請または正式承認が必要と示された場合、承認を得るまで入力を開始しない。部門管理者は、相談が長期化する案件で暫定利用が始まらないよう進捗を確認する。</w:t>
      </w:r>
    </w:p>
    <w:p>
      <w:pPr>
        <w:pStyle w:val="Heading2"/>
      </w:pPr>
      <w:r>
        <w:rPr>
          <w:rFonts w:ascii="Yu Gothic" w:hAnsi="Yu Gothic"/>
          <w:sz w:val="21"/>
        </w:rPr>
        <w:t>11. 営業部門での利用</w:t>
      </w:r>
    </w:p>
    <w:p>
      <w:r>
        <w:rPr>
          <w:rFonts w:ascii="Yu Gothic" w:hAnsi="Yu Gothic"/>
          <w:sz w:val="21"/>
        </w:rPr>
        <w:t>提案書、商談メモ、顧客別FAQを扱う場合は、顧客名、案件名、契約条件、担当者名が入力範囲に残らないよう確認する。公開済みの製品資料を使う場合も、改定前資料や社内限定資料が混在していないかを確認する。</w:t>
      </w:r>
    </w:p>
    <w:p>
      <w:r>
        <w:rPr>
          <w:rFonts w:ascii="Yu Gothic" w:hAnsi="Yu Gothic"/>
          <w:sz w:val="21"/>
        </w:rPr>
        <w:t>営業責任者は、利用者が出力をそのまま顧客へ送付しないよう、人手レビューと引用元確認の担当を決める。個別事例を追加する場合の可否と申請手続きは第17章に従う。</w:t>
      </w:r>
    </w:p>
    <w:p>
      <w:r>
        <w:rPr>
          <w:rFonts w:ascii="Yu Gothic" w:hAnsi="Yu Gothic"/>
          <w:sz w:val="21"/>
        </w:rPr>
        <w:t>提案の期限が迫っていても、未承認の外部AIへ商談記録を貼り付けない。公開済みの製品情報、合成した想定問答、社内環境での手作業を代替手段とする。</w:t>
      </w:r>
    </w:p>
    <w:p>
      <w:pPr>
        <w:pStyle w:val="Heading2"/>
      </w:pPr>
      <w:r>
        <w:rPr>
          <w:rFonts w:ascii="Yu Gothic" w:hAnsi="Yu Gothic"/>
          <w:sz w:val="21"/>
        </w:rPr>
        <w:t>12. 開発部門での利用</w:t>
      </w:r>
    </w:p>
    <w:p>
      <w:r>
        <w:rPr>
          <w:rFonts w:ascii="Yu Gothic" w:hAnsi="Yu Gothic"/>
          <w:sz w:val="21"/>
        </w:rPr>
        <w:t>設計書、障害ログ、ソースコードを扱う場合は、接続先、秘密鍵、トークン、顧客テナント名、未公開の脆弱性情報を除外する。コード断片だけでも周辺情報からサービス構成を推測できる場合がある。</w:t>
      </w:r>
    </w:p>
    <w:p>
      <w:r>
        <w:rPr>
          <w:rFonts w:ascii="Yu Gothic" w:hAnsi="Yu Gothic"/>
          <w:sz w:val="21"/>
        </w:rPr>
        <w:t>開発責任者は、利用目的が調査・説明・テストのいずれかを記録し、外部サービスへの学習利用設定と保存場所を確認する。障害対応中のログや未公開の脆弱性情報は、緊急性があっても外部AIへ入力せず、社内で認められた手段を使う。</w:t>
      </w:r>
    </w:p>
    <w:p>
      <w:r>
        <w:rPr>
          <w:rFonts w:ascii="Yu Gothic" w:hAnsi="Yu Gothic"/>
          <w:sz w:val="21"/>
        </w:rPr>
        <w:t>依存ライブラリの設定、CIログ、画面キャプチャにもトークンや内部URLが含まれ得る。入力前に自動マスキングの結果を過信せず、確認者が抜粋、添付、プロンプト例を確認し、作業後に不要なコピーを削除する。</w:t>
      </w:r>
    </w:p>
    <w:p>
      <w:pPr>
        <w:pStyle w:val="Heading2"/>
      </w:pPr>
      <w:r>
        <w:rPr>
          <w:rFonts w:ascii="Yu Gothic" w:hAnsi="Yu Gothic"/>
          <w:sz w:val="21"/>
        </w:rPr>
        <w:t>13. 管理部門での利用</w:t>
      </w:r>
    </w:p>
    <w:p>
      <w:r>
        <w:rPr>
          <w:rFonts w:ascii="Yu Gothic" w:hAnsi="Yu Gothic"/>
          <w:sz w:val="21"/>
        </w:rPr>
        <w:t>人事、経理、法務、購買の資料には個人情報、報酬情報、契約制限情報が含まれやすい。業務効率化の目的であっても、対象者に重大な影響を与える判断をAI出力に委ねてはならない。</w:t>
      </w:r>
    </w:p>
    <w:p>
      <w:r>
        <w:rPr>
          <w:rFonts w:ascii="Yu Gothic" w:hAnsi="Yu Gothic"/>
          <w:sz w:val="21"/>
        </w:rPr>
        <w:t>管理部門の責任者は、利用可否が不明な場合に、入力を急がず情報管理責任者へ相談する。相談内容と判断理由を記録し、特に評価コメント、契約書、請求情報、取引先の交渉記録は、氏名を伏せただけで匿名化済みと判断しない。</w:t>
      </w:r>
    </w:p>
    <w:p>
      <w:r>
        <w:rPr>
          <w:rFonts w:ascii="Yu Gothic" w:hAnsi="Yu Gothic"/>
          <w:sz w:val="21"/>
        </w:rPr>
        <w:t>出力を社内共有する場合も、閲覧者、保存先、利用期限を決める。担当者は、AIが作成した要約や分類をそのまま人事判断、支払判断、契約判断の根拠にせず、原資料と照合し、必要な承認とレビューを受ける。</w:t>
      </w:r>
    </w:p>
    <w:p>
      <w:pPr>
        <w:pStyle w:val="Heading2"/>
      </w:pPr>
      <w:r>
        <w:rPr>
          <w:rFonts w:ascii="Yu Gothic" w:hAnsi="Yu Gothic"/>
          <w:sz w:val="21"/>
        </w:rPr>
        <w:t>14. 委託先との共同作業</w:t>
      </w:r>
    </w:p>
    <w:p>
      <w:r>
        <w:rPr>
          <w:rFonts w:ascii="Yu Gothic" w:hAnsi="Yu Gothic"/>
          <w:sz w:val="21"/>
        </w:rPr>
        <w:t>委託先が作成した資料や共同プロジェクトの記録には、契約上の持出し制限が設定されている場合がある。自社の承認済みAIであっても、契約条件を確認しないまま入力してはならない。</w:t>
      </w:r>
    </w:p>
    <w:p>
      <w:r>
        <w:rPr>
          <w:rFonts w:ascii="Yu Gothic" w:hAnsi="Yu Gothic"/>
          <w:sz w:val="21"/>
        </w:rPr>
        <w:t>共同作業の担当者は、委託元・委託先・利用サービス・入力範囲を明確にし、必要に応じて法務または購買担当へ確認する。契約で再委託、国外保管、学習利用、第三者提供に制限がある場合は、匿名化の有無だけで利用可と判断しない。</w:t>
      </w:r>
    </w:p>
    <w:p>
      <w:r>
        <w:rPr>
          <w:rFonts w:ascii="Yu Gothic" w:hAnsi="Yu Gothic"/>
          <w:sz w:val="21"/>
        </w:rPr>
        <w:t>委託先と出力を共有する場合は、共有前に事実確認、第三者情報の混入、契約上の利用目的を確認する。共同作業の終了時には、共有アカウント、ファイル連携、保存済み出力、利用履歴の扱いを双方で確認し、不要な権限を削除する。</w:t>
      </w:r>
    </w:p>
    <w:p>
      <w:pPr>
        <w:pStyle w:val="Heading2"/>
      </w:pPr>
      <w:r>
        <w:rPr>
          <w:rFonts w:ascii="Yu Gothic" w:hAnsi="Yu Gothic"/>
          <w:sz w:val="21"/>
        </w:rPr>
        <w:t>15. 変更・終了時の確認</w:t>
      </w:r>
    </w:p>
    <w:p>
      <w:r>
        <w:rPr>
          <w:rFonts w:ascii="Yu Gothic" w:hAnsi="Yu Gothic"/>
          <w:sz w:val="21"/>
        </w:rPr>
        <w:t>利用目的の変更、利用者の追加、入力範囲の拡大、外部サービスの切替、保存期間の変更は、当初承認の前提を変える。変更前に申請内容を見直し、再承認の要否を確認する。</w:t>
      </w:r>
    </w:p>
    <w:p>
      <w:r>
        <w:rPr>
          <w:rFonts w:ascii="Yu Gothic" w:hAnsi="Yu Gothic"/>
          <w:sz w:val="21"/>
        </w:rPr>
        <w:t>変更内容には、追加する資料、個別相談の履歴、顧客別の対応例、会議録、障害記録などを含めて記録する。個別事例を含む変更の判断条件と入力開始の扱いは第17章に従う。</w:t>
      </w:r>
    </w:p>
    <w:p>
      <w:r>
        <w:rPr>
          <w:rFonts w:ascii="Yu Gothic" w:hAnsi="Yu Gothic"/>
          <w:sz w:val="21"/>
        </w:rPr>
        <w:t>業務終了時は、利用アカウント、共有設定、保存済み出力、連携設定を確認し、不要なアクセス権を削除する。利用ログ、申請、変更確認、点検結果は、定めた保存期間に従って保管し、終了後も監査や調査に必要な関係をたどれるようにする。</w:t>
      </w:r>
    </w:p>
    <w:p>
      <w:pPr>
        <w:pStyle w:val="Heading2"/>
      </w:pPr>
      <w:r>
        <w:rPr>
          <w:rFonts w:ascii="Yu Gothic" w:hAnsi="Yu Gothic"/>
          <w:sz w:val="21"/>
        </w:rPr>
        <w:t>16. 定期点検</w:t>
      </w:r>
    </w:p>
    <w:p>
      <w:r>
        <w:rPr>
          <w:rFonts w:ascii="Yu Gothic" w:hAnsi="Yu Gothic"/>
          <w:sz w:val="21"/>
        </w:rPr>
        <w:t>部門管理者は四半期ごとに、承認済み利用の一覧、利用目的、入力範囲、保存期間、利用者を確認する。利用実態が申請と異なる場合は是正計画を作成する。</w:t>
      </w:r>
    </w:p>
    <w:p>
      <w:r>
        <w:rPr>
          <w:rFonts w:ascii="Yu Gothic" w:hAnsi="Yu Gothic"/>
          <w:sz w:val="21"/>
        </w:rPr>
        <w:t>点検では、ブラウザ拡張や個人アカウントなど、承認済み一覧にない経路の利用兆候も確認する。利用サービスの設定、ログ保存、共有範囲、学習利用設定が変更されていないか、異動・退職した利用者の権限が残っていないかを照合する。</w:t>
      </w:r>
    </w:p>
    <w:p>
      <w:r>
        <w:rPr>
          <w:rFonts w:ascii="Yu Gothic" w:hAnsi="Yu Gothic"/>
          <w:sz w:val="21"/>
        </w:rPr>
        <w:t>点検結果は、件数だけでなく、見つかった差異、是正の担当者、期限、再確認日を記録する。同じ差異が繰り返される場合は、個別の注意だけでなく、申請フォーム、教育資料、システム設定、承認基準の改善が必要かを検討する。</w:t>
      </w:r>
    </w:p>
    <w:p>
      <w:pPr>
        <w:pStyle w:val="Heading2"/>
      </w:pPr>
      <w:r>
        <w:rPr>
          <w:rFonts w:ascii="Yu Gothic" w:hAnsi="Yu Gothic"/>
          <w:sz w:val="21"/>
        </w:rPr>
        <w:t>17. 顧客事例を含む利用内容の変更</w:t>
      </w:r>
    </w:p>
    <w:p>
      <w:pPr>
        <w:pStyle w:val="Heading3"/>
      </w:pPr>
      <w:r>
        <w:rPr>
          <w:rFonts w:ascii="Yu Gothic" w:hAnsi="Yu Gothic"/>
          <w:sz w:val="21"/>
        </w:rPr>
        <w:t>17.1 適用条件</w:t>
      </w:r>
    </w:p>
    <w:p>
      <w:r>
        <w:rPr>
          <w:rFonts w:ascii="Yu Gothic" w:hAnsi="Yu Gothic"/>
          <w:sz w:val="21"/>
        </w:rPr>
        <w:t>承認済み利用であっても、個別ケースに関する記録を追加する場合は、当初の入力範囲を超える利用として扱う。複数の記述や属性を組み合わせたときに、対象の組織・案件・担当者を推定できないことを確認する。</w:t>
      </w:r>
    </w:p>
    <w:p>
      <w:r>
        <w:rPr>
          <w:rFonts w:ascii="Yu Gothic" w:hAnsi="Yu Gothic"/>
          <w:sz w:val="21"/>
        </w:rPr>
        <w:t>匿名化は氏名を伏せるだけでは十分でない。固有の出来事、少数の相手先に限定される条件、取扱いを指定する契約条項が残る場合は、入力範囲を見直すか、外部AIを利用しない。問い合わせの時期、製品構成、地域、担当部署、対応経緯の組合せも再識別の手掛かりになり得る。</w:t>
      </w:r>
    </w:p>
    <w:p>
      <w:r>
        <w:rPr>
          <w:rFonts w:ascii="Yu Gothic" w:hAnsi="Yu Gothic"/>
          <w:sz w:val="21"/>
        </w:rPr>
        <w:t>社内FAQのたたき台、営業回答案、サポート手順書に事例を追加する際は、追加分が本当に必要かを確認する。公開済みの事例、一般化した説明、合成データで代替できる場合はそれらを優先し、元の個別相談をそのまま入力しない。元の記録を使えるかどうかは、後続の確認記録や変更申請の有無ではなく、この適用条件で先に判断する。</w:t>
      </w:r>
    </w:p>
    <w:p>
      <w:r>
        <w:rPr>
          <w:rFonts w:ascii="Yu Gothic" w:hAnsi="Yu Gothic"/>
          <w:sz w:val="21"/>
        </w:rPr>
        <w:t>ここでいう個別ケースには、本文だけでなく、自由記述の問い合わせ、対応履歴、添付のスクリーンショット、会議での発言要旨、障害の時系列、返金・解約理由の記録を含む。利用者は、資料の名称ではなく、組み合わせたときに何が推定できるかで対象を判断する。</w:t>
      </w:r>
    </w:p>
    <w:p>
      <w:r>
        <w:rPr>
          <w:rFonts w:ascii="Yu Gothic" w:hAnsi="Yu Gothic"/>
          <w:sz w:val="21"/>
        </w:rPr>
        <w:t>例えば氏名と会社名を削除しても、特定月の障害、導入製品、少数の販売地域、担当部門、契約上の特例がそろう場合は、相手先や案件を推定できる。匿名化済みのラベルや過去の承認だけを根拠に、追加利用を開始してはならない。</w:t>
      </w:r>
    </w:p>
    <w:p>
      <w:pPr>
        <w:pStyle w:val="Heading3"/>
      </w:pPr>
      <w:r>
        <w:rPr>
          <w:rFonts w:ascii="Yu Gothic" w:hAnsi="Yu Gothic"/>
          <w:sz w:val="21"/>
        </w:rPr>
        <w:t>17.2 利用前の確認</w:t>
      </w:r>
    </w:p>
    <w:p>
      <w:r>
        <w:rPr>
          <w:rFonts w:ascii="Yu Gothic" w:hAnsi="Yu Gothic"/>
          <w:sz w:val="21"/>
        </w:rPr>
        <w:t>申請者は、追加する事例が回答案の作成に本当に必要かを確認し、公開済みの事例または合成した例で代替できないかを検討する。部門管理者は、出力を顧客へ送る前に事実確認を行う担当者を決める。</w:t>
      </w:r>
    </w:p>
    <w:p>
      <w:r>
        <w:rPr>
          <w:rFonts w:ascii="Yu Gothic" w:hAnsi="Yu Gothic"/>
          <w:sz w:val="21"/>
        </w:rPr>
        <w:t>委託先との共同案件、NDA対象の事例、苦情や障害に関する履歴は、匿名化できても契約上の制限がないかを確認する。判断できない場合は、情報管理責任者または購買・法務の担当者に相談する。確認では、本文だけでなく添付、画面キャプチャ、ファイル名、URL、コメント、変更履歴を対象にする。</w:t>
      </w:r>
    </w:p>
    <w:p>
      <w:r>
        <w:rPr>
          <w:rFonts w:ascii="Yu Gothic" w:hAnsi="Yu Gothic"/>
          <w:sz w:val="21"/>
        </w:rPr>
        <w:t>追加する内容を最小限に絞り、入力前に再識別可能性を第三者が確認する。利用サービスの保存設定、学習利用設定、共有範囲も確認し、申請時の前提と異なる場合は、入力を始める前に変更申請の要否を確認する。</w:t>
      </w:r>
    </w:p>
    <w:p>
      <w:r>
        <w:rPr>
          <w:rFonts w:ascii="Yu Gothic" w:hAnsi="Yu Gothic"/>
          <w:sz w:val="21"/>
        </w:rPr>
        <w:t>確認記録には、追加しようとする情報の種類、想定される読み手、公開済み又は合成の代替案、残る識別子、契約確認の担当者を残す。判断を急ぐ場合でも、確認者が不在のまま『氏名を消したから問題ない』として次の手続きへ進めない。この記録は17.1の適用条件を満たしたかを確認するためのものであり、記録を作ったこと自体は元の個別記録を利用してよい根拠にはならない。</w:t>
      </w:r>
    </w:p>
    <w:p>
      <w:r>
        <w:rPr>
          <w:rFonts w:ascii="Yu Gothic" w:hAnsi="Yu Gothic"/>
          <w:sz w:val="21"/>
        </w:rPr>
        <w:t>同じ案件の一部を既に承認済みの入力範囲で使っている場合も、今回追加する情報がその範囲に含まれるとは限らない。承認済みの用途、入力元、保存設定と照らし、差分を説明できる状態にしてから変更の相談を行う。</w:t>
      </w:r>
    </w:p>
    <w:p>
      <w:pPr>
        <w:pStyle w:val="Heading3"/>
      </w:pPr>
      <w:r>
        <w:rPr>
          <w:rFonts w:ascii="Yu Gothic" w:hAnsi="Yu Gothic"/>
          <w:sz w:val="21"/>
        </w:rPr>
        <w:t>17.3 変更時の手続き</w:t>
      </w:r>
    </w:p>
    <w:p>
      <w:r>
        <w:rPr>
          <w:rFonts w:ascii="Yu Gothic" w:hAnsi="Yu Gothic"/>
          <w:sz w:val="21"/>
        </w:rPr>
        <w:t>利用目的、入力予定データ、利用部門、保存期間のいずれかが変わる場合は、AI-REQ-17の変更申請が必要かを情報管理責任者に確認する。確認の結果、変更申請を行う場合は、追加するデータの範囲と匿名化方法を記載し、承認を得るまで入力しない。変更申請は17.1で利用可能と判断された情報の範囲を確認する手続きであり、再識別可能性又は契約上の制限を解消するものではない。</w:t>
      </w:r>
    </w:p>
    <w:p>
      <w:r>
        <w:rPr>
          <w:rFonts w:ascii="Yu Gothic" w:hAnsi="Yu Gothic"/>
          <w:sz w:val="21"/>
        </w:rPr>
        <w:t>確認中は、既存の承認済みデータだけで作業し、追加した個別相談の本文、添付、画面キャプチャ、録音、問い合わせ履歴を外部AIへ入力しない。期限が迫る場合は、公開済みFAQの検索、社内ツールでの要約、または担当者による手作業で代替する。</w:t>
      </w:r>
    </w:p>
    <w:p>
      <w:r>
        <w:rPr>
          <w:rFonts w:ascii="Yu Gothic" w:hAnsi="Yu Gothic"/>
          <w:sz w:val="21"/>
        </w:rPr>
        <w:t>変更後の利用を開始した部門は、最初の10件の入力と出力について、承認した範囲を超える情報が混入していないかを点検する。点検で疑わしい記述を見つけた場合は、直ちに追加入力を止め、利用サービス名、送信時刻、入力内容の概要、対象範囲を控え、SLAとAI-INC-09の手順に従う。</w:t>
      </w:r>
    </w:p>
    <w:p>
      <w:r>
        <w:rPr>
          <w:rFonts w:ascii="Yu Gothic" w:hAnsi="Yu Gothic"/>
          <w:sz w:val="21"/>
        </w:rPr>
        <w:t>変更申請では、既存承認との違いを『入力元』『識別可能性』『保存又は共有設定』『契約上の取扱い』に分けて記載する。承認者は、差分の説明と第17.2項の確認記録がそろっていることを確認し、不足がある場合は利用開始を認めない。</w:t>
      </w:r>
    </w:p>
    <w:p>
      <w:pPr>
        <w:pStyle w:val="Heading3"/>
      </w:pPr>
      <w:r>
        <w:rPr>
          <w:rFonts w:ascii="Yu Gothic" w:hAnsi="Yu Gothic"/>
          <w:sz w:val="21"/>
        </w:rPr>
        <w:t>17.4 承認後の受け渡し確認</w:t>
      </w:r>
    </w:p>
    <w:p>
      <w:r>
        <w:rPr>
          <w:rFonts w:ascii="Yu Gothic" w:hAnsi="Yu Gothic"/>
          <w:sz w:val="21"/>
        </w:rPr>
        <w:t>変更が承認された後も、追加した情報をそのまま定常運用へ渡さない。申請者と部門管理者は、承認された入力元、匿名化の手順、保存先、共有範囲を作業担当者へ引き継ぎ、申請時の確認記録と異なる運用が始まらないことを確認する。この受け渡し確認は、17.1で元の個別記録を利用できると判断され、17.2と17.3の確認・承認を終えた場合に限る。保存先や共有先を整えただけで、利用不可の個別記録を使えるようにはならない。</w:t>
      </w:r>
    </w:p>
    <w:p>
      <w:r>
        <w:rPr>
          <w:rFonts w:ascii="Yu Gothic" w:hAnsi="Yu Gothic"/>
          <w:sz w:val="21"/>
        </w:rPr>
        <w:t>特に保存先や共有先を変更した場合は、本文の匿名化だけでなく、添付ファイル名、リンク権限、出力のダウンロード先、外部サービスの学習利用設定を確認する。変更前の設定が残っている場合は、承認済みでも追加分の入力を開始しない。</w:t>
      </w:r>
    </w:p>
    <w:p>
      <w:r>
        <w:rPr>
          <w:rFonts w:ascii="Yu Gothic" w:hAnsi="Yu Gothic"/>
          <w:sz w:val="21"/>
        </w:rPr>
        <w:t>部門管理者は、担当者交代や委託先との共同作業がある案件では、誰が契約確認の結果と承認条件を引き継ぐかを記録する。承認時の確認者が不在で条件を説明できない場合は、利用を急がず情報管理責任者へ相談する。</w:t>
      </w:r>
    </w:p>
    <w:p>
      <w:pPr>
        <w:pStyle w:val="Heading3"/>
      </w:pPr>
      <w:r>
        <w:rPr>
          <w:rFonts w:ascii="Yu Gothic" w:hAnsi="Yu Gothic"/>
          <w:sz w:val="21"/>
        </w:rPr>
        <w:t>17.5 初回利用の点検</w:t>
      </w:r>
    </w:p>
    <w:p>
      <w:r>
        <w:rPr>
          <w:rFonts w:ascii="Yu Gothic" w:hAnsi="Yu Gothic"/>
          <w:sz w:val="21"/>
        </w:rPr>
        <w:t>変更後の利用を開始した部門は、最初の10件の入力と出力について、承認した範囲を超える情報が混入していないかを点検する。点検では、入力本文だけでなく、プロンプトの例示、貼り付けた表、画像、ファイル名、出力に残る固有表現を確認する。</w:t>
      </w:r>
    </w:p>
    <w:p>
      <w:r>
        <w:rPr>
          <w:rFonts w:ascii="Yu Gothic" w:hAnsi="Yu Gothic"/>
          <w:sz w:val="21"/>
        </w:rPr>
        <w:t>点検で疑わしい記述を見つけた場合は、直ちに追加入力を止め、利用サービス名、送信時刻、入力内容の概要、対象範囲を控える。誤入力の可能性がある場合の連絡先、期限、報告書の扱いはエスカレーションSLAおよびAI-INC-09の手順に従う。</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