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6997FC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青协新锐评分细则</w:t>
      </w:r>
    </w:p>
    <w:p w14:paraId="75F580A5"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壹、</w:t>
      </w:r>
      <w:r>
        <w:rPr>
          <w:rFonts w:hint="eastAsia"/>
          <w:lang w:val="en-US" w:eastAsia="zh-CN"/>
        </w:rPr>
        <w:t>总则</w:t>
      </w:r>
    </w:p>
    <w:p w14:paraId="73ABD62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本次“青协新锐”评分设置线上材料、绩效考核及现场答辩三个评分板块，线上评分部分占30%，绩效10%，现场答辩占比60%。所有的打分应当在附件包含的评分表内进行。</w:t>
      </w:r>
    </w:p>
    <w:p w14:paraId="5072C1F1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贰、</w:t>
      </w:r>
      <w:r>
        <w:rPr>
          <w:rFonts w:hint="eastAsia"/>
          <w:lang w:val="en-US" w:eastAsia="zh-CN"/>
        </w:rPr>
        <w:t>线上材料评分（30%）</w:t>
      </w:r>
    </w:p>
    <w:p w14:paraId="53F3B8C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线上材料评分总分100分，评委团在打分后，按照30%的比例计入总分。</w:t>
      </w:r>
    </w:p>
    <w:p w14:paraId="4CEB64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申请表评分要求（30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）</w:t>
      </w:r>
    </w:p>
    <w:tbl>
      <w:tblPr>
        <w:tblStyle w:val="5"/>
        <w:tblW w:w="87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517"/>
        <w:gridCol w:w="2200"/>
        <w:gridCol w:w="1860"/>
        <w:gridCol w:w="1940"/>
      </w:tblGrid>
      <w:tr w14:paraId="38744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57" w:type="dxa"/>
            <w:gridSpan w:val="2"/>
            <w:vAlign w:val="center"/>
          </w:tcPr>
          <w:p w14:paraId="408B843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评分项</w:t>
            </w:r>
          </w:p>
        </w:tc>
        <w:tc>
          <w:tcPr>
            <w:tcW w:w="2200" w:type="dxa"/>
            <w:vAlign w:val="center"/>
          </w:tcPr>
          <w:p w14:paraId="6F3EC4B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A档</w:t>
            </w:r>
          </w:p>
        </w:tc>
        <w:tc>
          <w:tcPr>
            <w:tcW w:w="1860" w:type="dxa"/>
            <w:vAlign w:val="center"/>
          </w:tcPr>
          <w:p w14:paraId="79CECF8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B档</w:t>
            </w:r>
          </w:p>
        </w:tc>
        <w:tc>
          <w:tcPr>
            <w:tcW w:w="1940" w:type="dxa"/>
            <w:vAlign w:val="center"/>
          </w:tcPr>
          <w:p w14:paraId="6B0DB09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C档</w:t>
            </w:r>
          </w:p>
        </w:tc>
      </w:tr>
      <w:tr w14:paraId="18EA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7" w:hRule="atLeast"/>
        </w:trPr>
        <w:tc>
          <w:tcPr>
            <w:tcW w:w="1240" w:type="dxa"/>
            <w:vMerge w:val="restart"/>
            <w:vAlign w:val="center"/>
          </w:tcPr>
          <w:p w14:paraId="0D81511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个人工作经历（50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3159426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干事日常工作质量(25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6FCCDA4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干事认真完成日常工作（25-16）</w:t>
            </w:r>
          </w:p>
        </w:tc>
        <w:tc>
          <w:tcPr>
            <w:tcW w:w="1860" w:type="dxa"/>
            <w:vAlign w:val="center"/>
          </w:tcPr>
          <w:p w14:paraId="1C0BD2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干事能完成日常工作（15-6）</w:t>
            </w:r>
          </w:p>
        </w:tc>
        <w:tc>
          <w:tcPr>
            <w:tcW w:w="1940" w:type="dxa"/>
            <w:vAlign w:val="center"/>
          </w:tcPr>
          <w:p w14:paraId="0FDDEE9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干事无法完成或常出错（6-0）</w:t>
            </w:r>
          </w:p>
        </w:tc>
      </w:tr>
      <w:tr w14:paraId="4FB6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</w:trPr>
        <w:tc>
          <w:tcPr>
            <w:tcW w:w="1240" w:type="dxa"/>
            <w:vMerge w:val="continue"/>
            <w:vAlign w:val="center"/>
          </w:tcPr>
          <w:p w14:paraId="67740B25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2C7CB8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干事工作积极性(15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044B13D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干事参与几乎全部的日常和临时工（15-11）</w:t>
            </w:r>
          </w:p>
        </w:tc>
        <w:tc>
          <w:tcPr>
            <w:tcW w:w="1860" w:type="dxa"/>
            <w:vAlign w:val="center"/>
          </w:tcPr>
          <w:p w14:paraId="648358A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干事参加了大部分工作（10-6）</w:t>
            </w:r>
          </w:p>
        </w:tc>
        <w:tc>
          <w:tcPr>
            <w:tcW w:w="1940" w:type="dxa"/>
            <w:vAlign w:val="center"/>
          </w:tcPr>
          <w:p w14:paraId="23CAFC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干事很少参加工作（5-0）</w:t>
            </w:r>
          </w:p>
        </w:tc>
      </w:tr>
      <w:tr w14:paraId="45182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1E7866C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4C1E687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干事创新能力(10</w:t>
            </w:r>
            <w:r>
              <w:rPr>
                <w:rFonts w:hint="default"/>
                <w:vertAlign w:val="baseline"/>
                <w:lang w:val="en-US" w:eastAsia="zh-CN"/>
              </w:rPr>
              <w:t>’</w:t>
            </w:r>
            <w:r>
              <w:rPr>
                <w:rFonts w:hint="eastAsia"/>
                <w:vertAlign w:val="baseline"/>
                <w:lang w:val="en-US" w:eastAsia="zh-CN"/>
              </w:rPr>
              <w:t>)</w:t>
            </w:r>
          </w:p>
        </w:tc>
        <w:tc>
          <w:tcPr>
            <w:tcW w:w="2200" w:type="dxa"/>
            <w:vAlign w:val="center"/>
          </w:tcPr>
          <w:p w14:paraId="06AA553C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提出的改进建议有可行性（10-7）</w:t>
            </w:r>
          </w:p>
        </w:tc>
        <w:tc>
          <w:tcPr>
            <w:tcW w:w="1860" w:type="dxa"/>
            <w:vAlign w:val="center"/>
          </w:tcPr>
          <w:p w14:paraId="68579BD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可以提出一定建议（6-3）</w:t>
            </w:r>
          </w:p>
        </w:tc>
        <w:tc>
          <w:tcPr>
            <w:tcW w:w="1940" w:type="dxa"/>
            <w:vAlign w:val="center"/>
          </w:tcPr>
          <w:p w14:paraId="604F8514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未提出建议或可行性较低（2-0）</w:t>
            </w:r>
          </w:p>
        </w:tc>
      </w:tr>
      <w:tr w14:paraId="74C83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2F4F3F4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对个人的认识和未来期望（30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7EE3A88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个人定位及期望（20’）</w:t>
            </w:r>
          </w:p>
        </w:tc>
        <w:tc>
          <w:tcPr>
            <w:tcW w:w="2200" w:type="dxa"/>
            <w:vAlign w:val="center"/>
          </w:tcPr>
          <w:p w14:paraId="5D7B321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定位清晰明确，期望立足实际，长期短期结合，可行性强（20-10）</w:t>
            </w:r>
          </w:p>
        </w:tc>
        <w:tc>
          <w:tcPr>
            <w:tcW w:w="1860" w:type="dxa"/>
            <w:vAlign w:val="center"/>
          </w:tcPr>
          <w:p w14:paraId="631EC33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定位较为模糊，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有一定期望，比较符合实际（10-5）</w:t>
            </w:r>
          </w:p>
        </w:tc>
        <w:tc>
          <w:tcPr>
            <w:tcW w:w="1940" w:type="dxa"/>
            <w:vAlign w:val="center"/>
          </w:tcPr>
          <w:p w14:paraId="4410A99A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没有定位或非常模糊；期望假大空，脱离实际（5-0）</w:t>
            </w:r>
          </w:p>
        </w:tc>
      </w:tr>
      <w:tr w14:paraId="204A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240" w:type="dxa"/>
            <w:vMerge w:val="continue"/>
            <w:vAlign w:val="center"/>
          </w:tcPr>
          <w:p w14:paraId="2EC09998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7F1ADB77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契合工作经历（10’）</w:t>
            </w:r>
          </w:p>
        </w:tc>
        <w:tc>
          <w:tcPr>
            <w:tcW w:w="2200" w:type="dxa"/>
            <w:vAlign w:val="center"/>
          </w:tcPr>
          <w:p w14:paraId="2CBF1486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有充足、详实的工作经历支撑（10-7）</w:t>
            </w:r>
          </w:p>
        </w:tc>
        <w:tc>
          <w:tcPr>
            <w:tcW w:w="1860" w:type="dxa"/>
            <w:vAlign w:val="center"/>
          </w:tcPr>
          <w:p w14:paraId="5F11A922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有工作经历（6-3）</w:t>
            </w:r>
          </w:p>
        </w:tc>
        <w:tc>
          <w:tcPr>
            <w:tcW w:w="1940" w:type="dxa"/>
            <w:vAlign w:val="center"/>
          </w:tcPr>
          <w:p w14:paraId="5F0FFA9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工作经历模糊（3-0）</w:t>
            </w:r>
          </w:p>
        </w:tc>
      </w:tr>
      <w:tr w14:paraId="36F59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restart"/>
            <w:vAlign w:val="center"/>
          </w:tcPr>
          <w:p w14:paraId="5C9F284E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对部门的认识和未来期望（20</w:t>
            </w:r>
            <w:r>
              <w:rPr>
                <w:rFonts w:hint="default"/>
                <w:lang w:val="en-US" w:eastAsia="zh-CN"/>
              </w:rPr>
              <w:t>’</w:t>
            </w:r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517" w:type="dxa"/>
            <w:vAlign w:val="center"/>
          </w:tcPr>
          <w:p w14:paraId="2C8619C2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表述部门的主要工作（5’）</w:t>
            </w:r>
          </w:p>
        </w:tc>
        <w:tc>
          <w:tcPr>
            <w:tcW w:w="2200" w:type="dxa"/>
            <w:vAlign w:val="center"/>
          </w:tcPr>
          <w:p w14:paraId="18499EAD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完整，准确的表述部门工作（5-3）</w:t>
            </w:r>
          </w:p>
        </w:tc>
        <w:tc>
          <w:tcPr>
            <w:tcW w:w="1860" w:type="dxa"/>
            <w:vAlign w:val="center"/>
          </w:tcPr>
          <w:p w14:paraId="152BD009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能表述绝大部分的部门工作内容（3-1）</w:t>
            </w:r>
          </w:p>
        </w:tc>
        <w:tc>
          <w:tcPr>
            <w:tcW w:w="1940" w:type="dxa"/>
            <w:vAlign w:val="center"/>
          </w:tcPr>
          <w:p w14:paraId="12A340D3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对部门工作表述不熟悉、不具体（0）</w:t>
            </w:r>
          </w:p>
        </w:tc>
      </w:tr>
      <w:tr w14:paraId="2657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0" w:type="dxa"/>
            <w:vMerge w:val="continue"/>
            <w:vAlign w:val="center"/>
          </w:tcPr>
          <w:p w14:paraId="7E482261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517" w:type="dxa"/>
            <w:vAlign w:val="center"/>
          </w:tcPr>
          <w:p w14:paraId="11572788"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对部门的未来期望（15’）</w:t>
            </w:r>
          </w:p>
        </w:tc>
        <w:tc>
          <w:tcPr>
            <w:tcW w:w="2200" w:type="dxa"/>
            <w:vAlign w:val="center"/>
          </w:tcPr>
          <w:p w14:paraId="7F7DA34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立足个人工作，提出切实可行的改进建议，且对于部门工作有直观的促进作用（15-10）</w:t>
            </w:r>
          </w:p>
        </w:tc>
        <w:tc>
          <w:tcPr>
            <w:tcW w:w="1860" w:type="dxa"/>
            <w:vAlign w:val="center"/>
          </w:tcPr>
          <w:p w14:paraId="20C3F6B7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对部门工作的建议有可行性（10-5）</w:t>
            </w:r>
          </w:p>
        </w:tc>
        <w:tc>
          <w:tcPr>
            <w:tcW w:w="1940" w:type="dxa"/>
            <w:vAlign w:val="center"/>
          </w:tcPr>
          <w:p w14:paraId="087CE4D0">
            <w:pPr>
              <w:numPr>
                <w:ilvl w:val="0"/>
                <w:numId w:val="0"/>
              </w:num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对部门工作的建议空洞，难以执行；促进作用小或无作用（5-0）</w:t>
            </w:r>
          </w:p>
        </w:tc>
      </w:tr>
    </w:tbl>
    <w:p w14:paraId="659E32B1"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注：个人期望聚焦于个人成长、日常工作改进；部门期望聚焦工作制度流程。</w:t>
      </w:r>
    </w:p>
    <w:p w14:paraId="60CC947B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排名方法</w:t>
      </w:r>
      <w:r>
        <w:rPr>
          <w:rFonts w:hint="eastAsia"/>
          <w:b/>
          <w:bCs/>
          <w:color w:val="FF0000"/>
          <w:lang w:val="en-US" w:eastAsia="zh-CN"/>
        </w:rPr>
        <w:t>（暂不启用）</w:t>
      </w:r>
    </w:p>
    <w:p w14:paraId="08EE620F">
      <w:pPr>
        <w:numPr>
          <w:ilvl w:val="0"/>
          <w:numId w:val="0"/>
        </w:numPr>
        <w:bidi w:val="0"/>
        <w:ind w:leftChars="0"/>
        <w:rPr>
          <w:rFonts w:hint="eastAsia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使用Q值检验法，去除离群值后求平均，并排序。</w:t>
      </w:r>
      <w:r>
        <w:rPr>
          <w:rFonts w:hint="eastAsia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  <w:t>注：若有特殊原因请填写于反馈栏内。</w:t>
      </w:r>
    </w:p>
    <w:p w14:paraId="0C60A137">
      <w:pPr>
        <w:numPr>
          <w:ilvl w:val="0"/>
          <w:numId w:val="0"/>
        </w:numPr>
        <w:bidi w:val="0"/>
        <w:ind w:leftChars="0"/>
        <w:rPr>
          <w:rFonts w:hint="default" w:ascii="黑体" w:hAnsi="黑体" w:eastAsia="黑体" w:cs="黑体"/>
          <w:b/>
          <w:bCs/>
          <w:color w:val="E54C5E" w:themeColor="accent6"/>
          <w:sz w:val="22"/>
          <w:szCs w:val="28"/>
          <w:lang w:val="en-US" w:eastAsia="zh-CN"/>
          <w14:textFill>
            <w14:solidFill>
              <w14:schemeClr w14:val="accent6"/>
            </w14:solidFill>
          </w14:textFill>
        </w:rPr>
      </w:pPr>
    </w:p>
    <w:p w14:paraId="12BDF76D">
      <w:pPr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赋分表</w:t>
      </w:r>
      <w:r>
        <w:rPr>
          <w:rFonts w:hint="eastAsia"/>
          <w:b/>
          <w:bCs/>
          <w:color w:val="FF0000"/>
          <w:lang w:val="en-US" w:eastAsia="zh-CN"/>
        </w:rPr>
        <w:t>（暂不启用）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5"/>
        <w:gridCol w:w="1065"/>
      </w:tblGrid>
      <w:tr w14:paraId="223280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1065" w:type="dxa"/>
          </w:tcPr>
          <w:p w14:paraId="123E9762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排名</w:t>
            </w:r>
          </w:p>
        </w:tc>
        <w:tc>
          <w:tcPr>
            <w:tcW w:w="1065" w:type="dxa"/>
          </w:tcPr>
          <w:p w14:paraId="47BB610F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065" w:type="dxa"/>
          </w:tcPr>
          <w:p w14:paraId="2B559D73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2、3</w:t>
            </w:r>
          </w:p>
        </w:tc>
        <w:tc>
          <w:tcPr>
            <w:tcW w:w="1065" w:type="dxa"/>
          </w:tcPr>
          <w:p w14:paraId="62EC8A77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4、5</w:t>
            </w:r>
          </w:p>
        </w:tc>
        <w:tc>
          <w:tcPr>
            <w:tcW w:w="1065" w:type="dxa"/>
          </w:tcPr>
          <w:p w14:paraId="1813D20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6-8</w:t>
            </w:r>
          </w:p>
        </w:tc>
        <w:tc>
          <w:tcPr>
            <w:tcW w:w="1065" w:type="dxa"/>
          </w:tcPr>
          <w:p w14:paraId="3F01572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9-10</w:t>
            </w:r>
          </w:p>
        </w:tc>
        <w:tc>
          <w:tcPr>
            <w:tcW w:w="1065" w:type="dxa"/>
          </w:tcPr>
          <w:p w14:paraId="0E1613DC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11-15</w:t>
            </w:r>
          </w:p>
        </w:tc>
        <w:tc>
          <w:tcPr>
            <w:tcW w:w="1065" w:type="dxa"/>
          </w:tcPr>
          <w:p w14:paraId="2D82540A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16-18</w:t>
            </w:r>
          </w:p>
        </w:tc>
      </w:tr>
      <w:tr w14:paraId="056DE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9B4D2EE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赋分</w:t>
            </w:r>
          </w:p>
        </w:tc>
        <w:tc>
          <w:tcPr>
            <w:tcW w:w="1065" w:type="dxa"/>
          </w:tcPr>
          <w:p w14:paraId="22933D61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1065" w:type="dxa"/>
          </w:tcPr>
          <w:p w14:paraId="63DD3480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1065" w:type="dxa"/>
          </w:tcPr>
          <w:p w14:paraId="29D8810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1065" w:type="dxa"/>
          </w:tcPr>
          <w:p w14:paraId="3A31761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1065" w:type="dxa"/>
          </w:tcPr>
          <w:p w14:paraId="53546615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1065" w:type="dxa"/>
          </w:tcPr>
          <w:p w14:paraId="5E65DB2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1065" w:type="dxa"/>
          </w:tcPr>
          <w:p w14:paraId="20ED71CB">
            <w:pPr>
              <w:numPr>
                <w:ilvl w:val="0"/>
                <w:numId w:val="0"/>
              </w:num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</w:tr>
    </w:tbl>
    <w:p w14:paraId="655CD14C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 w:ascii="宋体" w:hAnsi="宋体" w:eastAsia="宋体" w:cs="宋体"/>
          <w:b w:val="0"/>
          <w:bCs/>
          <w:i/>
          <w:sz w:val="24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i/>
          <w:kern w:val="2"/>
          <w:sz w:val="32"/>
          <w:szCs w:val="24"/>
          <w:lang w:val="en-US" w:eastAsia="zh-CN" w:bidi="ar-SA"/>
        </w:rPr>
        <w:t>叁</w:t>
      </w:r>
      <w:r>
        <w:rPr>
          <w:rFonts w:hint="eastAsia" w:ascii="宋体" w:hAnsi="宋体" w:eastAsia="宋体" w:cs="宋体"/>
          <w:b/>
          <w:bCs/>
          <w:i/>
          <w:kern w:val="2"/>
          <w:sz w:val="24"/>
          <w:szCs w:val="21"/>
          <w:lang w:val="en-US" w:eastAsia="zh-CN" w:bidi="ar-SA"/>
        </w:rPr>
        <w:t>、</w:t>
      </w:r>
      <w:r>
        <w:rPr>
          <w:rFonts w:hint="eastAsia"/>
          <w:lang w:val="en-US" w:eastAsia="zh-CN"/>
        </w:rPr>
        <w:t>绩效评分（10%）：</w:t>
      </w:r>
      <w:r>
        <w:rPr>
          <w:rFonts w:hint="eastAsia"/>
          <w:lang w:val="en-US" w:eastAsia="zh-CN"/>
        </w:rPr>
        <w:br w:type="textWrapping"/>
      </w: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4"/>
              <w:szCs w:val="21"/>
              <w:lang w:val="en-US" w:eastAsia="zh-CN"/>
            </w:rPr>
            <m:t>得分=</m:t>
          </m:r>
          <m:f>
            <m:fP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4"/>
                  <w:szCs w:val="21"/>
                  <w:lang w:val="en-US" w:eastAsia="zh-CN"/>
                </w:rPr>
                <m:t>（个人绩效总分−部门最低分）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4"/>
                  <w:szCs w:val="21"/>
                  <w:lang w:val="en-US" w:eastAsia="zh-CN"/>
                </w:rPr>
                <m:t>部门最高分−最低分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i/>
                  <w:sz w:val="24"/>
                  <w:szCs w:val="21"/>
                  <w:lang w:val="en-US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4"/>
              <w:szCs w:val="21"/>
              <w:lang w:val="en-US"/>
            </w:rPr>
            <m:t>×</m:t>
          </m:r>
          <m:r>
            <m:rPr/>
            <w:rPr>
              <w:rFonts w:hint="eastAsia" w:ascii="Cambria Math" w:hAnsi="Cambria Math" w:eastAsia="宋体" w:cs="宋体"/>
              <w:sz w:val="24"/>
              <w:szCs w:val="21"/>
              <w:lang w:val="en-US" w:eastAsia="zh-CN"/>
            </w:rPr>
            <m:t>10</m:t>
          </m:r>
        </m:oMath>
      </m:oMathPara>
    </w:p>
    <w:p w14:paraId="1D92763A">
      <w:pPr>
        <w:rPr>
          <w:rFonts w:hint="default" w:hAnsi="Cambria Math"/>
          <w:i/>
          <w:lang w:val="en-US" w:eastAsia="zh-CN"/>
        </w:rPr>
      </w:pPr>
      <w:r>
        <w:rPr>
          <w:rFonts w:hint="eastAsia" w:hAnsi="Cambria Math"/>
          <w:i/>
          <w:lang w:val="en-US" w:eastAsia="zh-CN"/>
        </w:rPr>
        <w:t>注：本次仅参考第一学期绩效</w:t>
      </w:r>
    </w:p>
    <w:p w14:paraId="207AF32A">
      <w:pPr>
        <w:pStyle w:val="3"/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肆、</w:t>
      </w:r>
      <w:r>
        <w:rPr>
          <w:rFonts w:hint="eastAsia"/>
          <w:lang w:val="en-US" w:eastAsia="zh-CN"/>
        </w:rPr>
        <w:t>现场答辩评分（60%）</w:t>
      </w:r>
    </w:p>
    <w:p w14:paraId="0DC614EE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现场答辩部分总分100分，现场打分结束后由工作组统计并按60%计入总分。</w:t>
      </w:r>
    </w:p>
    <w:p w14:paraId="2F27D027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评分细则见表：</w:t>
      </w:r>
    </w:p>
    <w:tbl>
      <w:tblPr>
        <w:tblStyle w:val="4"/>
        <w:tblW w:w="845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5"/>
        <w:gridCol w:w="2418"/>
        <w:gridCol w:w="2418"/>
        <w:gridCol w:w="2420"/>
      </w:tblGrid>
      <w:tr w14:paraId="3A193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880A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评分项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B1B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A档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1A8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B档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7F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C档</w:t>
            </w:r>
          </w:p>
        </w:tc>
      </w:tr>
      <w:tr w14:paraId="092BFE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5F6B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PPT展示（20分）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69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内容齐全，重点突出结构合理，层次分明，页面整洁，文字图表清晰（20-16）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DD5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内容较为全面、有层次划分、有图文结合（15-6）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D0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内容混乱、没有层次（5-0）</w:t>
            </w:r>
          </w:p>
        </w:tc>
      </w:tr>
      <w:tr w14:paraId="13AB6F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E1A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工作成果（50分）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9634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工作积极主动，认真完成；在部门内承担重要工作；在工作中切实获得收获，且收获具有深刻的意义，工作得到指导老师认可（50-36）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A686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工作较为积极认真；工作有一定收获；得到一定认可（35-16）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FA5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仅参与过工作（15-0）</w:t>
            </w:r>
          </w:p>
        </w:tc>
      </w:tr>
      <w:tr w14:paraId="4BD440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F4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问答表现（20分）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F4F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能圆满回答针对工作内容的提问，思维敏捷，思路清晰，有较强的应变能力（20-16）</w:t>
            </w:r>
          </w:p>
        </w:tc>
        <w:tc>
          <w:tcPr>
            <w:tcW w:w="2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97B3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能回答针对工作内容的提问，有一定的逻辑，有应变能力（15-6）</w:t>
            </w:r>
          </w:p>
        </w:tc>
        <w:tc>
          <w:tcPr>
            <w:tcW w:w="2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1E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与答辩内容存在逻辑冲突，回答错乱（5-0）</w:t>
            </w:r>
          </w:p>
        </w:tc>
      </w:tr>
      <w:tr w14:paraId="63CA6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" w:hRule="atLeast"/>
        </w:trPr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303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答辩风采（10分）</w:t>
            </w:r>
          </w:p>
        </w:tc>
        <w:tc>
          <w:tcPr>
            <w:tcW w:w="725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83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语言规范，口齿清晰，表达准确、流畅、自然，动作自然，表现得体（10-0）</w:t>
            </w:r>
          </w:p>
        </w:tc>
      </w:tr>
    </w:tbl>
    <w:p w14:paraId="167FF467">
      <w:pPr>
        <w:rPr>
          <w:rFonts w:hint="default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</w:pPr>
      <w:r>
        <w:rPr>
          <w:rFonts w:hint="eastAsia" w:ascii="Arial" w:hAnsi="Arial" w:eastAsia="黑体" w:cstheme="minorBidi"/>
          <w:b/>
          <w:bCs/>
          <w:kern w:val="2"/>
          <w:sz w:val="32"/>
          <w:szCs w:val="24"/>
          <w:lang w:val="en-US" w:eastAsia="zh-CN" w:bidi="ar-SA"/>
        </w:rPr>
        <w:t>伍、时间控制</w:t>
      </w:r>
    </w:p>
    <w:p w14:paraId="2713A9A0">
      <w:pPr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答辩演讲时间为4分钟，时间控制在4'10"以内的得15分。若超过4'10"扣2分，从4'30"开始（包含4'30"）每超时30s多扣5分。（本栏可为负分）</w:t>
      </w:r>
    </w:p>
    <w:p w14:paraId="24EBD645">
      <w:pPr>
        <w:ind w:firstLine="420" w:firstLineChars="0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t>例：4'31"扣5分；5'00"扣10分；5'30"扣15分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EA3A5654-158A-4DFC-B1E6-64CE3B0023B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4FD11C8D-16BD-4FFA-8D03-163D1C7D381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3" w:fontKey="{10A06996-D617-41BA-B9DA-7FF7004C6056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4" w:fontKey="{27F19214-3DEA-4D3C-86C2-B32182AFCC7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5" w:fontKey="{54811D1B-E8A1-46EE-9EFE-26F0750ED81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6" w:fontKey="{50B0BF8E-8C0F-4167-B09C-B17A0840395E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46BEADD0-9735-4968-95B2-CE9F5A418A7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5B6B89"/>
    <w:multiLevelType w:val="multilevel"/>
    <w:tmpl w:val="BF5B6B8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F69D6"/>
    <w:rsid w:val="098C6F74"/>
    <w:rsid w:val="127C7C97"/>
    <w:rsid w:val="13021D31"/>
    <w:rsid w:val="144F3EA1"/>
    <w:rsid w:val="15C34AB0"/>
    <w:rsid w:val="16487C69"/>
    <w:rsid w:val="16D6291F"/>
    <w:rsid w:val="177C7697"/>
    <w:rsid w:val="1874141F"/>
    <w:rsid w:val="187E37AF"/>
    <w:rsid w:val="26F74B6C"/>
    <w:rsid w:val="26FD0E14"/>
    <w:rsid w:val="291D1F5E"/>
    <w:rsid w:val="36D71D7F"/>
    <w:rsid w:val="44682E47"/>
    <w:rsid w:val="4CAA6A9E"/>
    <w:rsid w:val="51D009A4"/>
    <w:rsid w:val="560E0AA4"/>
    <w:rsid w:val="5A356D82"/>
    <w:rsid w:val="5D541630"/>
    <w:rsid w:val="5E41274C"/>
    <w:rsid w:val="66EE66FE"/>
    <w:rsid w:val="671158DB"/>
    <w:rsid w:val="695D65A1"/>
    <w:rsid w:val="700F26E5"/>
    <w:rsid w:val="76785859"/>
    <w:rsid w:val="7D5D6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1239</Words>
  <Characters>1436</Characters>
  <Lines>0</Lines>
  <Paragraphs>0</Paragraphs>
  <TotalTime>22</TotalTime>
  <ScaleCrop>false</ScaleCrop>
  <LinksUpToDate>false</LinksUpToDate>
  <CharactersWithSpaces>1436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2025-03-16T01:57:00Z</dcterms:created>
  <dc:creator>yitian998</dc:creator>
  <cp:lastModifiedBy>群星璀璨</cp:lastModifiedBy>
  <dcterms:modified xsi:type="dcterms:W3CDTF">2025-04-26T02:32:46Z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eyJoZGlkIjoiNTJhZWNkYzQ3OTU1YTQ1NmU4ZDE5ZDVkY2RkN2E4MDYiLCJ1c2VySWQiOiI4NTU5MzExMjEifQ==</vt:lpwstr>
  </property>
  <property fmtid="{D5CDD505-2E9C-101B-9397-08002B2CF9AE}" pid="4" name="ICV">
    <vt:lpwstr>DA9F14FF88DF449092ACA9FE5F90117C_13</vt:lpwstr>
  </property>
</Properties>
</file>