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17DF4" w14:textId="77777777" w:rsidR="00B25602" w:rsidRPr="00C621FC" w:rsidRDefault="00000000">
      <w:pPr>
        <w:pStyle w:val="Heading1"/>
        <w:rPr>
          <w:rFonts w:ascii="Times New Roman" w:hAnsi="Times New Roman" w:cs="Times New Roman"/>
        </w:rPr>
      </w:pPr>
      <w:bookmarkStart w:id="0" w:name="X97fd32106a439ad1d9e5e7061d814c394742ede"/>
      <w:r w:rsidRPr="00C621FC">
        <w:rPr>
          <w:rFonts w:ascii="Times New Roman" w:hAnsi="Times New Roman" w:cs="Times New Roman"/>
        </w:rPr>
        <w:t>Comprehensive Documentation: Hypothesis 1 (H1) Analysis</w:t>
      </w:r>
    </w:p>
    <w:p w14:paraId="28C9D090" w14:textId="77777777" w:rsidR="00B25602" w:rsidRPr="00C621FC" w:rsidRDefault="00000000">
      <w:pPr>
        <w:pStyle w:val="Heading2"/>
        <w:rPr>
          <w:rFonts w:ascii="Times New Roman" w:hAnsi="Times New Roman" w:cs="Times New Roman"/>
        </w:rPr>
      </w:pPr>
      <w:bookmarkStart w:id="1" w:name="introduction-and-research-objective"/>
      <w:r w:rsidRPr="00C621FC">
        <w:rPr>
          <w:rFonts w:ascii="Times New Roman" w:hAnsi="Times New Roman" w:cs="Times New Roman"/>
        </w:rPr>
        <w:t>1. Introduction and Research Objective</w:t>
      </w:r>
    </w:p>
    <w:p w14:paraId="43EABE02" w14:textId="77777777" w:rsidR="00B25602" w:rsidRPr="00C621FC" w:rsidRDefault="00000000">
      <w:pPr>
        <w:pStyle w:val="BodyText"/>
        <w:rPr>
          <w:rFonts w:ascii="Times New Roman" w:hAnsi="Times New Roman" w:cs="Times New Roman"/>
        </w:rPr>
      </w:pPr>
      <w:r w:rsidRPr="00C621FC">
        <w:rPr>
          <w:rFonts w:ascii="Times New Roman" w:hAnsi="Times New Roman" w:cs="Times New Roman"/>
          <w:b/>
          <w:bCs/>
        </w:rPr>
        <w:t>The Core Hypothesis (H1):</w:t>
      </w:r>
      <w:r w:rsidRPr="00C621FC">
        <w:rPr>
          <w:rFonts w:ascii="Times New Roman" w:hAnsi="Times New Roman" w:cs="Times New Roman"/>
        </w:rPr>
        <w:t xml:space="preserve"> &gt; </w:t>
      </w:r>
      <w:r w:rsidRPr="00C621FC">
        <w:rPr>
          <w:rFonts w:ascii="Times New Roman" w:hAnsi="Times New Roman" w:cs="Times New Roman"/>
          <w:i/>
          <w:iCs/>
        </w:rPr>
        <w:t>Do Financial and Macroeconomic Indicators (Semiconductor ETF, Consumer Sentiment Index, International Oil Price, and Bitcoin) affect component prices (GPU, CPU, and RAM) differently without considering time lag?</w:t>
      </w:r>
    </w:p>
    <w:p w14:paraId="6757CF21" w14:textId="77777777" w:rsidR="00C621FC" w:rsidRDefault="00000000">
      <w:pPr>
        <w:pStyle w:val="BodyText"/>
        <w:rPr>
          <w:rFonts w:ascii="Times New Roman" w:hAnsi="Times New Roman" w:cs="Times New Roman"/>
        </w:rPr>
      </w:pPr>
      <w:r w:rsidRPr="00C621FC">
        <w:rPr>
          <w:rFonts w:ascii="Times New Roman" w:hAnsi="Times New Roman" w:cs="Times New Roman"/>
        </w:rPr>
        <w:t xml:space="preserve">The objective of this analysis is twofold: </w:t>
      </w:r>
    </w:p>
    <w:p w14:paraId="7DDA5910" w14:textId="23D19B7F" w:rsidR="00C621FC" w:rsidRDefault="00000000">
      <w:pPr>
        <w:pStyle w:val="BodyText"/>
        <w:rPr>
          <w:rFonts w:ascii="Times New Roman" w:hAnsi="Times New Roman" w:cs="Times New Roman"/>
        </w:rPr>
      </w:pPr>
      <w:r w:rsidRPr="00C621FC">
        <w:rPr>
          <w:rFonts w:ascii="Times New Roman" w:hAnsi="Times New Roman" w:cs="Times New Roman"/>
        </w:rPr>
        <w:t>1. To measure the contemporaneous (</w:t>
      </w:r>
      <w:r w:rsidR="00C621FC" w:rsidRPr="00C621FC">
        <w:rPr>
          <w:rFonts w:ascii="Times New Roman" w:hAnsi="Times New Roman" w:cs="Times New Roman"/>
        </w:rPr>
        <w:t>same month</w:t>
      </w:r>
      <w:r w:rsidRPr="00C621FC">
        <w:rPr>
          <w:rFonts w:ascii="Times New Roman" w:hAnsi="Times New Roman" w:cs="Times New Roman"/>
        </w:rPr>
        <w:t xml:space="preserve">) impact of four distinct macroeconomic factors on the price returns of three major PC hardware components. </w:t>
      </w:r>
    </w:p>
    <w:p w14:paraId="1F883988" w14:textId="2EB200ED" w:rsidR="00B25602" w:rsidRPr="00C621FC" w:rsidRDefault="00000000">
      <w:pPr>
        <w:pStyle w:val="BodyText"/>
        <w:rPr>
          <w:rFonts w:ascii="Times New Roman" w:hAnsi="Times New Roman" w:cs="Times New Roman"/>
        </w:rPr>
      </w:pPr>
      <w:r w:rsidRPr="00C621FC">
        <w:rPr>
          <w:rFonts w:ascii="Times New Roman" w:hAnsi="Times New Roman" w:cs="Times New Roman"/>
        </w:rPr>
        <w:t>2. To formally test whether the sensitivities of these components to the macro factors differ from one another with statistical significance.</w:t>
      </w:r>
    </w:p>
    <w:p w14:paraId="4813D1F9" w14:textId="77777777" w:rsidR="00B25602" w:rsidRPr="00C621FC" w:rsidRDefault="00000000">
      <w:pPr>
        <w:rPr>
          <w:rFonts w:ascii="Times New Roman" w:hAnsi="Times New Roman" w:cs="Times New Roman"/>
        </w:rPr>
      </w:pPr>
      <w:r>
        <w:rPr>
          <w:rFonts w:ascii="Times New Roman" w:hAnsi="Times New Roman" w:cs="Times New Roman"/>
        </w:rPr>
        <w:pict w14:anchorId="19881013">
          <v:rect id="_x0000_i1025" style="width:0;height:1.5pt" o:hralign="center" o:hrstd="t" o:hr="t"/>
        </w:pict>
      </w:r>
    </w:p>
    <w:p w14:paraId="3B6B26CF" w14:textId="77777777" w:rsidR="00B25602" w:rsidRPr="00C621FC" w:rsidRDefault="00000000">
      <w:pPr>
        <w:pStyle w:val="Heading2"/>
        <w:rPr>
          <w:rFonts w:ascii="Times New Roman" w:hAnsi="Times New Roman" w:cs="Times New Roman"/>
        </w:rPr>
      </w:pPr>
      <w:bookmarkStart w:id="2" w:name="data-sourcing-and-processing"/>
      <w:bookmarkEnd w:id="1"/>
      <w:r w:rsidRPr="00C621FC">
        <w:rPr>
          <w:rFonts w:ascii="Times New Roman" w:hAnsi="Times New Roman" w:cs="Times New Roman"/>
        </w:rPr>
        <w:t>2. Data Sourcing and Processing</w:t>
      </w:r>
    </w:p>
    <w:p w14:paraId="18BC9583" w14:textId="77777777" w:rsidR="00B25602" w:rsidRPr="00C621FC" w:rsidRDefault="00000000">
      <w:pPr>
        <w:pStyle w:val="FirstParagraph"/>
        <w:rPr>
          <w:rFonts w:ascii="Times New Roman" w:hAnsi="Times New Roman" w:cs="Times New Roman"/>
        </w:rPr>
      </w:pPr>
      <w:r w:rsidRPr="00C621FC">
        <w:rPr>
          <w:rFonts w:ascii="Times New Roman" w:hAnsi="Times New Roman" w:cs="Times New Roman"/>
        </w:rPr>
        <w:t>The analysis relies on robust, time-aligned data from multiple sources. A unified Python pipeline was constructed to handle data ingestion, transformation, and merging.</w:t>
      </w:r>
    </w:p>
    <w:p w14:paraId="15C092EA" w14:textId="77777777" w:rsidR="00B25602" w:rsidRPr="00C621FC" w:rsidRDefault="00000000">
      <w:pPr>
        <w:pStyle w:val="Heading3"/>
        <w:rPr>
          <w:rFonts w:ascii="Times New Roman" w:hAnsi="Times New Roman" w:cs="Times New Roman"/>
        </w:rPr>
      </w:pPr>
      <w:bookmarkStart w:id="3" w:name="data-sources"/>
      <w:r w:rsidRPr="00C621FC">
        <w:rPr>
          <w:rFonts w:ascii="Times New Roman" w:hAnsi="Times New Roman" w:cs="Times New Roman"/>
        </w:rPr>
        <w:t>2.1. Data Sources</w:t>
      </w:r>
    </w:p>
    <w:p w14:paraId="17D0EA0F" w14:textId="77777777" w:rsidR="00B25602" w:rsidRPr="00C621FC" w:rsidRDefault="00000000">
      <w:pPr>
        <w:pStyle w:val="Compact"/>
        <w:numPr>
          <w:ilvl w:val="0"/>
          <w:numId w:val="2"/>
        </w:numPr>
        <w:rPr>
          <w:rFonts w:ascii="Times New Roman" w:hAnsi="Times New Roman" w:cs="Times New Roman"/>
        </w:rPr>
      </w:pPr>
      <w:r w:rsidRPr="00C621FC">
        <w:rPr>
          <w:rFonts w:ascii="Times New Roman" w:hAnsi="Times New Roman" w:cs="Times New Roman"/>
          <w:b/>
          <w:bCs/>
        </w:rPr>
        <w:t>Hardware Components (Jevons Index):</w:t>
      </w:r>
    </w:p>
    <w:p w14:paraId="44B00D20" w14:textId="77777777" w:rsidR="00B25602" w:rsidRPr="00C621FC" w:rsidRDefault="00000000">
      <w:pPr>
        <w:pStyle w:val="Compact"/>
        <w:numPr>
          <w:ilvl w:val="1"/>
          <w:numId w:val="3"/>
        </w:numPr>
        <w:rPr>
          <w:rFonts w:ascii="Times New Roman" w:hAnsi="Times New Roman" w:cs="Times New Roman"/>
        </w:rPr>
      </w:pPr>
      <w:r w:rsidRPr="00C621FC">
        <w:rPr>
          <w:rFonts w:ascii="Times New Roman" w:hAnsi="Times New Roman" w:cs="Times New Roman"/>
          <w:b/>
          <w:bCs/>
        </w:rPr>
        <w:t>Source:</w:t>
      </w:r>
      <w:r w:rsidRPr="00C621FC">
        <w:rPr>
          <w:rFonts w:ascii="Times New Roman" w:hAnsi="Times New Roman" w:cs="Times New Roman"/>
        </w:rPr>
        <w:t xml:space="preserve"> Internal project dataset (</w:t>
      </w:r>
      <w:r w:rsidRPr="00C621FC">
        <w:rPr>
          <w:rStyle w:val="VerbatimChar"/>
          <w:rFonts w:ascii="Times New Roman" w:hAnsi="Times New Roman" w:cs="Times New Roman"/>
        </w:rPr>
        <w:t>idx_all_w.csv</w:t>
      </w:r>
      <w:r w:rsidRPr="00C621FC">
        <w:rPr>
          <w:rFonts w:ascii="Times New Roman" w:hAnsi="Times New Roman" w:cs="Times New Roman"/>
        </w:rPr>
        <w:t>).</w:t>
      </w:r>
    </w:p>
    <w:p w14:paraId="30F47000" w14:textId="77777777" w:rsidR="00B25602" w:rsidRPr="00C621FC" w:rsidRDefault="00000000">
      <w:pPr>
        <w:pStyle w:val="Compact"/>
        <w:numPr>
          <w:ilvl w:val="1"/>
          <w:numId w:val="3"/>
        </w:numPr>
        <w:rPr>
          <w:rFonts w:ascii="Times New Roman" w:hAnsi="Times New Roman" w:cs="Times New Roman"/>
        </w:rPr>
      </w:pPr>
      <w:r w:rsidRPr="00C621FC">
        <w:rPr>
          <w:rFonts w:ascii="Times New Roman" w:hAnsi="Times New Roman" w:cs="Times New Roman"/>
          <w:b/>
          <w:bCs/>
        </w:rPr>
        <w:t>Details:</w:t>
      </w:r>
      <w:r w:rsidRPr="00C621FC">
        <w:rPr>
          <w:rFonts w:ascii="Times New Roman" w:hAnsi="Times New Roman" w:cs="Times New Roman"/>
        </w:rPr>
        <w:t xml:space="preserve"> This dataset contains the Chain Matched Jevons Index for GPUs, CPUs, and RAM at a weekly frequency.</w:t>
      </w:r>
    </w:p>
    <w:p w14:paraId="2C796EA4" w14:textId="77777777" w:rsidR="00B25602" w:rsidRPr="00C621FC" w:rsidRDefault="00000000">
      <w:pPr>
        <w:pStyle w:val="Compact"/>
        <w:numPr>
          <w:ilvl w:val="0"/>
          <w:numId w:val="2"/>
        </w:numPr>
        <w:rPr>
          <w:rFonts w:ascii="Times New Roman" w:hAnsi="Times New Roman" w:cs="Times New Roman"/>
        </w:rPr>
      </w:pPr>
      <w:r w:rsidRPr="00C621FC">
        <w:rPr>
          <w:rFonts w:ascii="Times New Roman" w:hAnsi="Times New Roman" w:cs="Times New Roman"/>
          <w:b/>
          <w:bCs/>
        </w:rPr>
        <w:t>Macroeconomic Indicators:</w:t>
      </w:r>
    </w:p>
    <w:p w14:paraId="49965DB9" w14:textId="77777777" w:rsidR="00B25602" w:rsidRPr="00C621FC" w:rsidRDefault="00000000">
      <w:pPr>
        <w:pStyle w:val="Compact"/>
        <w:numPr>
          <w:ilvl w:val="1"/>
          <w:numId w:val="4"/>
        </w:numPr>
        <w:rPr>
          <w:rFonts w:ascii="Times New Roman" w:hAnsi="Times New Roman" w:cs="Times New Roman"/>
        </w:rPr>
      </w:pPr>
      <w:r w:rsidRPr="00C621FC">
        <w:rPr>
          <w:rFonts w:ascii="Times New Roman" w:hAnsi="Times New Roman" w:cs="Times New Roman"/>
          <w:b/>
          <w:bCs/>
        </w:rPr>
        <w:t>Semiconductor ETF (</w:t>
      </w:r>
      <w:r w:rsidRPr="00C621FC">
        <w:rPr>
          <w:rStyle w:val="VerbatimChar"/>
          <w:rFonts w:ascii="Times New Roman" w:hAnsi="Times New Roman" w:cs="Times New Roman"/>
          <w:b/>
          <w:bCs/>
        </w:rPr>
        <w:t>SOXX</w:t>
      </w:r>
      <w:r w:rsidRPr="00C621FC">
        <w:rPr>
          <w:rFonts w:ascii="Times New Roman" w:hAnsi="Times New Roman" w:cs="Times New Roman"/>
          <w:b/>
          <w:bCs/>
        </w:rPr>
        <w:t>):</w:t>
      </w:r>
      <w:r w:rsidRPr="00C621FC">
        <w:rPr>
          <w:rFonts w:ascii="Times New Roman" w:hAnsi="Times New Roman" w:cs="Times New Roman"/>
        </w:rPr>
        <w:t xml:space="preserve"> Sourced via </w:t>
      </w:r>
      <w:r w:rsidRPr="00C621FC">
        <w:rPr>
          <w:rStyle w:val="VerbatimChar"/>
          <w:rFonts w:ascii="Times New Roman" w:hAnsi="Times New Roman" w:cs="Times New Roman"/>
        </w:rPr>
        <w:t>yfinance</w:t>
      </w:r>
      <w:r w:rsidRPr="00C621FC">
        <w:rPr>
          <w:rFonts w:ascii="Times New Roman" w:hAnsi="Times New Roman" w:cs="Times New Roman"/>
        </w:rPr>
        <w:t>. Represents global semiconductor industry performance and expectations.</w:t>
      </w:r>
    </w:p>
    <w:p w14:paraId="28965B60" w14:textId="77777777" w:rsidR="00B25602" w:rsidRPr="00C621FC" w:rsidRDefault="00000000">
      <w:pPr>
        <w:pStyle w:val="Compact"/>
        <w:numPr>
          <w:ilvl w:val="1"/>
          <w:numId w:val="4"/>
        </w:numPr>
        <w:rPr>
          <w:rFonts w:ascii="Times New Roman" w:hAnsi="Times New Roman" w:cs="Times New Roman"/>
        </w:rPr>
      </w:pPr>
      <w:r w:rsidRPr="00C621FC">
        <w:rPr>
          <w:rFonts w:ascii="Times New Roman" w:hAnsi="Times New Roman" w:cs="Times New Roman"/>
          <w:b/>
          <w:bCs/>
        </w:rPr>
        <w:t>Bitcoin (</w:t>
      </w:r>
      <w:r w:rsidRPr="00C621FC">
        <w:rPr>
          <w:rStyle w:val="VerbatimChar"/>
          <w:rFonts w:ascii="Times New Roman" w:hAnsi="Times New Roman" w:cs="Times New Roman"/>
          <w:b/>
          <w:bCs/>
        </w:rPr>
        <w:t>BTC-KRW</w:t>
      </w:r>
      <w:r w:rsidRPr="00C621FC">
        <w:rPr>
          <w:rFonts w:ascii="Times New Roman" w:hAnsi="Times New Roman" w:cs="Times New Roman"/>
          <w:b/>
          <w:bCs/>
        </w:rPr>
        <w:t>):</w:t>
      </w:r>
      <w:r w:rsidRPr="00C621FC">
        <w:rPr>
          <w:rFonts w:ascii="Times New Roman" w:hAnsi="Times New Roman" w:cs="Times New Roman"/>
        </w:rPr>
        <w:t xml:space="preserve"> Sourced via </w:t>
      </w:r>
      <w:r w:rsidRPr="00C621FC">
        <w:rPr>
          <w:rStyle w:val="VerbatimChar"/>
          <w:rFonts w:ascii="Times New Roman" w:hAnsi="Times New Roman" w:cs="Times New Roman"/>
        </w:rPr>
        <w:t>yfinance</w:t>
      </w:r>
      <w:r w:rsidRPr="00C621FC">
        <w:rPr>
          <w:rFonts w:ascii="Times New Roman" w:hAnsi="Times New Roman" w:cs="Times New Roman"/>
        </w:rPr>
        <w:t>. Acts as a proxy for cryptocurrency market volatility and risk-on asset flows.</w:t>
      </w:r>
    </w:p>
    <w:p w14:paraId="2B3C2B32" w14:textId="77777777" w:rsidR="00B25602" w:rsidRPr="00C621FC" w:rsidRDefault="00000000">
      <w:pPr>
        <w:pStyle w:val="Compact"/>
        <w:numPr>
          <w:ilvl w:val="1"/>
          <w:numId w:val="4"/>
        </w:numPr>
        <w:rPr>
          <w:rFonts w:ascii="Times New Roman" w:hAnsi="Times New Roman" w:cs="Times New Roman"/>
        </w:rPr>
      </w:pPr>
      <w:r w:rsidRPr="00C621FC">
        <w:rPr>
          <w:rFonts w:ascii="Times New Roman" w:hAnsi="Times New Roman" w:cs="Times New Roman"/>
          <w:b/>
          <w:bCs/>
        </w:rPr>
        <w:t>International Oil Price (</w:t>
      </w:r>
      <w:r w:rsidRPr="00C621FC">
        <w:rPr>
          <w:rStyle w:val="VerbatimChar"/>
          <w:rFonts w:ascii="Times New Roman" w:hAnsi="Times New Roman" w:cs="Times New Roman"/>
          <w:b/>
          <w:bCs/>
        </w:rPr>
        <w:t>BZ=F</w:t>
      </w:r>
      <w:r w:rsidRPr="00C621FC">
        <w:rPr>
          <w:rFonts w:ascii="Times New Roman" w:hAnsi="Times New Roman" w:cs="Times New Roman"/>
          <w:b/>
          <w:bCs/>
        </w:rPr>
        <w:t xml:space="preserve"> - Brent Crude):</w:t>
      </w:r>
      <w:r w:rsidRPr="00C621FC">
        <w:rPr>
          <w:rFonts w:ascii="Times New Roman" w:hAnsi="Times New Roman" w:cs="Times New Roman"/>
        </w:rPr>
        <w:t xml:space="preserve"> Sourced via </w:t>
      </w:r>
      <w:r w:rsidRPr="00C621FC">
        <w:rPr>
          <w:rStyle w:val="VerbatimChar"/>
          <w:rFonts w:ascii="Times New Roman" w:hAnsi="Times New Roman" w:cs="Times New Roman"/>
        </w:rPr>
        <w:t>yfinance</w:t>
      </w:r>
      <w:r w:rsidRPr="00C621FC">
        <w:rPr>
          <w:rFonts w:ascii="Times New Roman" w:hAnsi="Times New Roman" w:cs="Times New Roman"/>
        </w:rPr>
        <w:t>. Represents global logistical costs and broad economic health.</w:t>
      </w:r>
    </w:p>
    <w:p w14:paraId="3E51F548" w14:textId="77777777" w:rsidR="00B25602" w:rsidRPr="00C621FC" w:rsidRDefault="00000000">
      <w:pPr>
        <w:pStyle w:val="Compact"/>
        <w:numPr>
          <w:ilvl w:val="1"/>
          <w:numId w:val="4"/>
        </w:numPr>
        <w:rPr>
          <w:rFonts w:ascii="Times New Roman" w:hAnsi="Times New Roman" w:cs="Times New Roman"/>
        </w:rPr>
      </w:pPr>
      <w:r w:rsidRPr="00C621FC">
        <w:rPr>
          <w:rFonts w:ascii="Times New Roman" w:hAnsi="Times New Roman" w:cs="Times New Roman"/>
          <w:b/>
          <w:bCs/>
        </w:rPr>
        <w:t>Consumer Sentiment Index (</w:t>
      </w:r>
      <w:r w:rsidRPr="00C621FC">
        <w:rPr>
          <w:rStyle w:val="VerbatimChar"/>
          <w:rFonts w:ascii="Times New Roman" w:hAnsi="Times New Roman" w:cs="Times New Roman"/>
          <w:b/>
          <w:bCs/>
        </w:rPr>
        <w:t>UMCSENT</w:t>
      </w:r>
      <w:r w:rsidRPr="00C621FC">
        <w:rPr>
          <w:rFonts w:ascii="Times New Roman" w:hAnsi="Times New Roman" w:cs="Times New Roman"/>
          <w:b/>
          <w:bCs/>
        </w:rPr>
        <w:t>):</w:t>
      </w:r>
      <w:r w:rsidRPr="00C621FC">
        <w:rPr>
          <w:rFonts w:ascii="Times New Roman" w:hAnsi="Times New Roman" w:cs="Times New Roman"/>
        </w:rPr>
        <w:t xml:space="preserve"> Sourced from the Federal Reserve Economic Data (FRED) API. Represents global consumer confidence and spending propensity.</w:t>
      </w:r>
    </w:p>
    <w:p w14:paraId="693B9602" w14:textId="77777777" w:rsidR="00B25602" w:rsidRPr="00C621FC" w:rsidRDefault="00000000">
      <w:pPr>
        <w:pStyle w:val="Heading3"/>
        <w:rPr>
          <w:rFonts w:ascii="Times New Roman" w:hAnsi="Times New Roman" w:cs="Times New Roman"/>
        </w:rPr>
      </w:pPr>
      <w:bookmarkStart w:id="4" w:name="X98298792a2798695076382098784418defdaea2"/>
      <w:bookmarkEnd w:id="3"/>
      <w:r w:rsidRPr="00C621FC">
        <w:rPr>
          <w:rFonts w:ascii="Times New Roman" w:hAnsi="Times New Roman" w:cs="Times New Roman"/>
        </w:rPr>
        <w:t>2.2. Data Processing and Time Period Verification</w:t>
      </w:r>
    </w:p>
    <w:p w14:paraId="2DF6B62D" w14:textId="77777777" w:rsidR="00B25602" w:rsidRPr="00C621FC" w:rsidRDefault="00000000">
      <w:pPr>
        <w:pStyle w:val="Compact"/>
        <w:numPr>
          <w:ilvl w:val="0"/>
          <w:numId w:val="5"/>
        </w:numPr>
        <w:rPr>
          <w:rFonts w:ascii="Times New Roman" w:hAnsi="Times New Roman" w:cs="Times New Roman"/>
        </w:rPr>
      </w:pPr>
      <w:r w:rsidRPr="00C621FC">
        <w:rPr>
          <w:rFonts w:ascii="Times New Roman" w:hAnsi="Times New Roman" w:cs="Times New Roman"/>
          <w:b/>
          <w:bCs/>
        </w:rPr>
        <w:t>Frequency Alignment:</w:t>
      </w:r>
      <w:r w:rsidRPr="00C621FC">
        <w:rPr>
          <w:rFonts w:ascii="Times New Roman" w:hAnsi="Times New Roman" w:cs="Times New Roman"/>
        </w:rPr>
        <w:t xml:space="preserve"> The weekly hardware index data was downsampled to a monthly frequency by taking the last observation of each month to align with the monthly macroeconomic data (like UMCSENT).</w:t>
      </w:r>
    </w:p>
    <w:p w14:paraId="6CB7A1F4" w14:textId="77777777" w:rsidR="00B25602" w:rsidRPr="00C621FC" w:rsidRDefault="00000000">
      <w:pPr>
        <w:pStyle w:val="Compact"/>
        <w:numPr>
          <w:ilvl w:val="0"/>
          <w:numId w:val="5"/>
        </w:numPr>
        <w:rPr>
          <w:rFonts w:ascii="Times New Roman" w:hAnsi="Times New Roman" w:cs="Times New Roman"/>
        </w:rPr>
      </w:pPr>
      <w:r w:rsidRPr="00C621FC">
        <w:rPr>
          <w:rFonts w:ascii="Times New Roman" w:hAnsi="Times New Roman" w:cs="Times New Roman"/>
          <w:b/>
          <w:bCs/>
        </w:rPr>
        <w:t>Return Calculation:</w:t>
      </w:r>
      <w:r w:rsidRPr="00C621FC">
        <w:rPr>
          <w:rFonts w:ascii="Times New Roman" w:hAnsi="Times New Roman" w:cs="Times New Roman"/>
        </w:rPr>
        <w:t xml:space="preserve"> We calculated the monthly logarithmic returns (log differences) for all variables to ensure stationarity, which is a prerequisite for robust OLS regression modeling.</w:t>
      </w:r>
    </w:p>
    <w:p w14:paraId="5BCD0407" w14:textId="77777777" w:rsidR="00B25602" w:rsidRPr="00C621FC" w:rsidRDefault="00000000">
      <w:pPr>
        <w:pStyle w:val="Compact"/>
        <w:numPr>
          <w:ilvl w:val="0"/>
          <w:numId w:val="5"/>
        </w:numPr>
        <w:rPr>
          <w:rFonts w:ascii="Times New Roman" w:hAnsi="Times New Roman" w:cs="Times New Roman"/>
        </w:rPr>
      </w:pPr>
      <w:r w:rsidRPr="00C621FC">
        <w:rPr>
          <w:rFonts w:ascii="Times New Roman" w:hAnsi="Times New Roman" w:cs="Times New Roman"/>
          <w:b/>
          <w:bCs/>
        </w:rPr>
        <w:lastRenderedPageBreak/>
        <w:t>Standardization:</w:t>
      </w:r>
      <w:r w:rsidRPr="00C621FC">
        <w:rPr>
          <w:rFonts w:ascii="Times New Roman" w:hAnsi="Times New Roman" w:cs="Times New Roman"/>
        </w:rPr>
        <w:t xml:space="preserve"> All independent macro variables were converted into Z-scores </w:t>
      </w:r>
      <m:oMath>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X</m:t>
                </m:r>
                <m:r>
                  <m:rPr>
                    <m:sty m:val="p"/>
                  </m:rPr>
                  <w:rPr>
                    <w:rFonts w:ascii="Cambria Math" w:hAnsi="Cambria Math" w:cs="Times New Roman"/>
                  </w:rPr>
                  <m:t>-</m:t>
                </m:r>
                <m:r>
                  <w:rPr>
                    <w:rFonts w:ascii="Cambria Math" w:hAnsi="Cambria Math" w:cs="Times New Roman"/>
                  </w:rPr>
                  <m:t>μ</m:t>
                </m:r>
              </m:num>
              <m:den>
                <m:r>
                  <w:rPr>
                    <w:rFonts w:ascii="Cambria Math" w:hAnsi="Cambria Math" w:cs="Times New Roman"/>
                  </w:rPr>
                  <m:t>σ</m:t>
                </m:r>
              </m:den>
            </m:f>
          </m:e>
        </m:d>
      </m:oMath>
      <w:r w:rsidRPr="00C621FC">
        <w:rPr>
          <w:rFonts w:ascii="Times New Roman" w:hAnsi="Times New Roman" w:cs="Times New Roman"/>
        </w:rPr>
        <w:t>. This allows the resulting regression coefficients (</w:t>
      </w:r>
      <m:oMath>
        <m:r>
          <w:rPr>
            <w:rFonts w:ascii="Cambria Math" w:hAnsi="Cambria Math" w:cs="Times New Roman"/>
          </w:rPr>
          <m:t>β</m:t>
        </m:r>
      </m:oMath>
      <w:r w:rsidRPr="00C621FC">
        <w:rPr>
          <w:rFonts w:ascii="Times New Roman" w:hAnsi="Times New Roman" w:cs="Times New Roman"/>
        </w:rPr>
        <w:t xml:space="preserve">) to be interpreted directly as </w:t>
      </w:r>
      <w:r w:rsidRPr="00C621FC">
        <w:rPr>
          <w:rFonts w:ascii="Times New Roman" w:hAnsi="Times New Roman" w:cs="Times New Roman"/>
          <w:i/>
          <w:iCs/>
        </w:rPr>
        <w:t>Standardized Beta Coefficients</w:t>
      </w:r>
      <w:r w:rsidRPr="00C621FC">
        <w:rPr>
          <w:rFonts w:ascii="Times New Roman" w:hAnsi="Times New Roman" w:cs="Times New Roman"/>
        </w:rPr>
        <w:t>, making the magnitude of impact comparable across different factors (e.g., comparing the impact of Bitcoin to Oil).</w:t>
      </w:r>
    </w:p>
    <w:p w14:paraId="63205A15" w14:textId="77777777" w:rsidR="00B25602" w:rsidRPr="00C621FC" w:rsidRDefault="00000000">
      <w:pPr>
        <w:pStyle w:val="Compact"/>
        <w:numPr>
          <w:ilvl w:val="0"/>
          <w:numId w:val="5"/>
        </w:numPr>
        <w:rPr>
          <w:rFonts w:ascii="Times New Roman" w:hAnsi="Times New Roman" w:cs="Times New Roman"/>
        </w:rPr>
      </w:pPr>
      <w:r w:rsidRPr="00C621FC">
        <w:rPr>
          <w:rFonts w:ascii="Times New Roman" w:hAnsi="Times New Roman" w:cs="Times New Roman"/>
          <w:b/>
          <w:bCs/>
        </w:rPr>
        <w:t>Timeframe:</w:t>
      </w:r>
      <w:r w:rsidRPr="00C621FC">
        <w:rPr>
          <w:rFonts w:ascii="Times New Roman" w:hAnsi="Times New Roman" w:cs="Times New Roman"/>
        </w:rPr>
        <w:t xml:space="preserve"> The raw dataset spanned from March 2024 to early April 2026. Because the first week of April 2026 contained missing values (NaN), the clean series terminated on March 31, 2026. Furthermore, calculating monthly log returns consumes the first month’s data point. Therefore, the </w:t>
      </w:r>
      <w:r w:rsidRPr="00C621FC">
        <w:rPr>
          <w:rFonts w:ascii="Times New Roman" w:hAnsi="Times New Roman" w:cs="Times New Roman"/>
          <w:b/>
          <w:bCs/>
        </w:rPr>
        <w:t>final rigorous econometric timeframe spans 24 continuous months: April 30, 2024, to March 31, 2026.</w:t>
      </w:r>
    </w:p>
    <w:p w14:paraId="6B2CB3CA" w14:textId="77777777" w:rsidR="00B25602" w:rsidRPr="00C621FC" w:rsidRDefault="00000000">
      <w:pPr>
        <w:rPr>
          <w:rFonts w:ascii="Times New Roman" w:hAnsi="Times New Roman" w:cs="Times New Roman"/>
        </w:rPr>
      </w:pPr>
      <w:r>
        <w:rPr>
          <w:rFonts w:ascii="Times New Roman" w:hAnsi="Times New Roman" w:cs="Times New Roman"/>
        </w:rPr>
        <w:pict w14:anchorId="13DD6C6A">
          <v:rect id="_x0000_i1026" style="width:0;height:1.5pt" o:hralign="center" o:hrstd="t" o:hr="t"/>
        </w:pict>
      </w:r>
    </w:p>
    <w:p w14:paraId="2CFA3642" w14:textId="77777777" w:rsidR="00B25602" w:rsidRPr="00C621FC" w:rsidRDefault="00000000">
      <w:pPr>
        <w:pStyle w:val="Heading2"/>
        <w:rPr>
          <w:rFonts w:ascii="Times New Roman" w:hAnsi="Times New Roman" w:cs="Times New Roman"/>
        </w:rPr>
      </w:pPr>
      <w:bookmarkStart w:id="5" w:name="visualizations-and-chart-analysis"/>
      <w:bookmarkEnd w:id="2"/>
      <w:bookmarkEnd w:id="4"/>
      <w:r w:rsidRPr="00C621FC">
        <w:rPr>
          <w:rFonts w:ascii="Times New Roman" w:hAnsi="Times New Roman" w:cs="Times New Roman"/>
        </w:rPr>
        <w:t>3. Visualizations and Chart Analysis</w:t>
      </w:r>
    </w:p>
    <w:p w14:paraId="16004EC8" w14:textId="77777777" w:rsidR="00B25602" w:rsidRPr="00C621FC" w:rsidRDefault="00000000">
      <w:pPr>
        <w:pStyle w:val="FirstParagraph"/>
        <w:rPr>
          <w:rFonts w:ascii="Times New Roman" w:hAnsi="Times New Roman" w:cs="Times New Roman"/>
        </w:rPr>
      </w:pPr>
      <w:r w:rsidRPr="00C621FC">
        <w:rPr>
          <w:rFonts w:ascii="Times New Roman" w:hAnsi="Times New Roman" w:cs="Times New Roman"/>
        </w:rPr>
        <w:t>To explore the relationships before and after modeling, a comprehensive suite of 7 visualizations was generated.</w:t>
      </w:r>
    </w:p>
    <w:p w14:paraId="24DB091A" w14:textId="77777777" w:rsidR="00B25602" w:rsidRPr="00C621FC" w:rsidRDefault="00000000">
      <w:pPr>
        <w:pStyle w:val="Heading3"/>
        <w:rPr>
          <w:rFonts w:ascii="Times New Roman" w:hAnsi="Times New Roman" w:cs="Times New Roman"/>
        </w:rPr>
      </w:pPr>
      <w:bookmarkStart w:id="6" w:name="exploratory-data-analysis-eda"/>
      <w:r w:rsidRPr="00C621FC">
        <w:rPr>
          <w:rFonts w:ascii="Times New Roman" w:hAnsi="Times New Roman" w:cs="Times New Roman"/>
        </w:rPr>
        <w:t>3.1. Exploratory Data Analysis (EDA)</w:t>
      </w:r>
    </w:p>
    <w:p w14:paraId="32C8F37D" w14:textId="77777777" w:rsidR="00C621FC" w:rsidRDefault="00000000" w:rsidP="00C621FC">
      <w:pPr>
        <w:pStyle w:val="Compact"/>
        <w:ind w:left="240"/>
        <w:rPr>
          <w:rFonts w:ascii="Times New Roman" w:hAnsi="Times New Roman" w:cs="Times New Roman"/>
          <w:b/>
          <w:bCs/>
        </w:rPr>
      </w:pPr>
      <w:r w:rsidRPr="00C621FC">
        <w:rPr>
          <w:rStyle w:val="VerbatimChar"/>
          <w:rFonts w:ascii="Times New Roman" w:hAnsi="Times New Roman" w:cs="Times New Roman"/>
          <w:b/>
          <w:bCs/>
        </w:rPr>
        <w:t>01_correlation_heatmap.png</w:t>
      </w:r>
      <w:r w:rsidRPr="00C621FC">
        <w:rPr>
          <w:rFonts w:ascii="Times New Roman" w:hAnsi="Times New Roman" w:cs="Times New Roman"/>
          <w:b/>
          <w:bCs/>
        </w:rPr>
        <w:t>:</w:t>
      </w:r>
    </w:p>
    <w:p w14:paraId="01F8F800" w14:textId="6231C35F" w:rsidR="00B25602" w:rsidRPr="00C621FC" w:rsidRDefault="00C621FC" w:rsidP="00C621FC">
      <w:pPr>
        <w:pStyle w:val="Compact"/>
        <w:ind w:left="240"/>
        <w:jc w:val="center"/>
        <w:rPr>
          <w:rFonts w:ascii="Times New Roman" w:hAnsi="Times New Roman" w:cs="Times New Roman"/>
        </w:rPr>
      </w:pPr>
      <w:r w:rsidRPr="00C621FC">
        <w:rPr>
          <w:rFonts w:ascii="Times New Roman" w:hAnsi="Times New Roman" w:cs="Times New Roman"/>
          <w:b/>
          <w:bCs/>
          <w:noProof/>
        </w:rPr>
        <w:drawing>
          <wp:inline distT="0" distB="0" distL="0" distR="0" wp14:anchorId="0B3805A3" wp14:editId="671574E2">
            <wp:extent cx="2819400" cy="2256423"/>
            <wp:effectExtent l="0" t="0" r="0" b="0"/>
            <wp:docPr id="182660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29583" cy="2264573"/>
                    </a:xfrm>
                    <a:prstGeom prst="rect">
                      <a:avLst/>
                    </a:prstGeom>
                    <a:noFill/>
                    <a:ln>
                      <a:noFill/>
                    </a:ln>
                  </pic:spPr>
                </pic:pic>
              </a:graphicData>
            </a:graphic>
          </wp:inline>
        </w:drawing>
      </w:r>
    </w:p>
    <w:p w14:paraId="474ECB67" w14:textId="77777777" w:rsidR="00B25602" w:rsidRPr="00C621FC" w:rsidRDefault="00000000">
      <w:pPr>
        <w:pStyle w:val="Compact"/>
        <w:numPr>
          <w:ilvl w:val="1"/>
          <w:numId w:val="7"/>
        </w:numPr>
        <w:rPr>
          <w:rFonts w:ascii="Times New Roman" w:hAnsi="Times New Roman" w:cs="Times New Roman"/>
        </w:rPr>
      </w:pPr>
      <w:r w:rsidRPr="00C621FC">
        <w:rPr>
          <w:rFonts w:ascii="Times New Roman" w:hAnsi="Times New Roman" w:cs="Times New Roman"/>
          <w:b/>
          <w:bCs/>
        </w:rPr>
        <w:t>Analysis:</w:t>
      </w:r>
      <w:r w:rsidRPr="00C621FC">
        <w:rPr>
          <w:rFonts w:ascii="Times New Roman" w:hAnsi="Times New Roman" w:cs="Times New Roman"/>
        </w:rPr>
        <w:t xml:space="preserve"> This heatmap visualizes the pairwise Pearson correlation coefficients across all raw variables. It provides a preliminary look at collinearity between independent variables (which was found to be manageable) and initial signals of correlation between components and macro factors.</w:t>
      </w:r>
    </w:p>
    <w:p w14:paraId="34DDF920" w14:textId="77777777" w:rsidR="00B25602" w:rsidRPr="00C621FC" w:rsidRDefault="00000000">
      <w:pPr>
        <w:pStyle w:val="Heading3"/>
        <w:rPr>
          <w:rFonts w:ascii="Times New Roman" w:hAnsi="Times New Roman" w:cs="Times New Roman"/>
        </w:rPr>
      </w:pPr>
      <w:bookmarkStart w:id="7" w:name="time-series-co-movement"/>
      <w:bookmarkEnd w:id="6"/>
      <w:r w:rsidRPr="00C621FC">
        <w:rPr>
          <w:rFonts w:ascii="Times New Roman" w:hAnsi="Times New Roman" w:cs="Times New Roman"/>
        </w:rPr>
        <w:t>3.2. Time-Series Co-movement</w:t>
      </w:r>
    </w:p>
    <w:p w14:paraId="16271711" w14:textId="77777777" w:rsidR="00C621FC" w:rsidRPr="00C621FC" w:rsidRDefault="00000000">
      <w:pPr>
        <w:pStyle w:val="Compact"/>
        <w:numPr>
          <w:ilvl w:val="0"/>
          <w:numId w:val="8"/>
        </w:numPr>
        <w:rPr>
          <w:rFonts w:ascii="Times New Roman" w:hAnsi="Times New Roman" w:cs="Times New Roman"/>
        </w:rPr>
      </w:pPr>
      <w:r w:rsidRPr="00C621FC">
        <w:rPr>
          <w:rStyle w:val="VerbatimChar"/>
          <w:rFonts w:ascii="Times New Roman" w:hAnsi="Times New Roman" w:cs="Times New Roman"/>
          <w:b/>
          <w:bCs/>
        </w:rPr>
        <w:t>04_timeseries_comparison.png</w:t>
      </w:r>
      <w:r w:rsidRPr="00C621FC">
        <w:rPr>
          <w:rFonts w:ascii="Times New Roman" w:hAnsi="Times New Roman" w:cs="Times New Roman"/>
          <w:b/>
          <w:bCs/>
        </w:rPr>
        <w:t>:</w:t>
      </w:r>
    </w:p>
    <w:p w14:paraId="42AB0EC6" w14:textId="74ACA690" w:rsidR="00B25602" w:rsidRPr="00C621FC" w:rsidRDefault="00C621FC" w:rsidP="00C621FC">
      <w:pPr>
        <w:pStyle w:val="Compact"/>
        <w:numPr>
          <w:ilvl w:val="0"/>
          <w:numId w:val="8"/>
        </w:numPr>
        <w:jc w:val="center"/>
        <w:rPr>
          <w:rFonts w:ascii="Times New Roman" w:hAnsi="Times New Roman" w:cs="Times New Roman"/>
        </w:rPr>
      </w:pPr>
      <w:r w:rsidRPr="00C621FC">
        <w:rPr>
          <w:rFonts w:ascii="Times New Roman" w:hAnsi="Times New Roman" w:cs="Times New Roman"/>
          <w:b/>
          <w:bCs/>
          <w:noProof/>
        </w:rPr>
        <w:lastRenderedPageBreak/>
        <w:drawing>
          <wp:inline distT="0" distB="0" distL="0" distR="0" wp14:anchorId="3F7FFA48" wp14:editId="5790BFA8">
            <wp:extent cx="2051341" cy="1758042"/>
            <wp:effectExtent l="0" t="0" r="0" b="0"/>
            <wp:docPr id="424192710"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92710" name="Picture 2" descr="A graph of different colored lin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60542" cy="1765927"/>
                    </a:xfrm>
                    <a:prstGeom prst="rect">
                      <a:avLst/>
                    </a:prstGeom>
                    <a:noFill/>
                    <a:ln>
                      <a:noFill/>
                    </a:ln>
                  </pic:spPr>
                </pic:pic>
              </a:graphicData>
            </a:graphic>
          </wp:inline>
        </w:drawing>
      </w:r>
    </w:p>
    <w:p w14:paraId="3762AD14" w14:textId="22D0BC35" w:rsidR="00B25602" w:rsidRPr="00C621FC" w:rsidRDefault="00000000">
      <w:pPr>
        <w:pStyle w:val="Compact"/>
        <w:numPr>
          <w:ilvl w:val="1"/>
          <w:numId w:val="9"/>
        </w:numPr>
      </w:pPr>
      <w:r w:rsidRPr="00C621FC">
        <w:rPr>
          <w:rFonts w:ascii="Times New Roman" w:hAnsi="Times New Roman" w:cs="Times New Roman"/>
          <w:b/>
          <w:bCs/>
        </w:rPr>
        <w:t>Analysis:</w:t>
      </w:r>
      <w:r w:rsidRPr="00C621FC">
        <w:rPr>
          <w:rFonts w:ascii="Times New Roman" w:hAnsi="Times New Roman" w:cs="Times New Roman"/>
        </w:rPr>
        <w:t xml:space="preserve"> This 3-panel dual-axis chart plots the actual monthly return of each component alongside its most prominent macroeconomic counterpart (e.g., GPU vs. BTC, CPU vs. SOXX). It is highly effective in showing the cyclical co-movement and volatility matching between the component markets and the broader financial indices over the two-year period.</w:t>
      </w:r>
    </w:p>
    <w:p w14:paraId="5F96A85D" w14:textId="77777777" w:rsidR="00B25602" w:rsidRPr="00C621FC" w:rsidRDefault="00000000">
      <w:pPr>
        <w:pStyle w:val="Heading3"/>
        <w:rPr>
          <w:rFonts w:ascii="Times New Roman" w:hAnsi="Times New Roman" w:cs="Times New Roman"/>
        </w:rPr>
      </w:pPr>
      <w:bookmarkStart w:id="8" w:name="Xac2e69864cefa038804504445cc5b1203174ee7"/>
      <w:bookmarkEnd w:id="7"/>
      <w:r w:rsidRPr="00C621FC">
        <w:rPr>
          <w:rFonts w:ascii="Times New Roman" w:hAnsi="Times New Roman" w:cs="Times New Roman"/>
        </w:rPr>
        <w:t>3.3. Regression Relationships and Distribution</w:t>
      </w:r>
    </w:p>
    <w:p w14:paraId="0E078D4A" w14:textId="1713AFE7" w:rsidR="00B25602" w:rsidRPr="00C621FC" w:rsidRDefault="00000000" w:rsidP="00C621FC">
      <w:pPr>
        <w:pStyle w:val="Compact"/>
        <w:numPr>
          <w:ilvl w:val="0"/>
          <w:numId w:val="9"/>
        </w:numPr>
        <w:rPr>
          <w:rFonts w:ascii="Times New Roman" w:hAnsi="Times New Roman" w:cs="Times New Roman"/>
        </w:rPr>
      </w:pPr>
      <w:r w:rsidRPr="00C621FC">
        <w:rPr>
          <w:rStyle w:val="VerbatimChar"/>
          <w:rFonts w:ascii="Times New Roman" w:hAnsi="Times New Roman" w:cs="Times New Roman"/>
          <w:b/>
          <w:bCs/>
        </w:rPr>
        <w:t>05_regression_scatters.png</w:t>
      </w:r>
      <w:r w:rsidRPr="00C621FC">
        <w:rPr>
          <w:rFonts w:ascii="Times New Roman" w:hAnsi="Times New Roman" w:cs="Times New Roman"/>
          <w:b/>
          <w:bCs/>
        </w:rPr>
        <w:t>:</w:t>
      </w:r>
      <w:r w:rsidR="00C621FC" w:rsidRPr="00C621FC">
        <w:rPr>
          <w:rFonts w:ascii="Times New Roman" w:hAnsi="Times New Roman" w:cs="Times New Roman"/>
          <w:b/>
          <w:bCs/>
          <w:noProof/>
        </w:rPr>
        <w:drawing>
          <wp:inline distT="0" distB="0" distL="0" distR="0" wp14:anchorId="1961D267" wp14:editId="31424D00">
            <wp:extent cx="5459186" cy="1819729"/>
            <wp:effectExtent l="0" t="0" r="0" b="0"/>
            <wp:docPr id="870206527" name="Picture 3" descr="A graph with green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06527" name="Picture 3" descr="A graph with green lines and dot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69512" cy="1823171"/>
                    </a:xfrm>
                    <a:prstGeom prst="rect">
                      <a:avLst/>
                    </a:prstGeom>
                    <a:noFill/>
                    <a:ln>
                      <a:noFill/>
                    </a:ln>
                  </pic:spPr>
                </pic:pic>
              </a:graphicData>
            </a:graphic>
          </wp:inline>
        </w:drawing>
      </w:r>
      <w:r w:rsidRPr="00C621FC">
        <w:rPr>
          <w:rFonts w:ascii="Times New Roman" w:hAnsi="Times New Roman" w:cs="Times New Roman"/>
          <w:b/>
          <w:bCs/>
        </w:rPr>
        <w:t>Analysis:</w:t>
      </w:r>
      <w:r w:rsidRPr="00C621FC">
        <w:rPr>
          <w:rFonts w:ascii="Times New Roman" w:hAnsi="Times New Roman" w:cs="Times New Roman"/>
        </w:rPr>
        <w:t xml:space="preserve"> This chart highlights the strongest component-factor relationships found in the regression analysis (GPU vs. BTC, CPU vs. SOXX, RAM vs. BTC). The scatter plots overlay an OLS trendline and confidence intervals, visually demonstrating the slope (Beta) and the dispersion of the data points.</w:t>
      </w:r>
    </w:p>
    <w:p w14:paraId="52C413C4" w14:textId="44589EE0" w:rsidR="00B25602" w:rsidRPr="00C621FC" w:rsidRDefault="00000000">
      <w:pPr>
        <w:pStyle w:val="Compact"/>
        <w:numPr>
          <w:ilvl w:val="0"/>
          <w:numId w:val="10"/>
        </w:numPr>
        <w:rPr>
          <w:rFonts w:ascii="Times New Roman" w:hAnsi="Times New Roman" w:cs="Times New Roman"/>
        </w:rPr>
      </w:pPr>
      <w:r w:rsidRPr="00C621FC">
        <w:rPr>
          <w:rStyle w:val="VerbatimChar"/>
          <w:rFonts w:ascii="Times New Roman" w:hAnsi="Times New Roman" w:cs="Times New Roman"/>
          <w:b/>
          <w:bCs/>
        </w:rPr>
        <w:lastRenderedPageBreak/>
        <w:t>07_all_relationships_scatters.png</w:t>
      </w:r>
      <w:r w:rsidRPr="00C621FC">
        <w:rPr>
          <w:rFonts w:ascii="Times New Roman" w:hAnsi="Times New Roman" w:cs="Times New Roman"/>
          <w:b/>
          <w:bCs/>
        </w:rPr>
        <w:t>:</w:t>
      </w:r>
      <w:r w:rsidR="00C621FC" w:rsidRPr="00C621FC">
        <w:rPr>
          <w:rFonts w:ascii="Times New Roman" w:hAnsi="Times New Roman" w:cs="Times New Roman"/>
          <w:b/>
          <w:bCs/>
          <w:noProof/>
        </w:rPr>
        <w:t xml:space="preserve"> </w:t>
      </w:r>
      <w:r w:rsidR="00C621FC" w:rsidRPr="00C621FC">
        <w:rPr>
          <w:rFonts w:ascii="Times New Roman" w:hAnsi="Times New Roman" w:cs="Times New Roman"/>
          <w:b/>
          <w:bCs/>
          <w:noProof/>
        </w:rPr>
        <w:drawing>
          <wp:inline distT="0" distB="0" distL="0" distR="0" wp14:anchorId="57928EC9" wp14:editId="36854203">
            <wp:extent cx="5159829" cy="3753758"/>
            <wp:effectExtent l="0" t="0" r="0" b="0"/>
            <wp:docPr id="438497851" name="Picture 4"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97851" name="Picture 4" descr="A collage of graph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63029" cy="3756086"/>
                    </a:xfrm>
                    <a:prstGeom prst="rect">
                      <a:avLst/>
                    </a:prstGeom>
                    <a:noFill/>
                    <a:ln>
                      <a:noFill/>
                    </a:ln>
                  </pic:spPr>
                </pic:pic>
              </a:graphicData>
            </a:graphic>
          </wp:inline>
        </w:drawing>
      </w:r>
    </w:p>
    <w:p w14:paraId="473735C5" w14:textId="77777777" w:rsidR="00B25602" w:rsidRPr="00C621FC" w:rsidRDefault="00000000">
      <w:pPr>
        <w:pStyle w:val="Compact"/>
        <w:numPr>
          <w:ilvl w:val="1"/>
          <w:numId w:val="12"/>
        </w:numPr>
        <w:rPr>
          <w:rFonts w:ascii="Times New Roman" w:hAnsi="Times New Roman" w:cs="Times New Roman"/>
        </w:rPr>
      </w:pPr>
      <w:r w:rsidRPr="00C621FC">
        <w:rPr>
          <w:rFonts w:ascii="Times New Roman" w:hAnsi="Times New Roman" w:cs="Times New Roman"/>
          <w:b/>
          <w:bCs/>
        </w:rPr>
        <w:t>Analysis:</w:t>
      </w:r>
      <w:r w:rsidRPr="00C621FC">
        <w:rPr>
          <w:rFonts w:ascii="Times New Roman" w:hAnsi="Times New Roman" w:cs="Times New Roman"/>
        </w:rPr>
        <w:t xml:space="preserve"> A massive 12-panel matrix (3 components × 4 factors) that leaves no stone unturned. It plots every single relationship simultaneously. This chart allows stakeholders to visually scan across the entire dataset and confirm that while some relationships (like GPU-BTC) have a discernible slope, many others (like GPU-Oil) are effectively flat, validating the regression results.</w:t>
      </w:r>
    </w:p>
    <w:p w14:paraId="2C16B22A" w14:textId="77777777" w:rsidR="00B25602" w:rsidRPr="00C621FC" w:rsidRDefault="00000000">
      <w:pPr>
        <w:pStyle w:val="Heading3"/>
        <w:rPr>
          <w:rFonts w:ascii="Times New Roman" w:hAnsi="Times New Roman" w:cs="Times New Roman"/>
        </w:rPr>
      </w:pPr>
      <w:bookmarkStart w:id="9" w:name="diagnostic-checking"/>
      <w:bookmarkEnd w:id="8"/>
      <w:r w:rsidRPr="00C621FC">
        <w:rPr>
          <w:rFonts w:ascii="Times New Roman" w:hAnsi="Times New Roman" w:cs="Times New Roman"/>
        </w:rPr>
        <w:t>3.4. Diagnostic Checking</w:t>
      </w:r>
    </w:p>
    <w:p w14:paraId="7DBDC8CD" w14:textId="52B8A90A" w:rsidR="00B25602" w:rsidRPr="00C621FC" w:rsidRDefault="00000000" w:rsidP="00C621FC">
      <w:pPr>
        <w:pStyle w:val="Compact"/>
        <w:numPr>
          <w:ilvl w:val="0"/>
          <w:numId w:val="12"/>
        </w:numPr>
        <w:rPr>
          <w:rFonts w:ascii="Times New Roman" w:hAnsi="Times New Roman" w:cs="Times New Roman"/>
        </w:rPr>
      </w:pPr>
      <w:r w:rsidRPr="00C621FC">
        <w:rPr>
          <w:rStyle w:val="VerbatimChar"/>
          <w:rFonts w:ascii="Times New Roman" w:hAnsi="Times New Roman" w:cs="Times New Roman"/>
          <w:b/>
          <w:bCs/>
        </w:rPr>
        <w:t>06_residual_diagnostics.png</w:t>
      </w:r>
      <w:r w:rsidRPr="00C621FC">
        <w:rPr>
          <w:rFonts w:ascii="Times New Roman" w:hAnsi="Times New Roman" w:cs="Times New Roman"/>
          <w:b/>
          <w:bCs/>
        </w:rPr>
        <w:t>:</w:t>
      </w:r>
      <w:r w:rsidR="00C621FC" w:rsidRPr="00C621FC">
        <w:rPr>
          <w:rFonts w:ascii="Times New Roman" w:hAnsi="Times New Roman" w:cs="Times New Roman"/>
        </w:rPr>
        <w:t xml:space="preserve"> </w:t>
      </w:r>
      <w:r w:rsidR="00C621FC" w:rsidRPr="00C621FC">
        <w:rPr>
          <w:rFonts w:ascii="Times New Roman" w:hAnsi="Times New Roman" w:cs="Times New Roman"/>
          <w:noProof/>
        </w:rPr>
        <w:drawing>
          <wp:inline distT="0" distB="0" distL="0" distR="0" wp14:anchorId="2718AA6B" wp14:editId="27F67F7A">
            <wp:extent cx="4789714" cy="1710685"/>
            <wp:effectExtent l="0" t="0" r="0" b="0"/>
            <wp:docPr id="1538049172" name="Picture 5" descr="A graph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49172" name="Picture 5" descr="A graph of two peopl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03105" cy="1715468"/>
                    </a:xfrm>
                    <a:prstGeom prst="rect">
                      <a:avLst/>
                    </a:prstGeom>
                    <a:noFill/>
                    <a:ln>
                      <a:noFill/>
                    </a:ln>
                  </pic:spPr>
                </pic:pic>
              </a:graphicData>
            </a:graphic>
          </wp:inline>
        </w:drawing>
      </w:r>
    </w:p>
    <w:p w14:paraId="74CD4E9D" w14:textId="77777777" w:rsidR="00B25602" w:rsidRPr="00C621FC" w:rsidRDefault="00000000">
      <w:pPr>
        <w:pStyle w:val="Compact"/>
        <w:numPr>
          <w:ilvl w:val="1"/>
          <w:numId w:val="14"/>
        </w:numPr>
        <w:rPr>
          <w:rFonts w:ascii="Times New Roman" w:hAnsi="Times New Roman" w:cs="Times New Roman"/>
        </w:rPr>
      </w:pPr>
      <w:r w:rsidRPr="00C621FC">
        <w:rPr>
          <w:rFonts w:ascii="Times New Roman" w:hAnsi="Times New Roman" w:cs="Times New Roman"/>
          <w:b/>
          <w:bCs/>
        </w:rPr>
        <w:t>Analysis:</w:t>
      </w:r>
      <w:r w:rsidRPr="00C621FC">
        <w:rPr>
          <w:rFonts w:ascii="Times New Roman" w:hAnsi="Times New Roman" w:cs="Times New Roman"/>
        </w:rPr>
        <w:t xml:space="preserve"> For an OLS regression to be valid, its residuals (prediction errors) must be normally distributed. This chart displays a frequency histogram (with KDE) and a Normal Q-Q plot for the GPU model’s residuals. The points on the Q-Q plot closely track the theoretical normal line, confirming that our model does not violate core econometric assumptions and that the p-values are trustworthy.</w:t>
      </w:r>
    </w:p>
    <w:p w14:paraId="034DDDD7" w14:textId="77777777" w:rsidR="00B25602" w:rsidRPr="00C621FC" w:rsidRDefault="00000000">
      <w:pPr>
        <w:rPr>
          <w:rFonts w:ascii="Times New Roman" w:hAnsi="Times New Roman" w:cs="Times New Roman"/>
        </w:rPr>
      </w:pPr>
      <w:r>
        <w:rPr>
          <w:rFonts w:ascii="Times New Roman" w:hAnsi="Times New Roman" w:cs="Times New Roman"/>
        </w:rPr>
        <w:pict w14:anchorId="3094EB3C">
          <v:rect id="_x0000_i1027" style="width:0;height:1.5pt" o:hralign="center" o:hrstd="t" o:hr="t"/>
        </w:pict>
      </w:r>
    </w:p>
    <w:p w14:paraId="5D443DDF" w14:textId="77777777" w:rsidR="00B25602" w:rsidRPr="00C621FC" w:rsidRDefault="00000000">
      <w:pPr>
        <w:pStyle w:val="Heading2"/>
        <w:rPr>
          <w:rFonts w:ascii="Times New Roman" w:hAnsi="Times New Roman" w:cs="Times New Roman"/>
        </w:rPr>
      </w:pPr>
      <w:bookmarkStart w:id="10" w:name="regression-summary-analysis"/>
      <w:bookmarkEnd w:id="5"/>
      <w:bookmarkEnd w:id="9"/>
      <w:r w:rsidRPr="00C621FC">
        <w:rPr>
          <w:rFonts w:ascii="Times New Roman" w:hAnsi="Times New Roman" w:cs="Times New Roman"/>
        </w:rPr>
        <w:lastRenderedPageBreak/>
        <w:t>4. Regression Summary Analysis</w:t>
      </w:r>
    </w:p>
    <w:p w14:paraId="1E0679C5" w14:textId="77777777" w:rsidR="00B25602" w:rsidRPr="00C621FC" w:rsidRDefault="00000000">
      <w:pPr>
        <w:pStyle w:val="FirstParagraph"/>
        <w:rPr>
          <w:rFonts w:ascii="Times New Roman" w:hAnsi="Times New Roman" w:cs="Times New Roman"/>
        </w:rPr>
      </w:pPr>
      <w:r w:rsidRPr="00C621FC">
        <w:rPr>
          <w:rFonts w:ascii="Times New Roman" w:hAnsi="Times New Roman" w:cs="Times New Roman"/>
        </w:rPr>
        <w:t xml:space="preserve">The core of the hypothesis testing was conducted in two phases using Ordinary Least Squares (OLS) regression models via the </w:t>
      </w:r>
      <w:r w:rsidRPr="00C621FC">
        <w:rPr>
          <w:rStyle w:val="VerbatimChar"/>
          <w:rFonts w:ascii="Times New Roman" w:hAnsi="Times New Roman" w:cs="Times New Roman"/>
        </w:rPr>
        <w:t>statsmodels</w:t>
      </w:r>
      <w:r w:rsidRPr="00C621FC">
        <w:rPr>
          <w:rFonts w:ascii="Times New Roman" w:hAnsi="Times New Roman" w:cs="Times New Roman"/>
        </w:rPr>
        <w:t xml:space="preserve"> library.</w:t>
      </w:r>
    </w:p>
    <w:p w14:paraId="797A384E" w14:textId="77777777" w:rsidR="00B25602" w:rsidRPr="00C621FC" w:rsidRDefault="00000000">
      <w:pPr>
        <w:pStyle w:val="Heading3"/>
        <w:rPr>
          <w:rFonts w:ascii="Times New Roman" w:hAnsi="Times New Roman" w:cs="Times New Roman"/>
        </w:rPr>
      </w:pPr>
      <w:bookmarkStart w:id="11" w:name="Xb324fa316bdbd5c869675b040a73ac0bb79f5ec"/>
      <w:r w:rsidRPr="00C621FC">
        <w:rPr>
          <w:rFonts w:ascii="Times New Roman" w:hAnsi="Times New Roman" w:cs="Times New Roman"/>
        </w:rPr>
        <w:t>4.1. Phase 3: Component-Specific Multivariate Regressions</w:t>
      </w:r>
    </w:p>
    <w:p w14:paraId="60CEFBF3" w14:textId="77777777" w:rsidR="00B25602" w:rsidRPr="00C621FC" w:rsidRDefault="00000000">
      <w:pPr>
        <w:pStyle w:val="FirstParagraph"/>
        <w:rPr>
          <w:rFonts w:ascii="Times New Roman" w:hAnsi="Times New Roman" w:cs="Times New Roman"/>
        </w:rPr>
      </w:pPr>
      <w:r w:rsidRPr="00C621FC">
        <w:rPr>
          <w:rFonts w:ascii="Times New Roman" w:hAnsi="Times New Roman" w:cs="Times New Roman"/>
        </w:rPr>
        <w:t xml:space="preserve">We ran three separate multivariate OLS models. In each model, a component’s return was regressed against </w:t>
      </w:r>
      <w:r w:rsidRPr="00C621FC">
        <w:rPr>
          <w:rFonts w:ascii="Times New Roman" w:hAnsi="Times New Roman" w:cs="Times New Roman"/>
          <w:b/>
          <w:bCs/>
        </w:rPr>
        <w:t>all four macro factors simultaneously</w:t>
      </w:r>
      <w:r w:rsidRPr="00C621FC">
        <w:rPr>
          <w:rFonts w:ascii="Times New Roman" w:hAnsi="Times New Roman" w:cs="Times New Roman"/>
        </w:rPr>
        <w:t>:</w:t>
      </w:r>
    </w:p>
    <w:p w14:paraId="7FA47D9A" w14:textId="77777777" w:rsidR="00B25602" w:rsidRPr="00C621FC" w:rsidRDefault="00000000">
      <w:pPr>
        <w:pStyle w:val="BodyText"/>
        <w:rPr>
          <w:rFonts w:ascii="Times New Roman" w:hAnsi="Times New Roman" w:cs="Times New Roman"/>
        </w:rPr>
      </w:pPr>
      <m:oMathPara>
        <m:oMathParaPr>
          <m:jc m:val="center"/>
        </m:oMathParaPr>
        <m:oMath>
          <m:r>
            <m:rPr>
              <m:nor/>
            </m:rPr>
            <w:rPr>
              <w:rFonts w:ascii="Times New Roman" w:hAnsi="Times New Roman" w:cs="Times New Roman"/>
            </w:rPr>
            <m:t>Component_Return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m:rPr>
              <m:sty m:val="p"/>
            </m:rPr>
            <w:rPr>
              <w:rFonts w:ascii="Cambria Math" w:hAnsi="Cambria Math" w:cs="Times New Roman"/>
            </w:rPr>
            <m:t>(</m:t>
          </m:r>
          <m:r>
            <m:rPr>
              <m:nor/>
            </m:rPr>
            <w:rPr>
              <w:rFonts w:ascii="Times New Roman" w:hAnsi="Times New Roman" w:cs="Times New Roman"/>
            </w:rPr>
            <m:t>SOXX_z</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m:rPr>
              <m:sty m:val="p"/>
            </m:rPr>
            <w:rPr>
              <w:rFonts w:ascii="Cambria Math" w:hAnsi="Cambria Math" w:cs="Times New Roman"/>
            </w:rPr>
            <m:t>(</m:t>
          </m:r>
          <m:r>
            <m:rPr>
              <m:nor/>
            </m:rPr>
            <w:rPr>
              <w:rFonts w:ascii="Times New Roman" w:hAnsi="Times New Roman" w:cs="Times New Roman"/>
            </w:rPr>
            <m:t>CSI_z</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3</m:t>
              </m:r>
            </m:sub>
          </m:sSub>
          <m:r>
            <m:rPr>
              <m:sty m:val="p"/>
            </m:rPr>
            <w:rPr>
              <w:rFonts w:ascii="Cambria Math" w:hAnsi="Cambria Math" w:cs="Times New Roman"/>
            </w:rPr>
            <m:t>(</m:t>
          </m:r>
          <m:r>
            <m:rPr>
              <m:nor/>
            </m:rPr>
            <w:rPr>
              <w:rFonts w:ascii="Times New Roman" w:hAnsi="Times New Roman" w:cs="Times New Roman"/>
            </w:rPr>
            <m:t>Oil_z</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4</m:t>
              </m:r>
            </m:sub>
          </m:sSub>
          <m:r>
            <m:rPr>
              <m:sty m:val="p"/>
            </m:rPr>
            <w:rPr>
              <w:rFonts w:ascii="Cambria Math" w:hAnsi="Cambria Math" w:cs="Times New Roman"/>
            </w:rPr>
            <m:t>(</m:t>
          </m:r>
          <m:r>
            <m:rPr>
              <m:nor/>
            </m:rPr>
            <w:rPr>
              <w:rFonts w:ascii="Times New Roman" w:hAnsi="Times New Roman" w:cs="Times New Roman"/>
            </w:rPr>
            <m:t>BTC_z</m:t>
          </m:r>
          <m:r>
            <m:rPr>
              <m:sty m:val="p"/>
            </m:rPr>
            <w:rPr>
              <w:rFonts w:ascii="Cambria Math" w:hAnsi="Cambria Math" w:cs="Times New Roman"/>
            </w:rPr>
            <m:t>)+</m:t>
          </m:r>
          <m:r>
            <w:rPr>
              <w:rFonts w:ascii="Cambria Math" w:hAnsi="Cambria Math" w:cs="Times New Roman"/>
            </w:rPr>
            <m:t>ϵ</m:t>
          </m:r>
        </m:oMath>
      </m:oMathPara>
    </w:p>
    <w:p w14:paraId="1332F628" w14:textId="77777777" w:rsidR="00C621FC" w:rsidRDefault="00000000">
      <w:pPr>
        <w:pStyle w:val="FirstParagraph"/>
        <w:rPr>
          <w:rFonts w:ascii="Times New Roman" w:hAnsi="Times New Roman" w:cs="Times New Roman"/>
        </w:rPr>
      </w:pPr>
      <w:r w:rsidRPr="00C621FC">
        <w:rPr>
          <w:rFonts w:ascii="Times New Roman" w:hAnsi="Times New Roman" w:cs="Times New Roman"/>
          <w:b/>
          <w:bCs/>
        </w:rPr>
        <w:t>Detailed Findings:</w:t>
      </w:r>
      <w:r w:rsidRPr="00C621FC">
        <w:rPr>
          <w:rFonts w:ascii="Times New Roman" w:hAnsi="Times New Roman" w:cs="Times New Roman"/>
        </w:rPr>
        <w:t xml:space="preserve"> </w:t>
      </w:r>
    </w:p>
    <w:p w14:paraId="7418AC11" w14:textId="77777777" w:rsidR="00C621FC" w:rsidRDefault="00000000">
      <w:pPr>
        <w:pStyle w:val="FirstParagraph"/>
        <w:rPr>
          <w:rFonts w:ascii="Times New Roman" w:hAnsi="Times New Roman" w:cs="Times New Roman"/>
        </w:rPr>
      </w:pPr>
      <w:r w:rsidRPr="00C621FC">
        <w:rPr>
          <w:rFonts w:ascii="Times New Roman" w:hAnsi="Times New Roman" w:cs="Times New Roman"/>
        </w:rPr>
        <w:t xml:space="preserve">1. </w:t>
      </w:r>
      <w:r w:rsidRPr="00C621FC">
        <w:rPr>
          <w:rFonts w:ascii="Times New Roman" w:hAnsi="Times New Roman" w:cs="Times New Roman"/>
          <w:b/>
          <w:bCs/>
        </w:rPr>
        <w:t>GPU Model:</w:t>
      </w:r>
      <w:r w:rsidRPr="00C621FC">
        <w:rPr>
          <w:rFonts w:ascii="Times New Roman" w:hAnsi="Times New Roman" w:cs="Times New Roman"/>
        </w:rPr>
        <w:t xml:space="preserve"> * </w:t>
      </w:r>
      <w:r w:rsidRPr="00C621FC">
        <w:rPr>
          <w:rFonts w:ascii="Times New Roman" w:hAnsi="Times New Roman" w:cs="Times New Roman"/>
          <w:b/>
          <w:bCs/>
        </w:rPr>
        <w:t>Bitcoin (</w:t>
      </w:r>
      <w:r w:rsidRPr="00C621FC">
        <w:rPr>
          <w:rStyle w:val="VerbatimChar"/>
          <w:rFonts w:ascii="Times New Roman" w:hAnsi="Times New Roman" w:cs="Times New Roman"/>
          <w:b/>
          <w:bCs/>
        </w:rPr>
        <w:t>BTC_ret_z</w:t>
      </w:r>
      <w:r w:rsidRPr="00C621FC">
        <w:rPr>
          <w:rFonts w:ascii="Times New Roman" w:hAnsi="Times New Roman" w:cs="Times New Roman"/>
          <w:b/>
          <w:bCs/>
        </w:rPr>
        <w:t>)</w:t>
      </w:r>
      <w:r w:rsidRPr="00C621FC">
        <w:rPr>
          <w:rFonts w:ascii="Times New Roman" w:hAnsi="Times New Roman" w:cs="Times New Roman"/>
        </w:rPr>
        <w:t xml:space="preserve"> emerged as the dominant explanatory variable. It possesses the largest standardized coefficient (</w:t>
      </w:r>
      <m:oMath>
        <m:r>
          <w:rPr>
            <w:rFonts w:ascii="Cambria Math" w:hAnsi="Cambria Math" w:cs="Times New Roman"/>
          </w:rPr>
          <m:t>β</m:t>
        </m:r>
        <m:r>
          <m:rPr>
            <m:sty m:val="p"/>
          </m:rPr>
          <w:rPr>
            <w:rFonts w:ascii="Cambria Math" w:hAnsi="Cambria Math" w:cs="Times New Roman"/>
          </w:rPr>
          <m:t>=-</m:t>
        </m:r>
        <m:r>
          <w:rPr>
            <w:rFonts w:ascii="Cambria Math" w:hAnsi="Cambria Math" w:cs="Times New Roman"/>
          </w:rPr>
          <m:t>0.011</m:t>
        </m:r>
      </m:oMath>
      <w:r w:rsidRPr="00C621FC">
        <w:rPr>
          <w:rFonts w:ascii="Times New Roman" w:hAnsi="Times New Roman" w:cs="Times New Roman"/>
        </w:rPr>
        <w:t>) and approaches statistical significance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0.055</m:t>
        </m:r>
      </m:oMath>
      <w:r w:rsidRPr="00C621FC">
        <w:rPr>
          <w:rFonts w:ascii="Times New Roman" w:hAnsi="Times New Roman" w:cs="Times New Roman"/>
        </w:rPr>
        <w:t xml:space="preserve">). * Crucially, the </w:t>
      </w:r>
      <w:r w:rsidRPr="00C621FC">
        <w:rPr>
          <w:rFonts w:ascii="Times New Roman" w:hAnsi="Times New Roman" w:cs="Times New Roman"/>
          <w:b/>
          <w:bCs/>
        </w:rPr>
        <w:t xml:space="preserve">Partial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C621FC">
        <w:rPr>
          <w:rFonts w:ascii="Times New Roman" w:hAnsi="Times New Roman" w:cs="Times New Roman"/>
          <w:b/>
          <w:bCs/>
        </w:rPr>
        <w:t xml:space="preserve"> is 18.06%</w:t>
      </w:r>
      <w:r w:rsidRPr="00C621FC">
        <w:rPr>
          <w:rFonts w:ascii="Times New Roman" w:hAnsi="Times New Roman" w:cs="Times New Roman"/>
        </w:rPr>
        <w:t xml:space="preserve">, meaning that holding all other macro factors constant, Bitcoin alone explains roughly 18% of the variance in GPU monthly returns. * SOXX, CSI, and Oil had negligible explanatory power (Partial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m:rPr>
            <m:sty m:val="p"/>
          </m:rPr>
          <w:rPr>
            <w:rFonts w:ascii="Cambria Math" w:hAnsi="Cambria Math" w:cs="Times New Roman"/>
          </w:rPr>
          <m:t>&lt;</m:t>
        </m:r>
        <m:r>
          <w:rPr>
            <w:rFonts w:ascii="Cambria Math" w:hAnsi="Cambria Math" w:cs="Times New Roman"/>
          </w:rPr>
          <m:t>2</m:t>
        </m:r>
        <m:r>
          <m:rPr>
            <m:sty m:val="p"/>
          </m:rPr>
          <w:rPr>
            <w:rFonts w:ascii="Cambria Math" w:hAnsi="Cambria Math" w:cs="Times New Roman"/>
          </w:rPr>
          <m:t>%</m:t>
        </m:r>
      </m:oMath>
      <w:r w:rsidRPr="00C621FC">
        <w:rPr>
          <w:rFonts w:ascii="Times New Roman" w:hAnsi="Times New Roman" w:cs="Times New Roman"/>
        </w:rPr>
        <w:t xml:space="preserve">). </w:t>
      </w:r>
    </w:p>
    <w:p w14:paraId="7134BF5C" w14:textId="77777777" w:rsidR="00C621FC" w:rsidRDefault="00000000">
      <w:pPr>
        <w:pStyle w:val="FirstParagraph"/>
        <w:rPr>
          <w:rFonts w:ascii="Times New Roman" w:hAnsi="Times New Roman" w:cs="Times New Roman"/>
        </w:rPr>
      </w:pPr>
      <w:r w:rsidRPr="00C621FC">
        <w:rPr>
          <w:rFonts w:ascii="Times New Roman" w:hAnsi="Times New Roman" w:cs="Times New Roman"/>
        </w:rPr>
        <w:t xml:space="preserve">2. </w:t>
      </w:r>
      <w:r w:rsidRPr="00C621FC">
        <w:rPr>
          <w:rFonts w:ascii="Times New Roman" w:hAnsi="Times New Roman" w:cs="Times New Roman"/>
          <w:b/>
          <w:bCs/>
        </w:rPr>
        <w:t>CPU Model:</w:t>
      </w:r>
      <w:r w:rsidRPr="00C621FC">
        <w:rPr>
          <w:rFonts w:ascii="Times New Roman" w:hAnsi="Times New Roman" w:cs="Times New Roman"/>
        </w:rPr>
        <w:t xml:space="preserve"> * The </w:t>
      </w:r>
      <w:r w:rsidRPr="00C621FC">
        <w:rPr>
          <w:rFonts w:ascii="Times New Roman" w:hAnsi="Times New Roman" w:cs="Times New Roman"/>
          <w:b/>
          <w:bCs/>
        </w:rPr>
        <w:t>Semiconductor ETF (</w:t>
      </w:r>
      <w:r w:rsidRPr="00C621FC">
        <w:rPr>
          <w:rStyle w:val="VerbatimChar"/>
          <w:rFonts w:ascii="Times New Roman" w:hAnsi="Times New Roman" w:cs="Times New Roman"/>
          <w:b/>
          <w:bCs/>
        </w:rPr>
        <w:t>SOXX_ret_z</w:t>
      </w:r>
      <w:r w:rsidRPr="00C621FC">
        <w:rPr>
          <w:rFonts w:ascii="Times New Roman" w:hAnsi="Times New Roman" w:cs="Times New Roman"/>
          <w:b/>
          <w:bCs/>
        </w:rPr>
        <w:t>)</w:t>
      </w:r>
      <w:r w:rsidRPr="00C621FC">
        <w:rPr>
          <w:rFonts w:ascii="Times New Roman" w:hAnsi="Times New Roman" w:cs="Times New Roman"/>
        </w:rPr>
        <w:t xml:space="preserve"> showed the strongest linkage to CPU returns (</w:t>
      </w:r>
      <m:oMath>
        <m:r>
          <w:rPr>
            <w:rFonts w:ascii="Cambria Math" w:hAnsi="Cambria Math" w:cs="Times New Roman"/>
          </w:rPr>
          <m:t>β</m:t>
        </m:r>
        <m:r>
          <m:rPr>
            <m:sty m:val="p"/>
          </m:rPr>
          <w:rPr>
            <w:rFonts w:ascii="Cambria Math" w:hAnsi="Cambria Math" w:cs="Times New Roman"/>
          </w:rPr>
          <m:t>=</m:t>
        </m:r>
        <m:r>
          <w:rPr>
            <w:rFonts w:ascii="Cambria Math" w:hAnsi="Cambria Math" w:cs="Times New Roman"/>
          </w:rPr>
          <m:t>0.004</m:t>
        </m:r>
      </m:oMath>
      <w:r w:rsidRPr="00C621FC">
        <w:rPr>
          <w:rFonts w:ascii="Times New Roman" w:hAnsi="Times New Roman" w:cs="Times New Roman"/>
        </w:rPr>
        <w:t xml:space="preserve">, Partial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6.47</m:t>
        </m:r>
        <m:r>
          <m:rPr>
            <m:sty m:val="p"/>
          </m:rPr>
          <w:rPr>
            <w:rFonts w:ascii="Cambria Math" w:hAnsi="Cambria Math" w:cs="Times New Roman"/>
          </w:rPr>
          <m:t>%</m:t>
        </m:r>
      </m:oMath>
      <w:r w:rsidRPr="00C621FC">
        <w:rPr>
          <w:rFonts w:ascii="Times New Roman" w:hAnsi="Times New Roman" w:cs="Times New Roman"/>
        </w:rPr>
        <w:t xml:space="preserve">). However, with a </w:t>
      </w:r>
      <m:oMath>
        <m:r>
          <w:rPr>
            <w:rFonts w:ascii="Cambria Math" w:hAnsi="Cambria Math" w:cs="Times New Roman"/>
          </w:rPr>
          <m:t>p</m:t>
        </m:r>
        <m:r>
          <m:rPr>
            <m:nor/>
          </m:rPr>
          <w:rPr>
            <w:rFonts w:ascii="Times New Roman" w:hAnsi="Times New Roman" w:cs="Times New Roman"/>
          </w:rPr>
          <m:t>-value</m:t>
        </m:r>
        <m:r>
          <m:rPr>
            <m:sty m:val="p"/>
          </m:rPr>
          <w:rPr>
            <w:rFonts w:ascii="Cambria Math" w:hAnsi="Cambria Math" w:cs="Times New Roman"/>
          </w:rPr>
          <m:t>=</m:t>
        </m:r>
        <m:r>
          <w:rPr>
            <w:rFonts w:ascii="Cambria Math" w:hAnsi="Cambria Math" w:cs="Times New Roman"/>
          </w:rPr>
          <m:t>0.266</m:t>
        </m:r>
      </m:oMath>
      <w:r w:rsidRPr="00C621FC">
        <w:rPr>
          <w:rFonts w:ascii="Times New Roman" w:hAnsi="Times New Roman" w:cs="Times New Roman"/>
        </w:rPr>
        <w:t xml:space="preserve">, this relationship is not statistically significant at the 5% level, suggesting CPU prices are highly resilient or driven by idiosyncratic supply-chain factors rather than immediate macro shocks. </w:t>
      </w:r>
    </w:p>
    <w:p w14:paraId="0BF83437" w14:textId="77777777" w:rsidR="00C621FC" w:rsidRDefault="00000000" w:rsidP="00C621FC">
      <w:pPr>
        <w:pStyle w:val="FirstParagraph"/>
        <w:rPr>
          <w:rFonts w:ascii="Times New Roman" w:hAnsi="Times New Roman" w:cs="Times New Roman"/>
        </w:rPr>
      </w:pPr>
      <w:r w:rsidRPr="00C621FC">
        <w:rPr>
          <w:rFonts w:ascii="Times New Roman" w:hAnsi="Times New Roman" w:cs="Times New Roman"/>
        </w:rPr>
        <w:t xml:space="preserve">3. </w:t>
      </w:r>
      <w:r w:rsidRPr="00C621FC">
        <w:rPr>
          <w:rFonts w:ascii="Times New Roman" w:hAnsi="Times New Roman" w:cs="Times New Roman"/>
          <w:b/>
          <w:bCs/>
        </w:rPr>
        <w:t>RAM Model:</w:t>
      </w:r>
      <w:r w:rsidRPr="00C621FC">
        <w:rPr>
          <w:rFonts w:ascii="Times New Roman" w:hAnsi="Times New Roman" w:cs="Times New Roman"/>
        </w:rPr>
        <w:t xml:space="preserve"> * </w:t>
      </w:r>
      <w:r w:rsidRPr="00C621FC">
        <w:rPr>
          <w:rFonts w:ascii="Times New Roman" w:hAnsi="Times New Roman" w:cs="Times New Roman"/>
          <w:b/>
          <w:bCs/>
        </w:rPr>
        <w:t>Bitcoin</w:t>
      </w:r>
      <w:r w:rsidRPr="00C621FC">
        <w:rPr>
          <w:rFonts w:ascii="Times New Roman" w:hAnsi="Times New Roman" w:cs="Times New Roman"/>
        </w:rPr>
        <w:t xml:space="preserve"> again showed a relatively strong Beta (</w:t>
      </w:r>
      <m:oMath>
        <m:r>
          <w:rPr>
            <w:rFonts w:ascii="Cambria Math" w:hAnsi="Cambria Math" w:cs="Times New Roman"/>
          </w:rPr>
          <m:t>β</m:t>
        </m:r>
        <m:r>
          <m:rPr>
            <m:sty m:val="p"/>
          </m:rPr>
          <w:rPr>
            <w:rFonts w:ascii="Cambria Math" w:hAnsi="Cambria Math" w:cs="Times New Roman"/>
          </w:rPr>
          <m:t>=-</m:t>
        </m:r>
        <m:r>
          <w:rPr>
            <w:rFonts w:ascii="Cambria Math" w:hAnsi="Cambria Math" w:cs="Times New Roman"/>
          </w:rPr>
          <m:t>0.025</m:t>
        </m:r>
      </m:oMath>
      <w:r w:rsidRPr="00C621FC">
        <w:rPr>
          <w:rFonts w:ascii="Times New Roman" w:hAnsi="Times New Roman" w:cs="Times New Roman"/>
        </w:rPr>
        <w:t>), but the high variance in RAM prices resulted in a lack of statistical significance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0.193</m:t>
        </m:r>
      </m:oMath>
      <w:r w:rsidRPr="00C621FC">
        <w:rPr>
          <w:rFonts w:ascii="Times New Roman" w:hAnsi="Times New Roman" w:cs="Times New Roman"/>
        </w:rPr>
        <w:t xml:space="preserve">, Partial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8.75</m:t>
        </m:r>
        <m:r>
          <m:rPr>
            <m:sty m:val="p"/>
          </m:rPr>
          <w:rPr>
            <w:rFonts w:ascii="Cambria Math" w:hAnsi="Cambria Math" w:cs="Times New Roman"/>
          </w:rPr>
          <m:t>%</m:t>
        </m:r>
      </m:oMath>
      <w:r w:rsidRPr="00C621FC">
        <w:rPr>
          <w:rFonts w:ascii="Times New Roman" w:hAnsi="Times New Roman" w:cs="Times New Roman"/>
        </w:rPr>
        <w:t>).</w:t>
      </w:r>
    </w:p>
    <w:p w14:paraId="64738576" w14:textId="7A1B7F86" w:rsidR="00B25602" w:rsidRPr="00C621FC" w:rsidRDefault="00C621FC" w:rsidP="00C621FC">
      <w:pPr>
        <w:pStyle w:val="FirstParagraph"/>
        <w:jc w:val="center"/>
        <w:rPr>
          <w:rFonts w:ascii="Times New Roman" w:hAnsi="Times New Roman" w:cs="Times New Roman"/>
        </w:rPr>
      </w:pPr>
      <w:r w:rsidRPr="00C621FC">
        <w:rPr>
          <w:rFonts w:ascii="Times New Roman" w:hAnsi="Times New Roman" w:cs="Times New Roman"/>
          <w:noProof/>
        </w:rPr>
        <w:drawing>
          <wp:inline distT="0" distB="0" distL="0" distR="0" wp14:anchorId="38827083" wp14:editId="30D64A8B">
            <wp:extent cx="3341914" cy="1670957"/>
            <wp:effectExtent l="0" t="0" r="0" b="0"/>
            <wp:docPr id="2123301012" name="Picture 7"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01012" name="Picture 7" descr="A graph of a bar grap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50076" cy="1675038"/>
                    </a:xfrm>
                    <a:prstGeom prst="rect">
                      <a:avLst/>
                    </a:prstGeom>
                    <a:noFill/>
                    <a:ln>
                      <a:noFill/>
                    </a:ln>
                  </pic:spPr>
                </pic:pic>
              </a:graphicData>
            </a:graphic>
          </wp:inline>
        </w:drawing>
      </w:r>
      <w:r w:rsidRPr="00C621FC">
        <w:rPr>
          <w:rFonts w:ascii="Times New Roman" w:hAnsi="Times New Roman" w:cs="Times New Roman"/>
          <w:noProof/>
        </w:rPr>
        <w:drawing>
          <wp:inline distT="0" distB="0" distL="0" distR="0" wp14:anchorId="7F2334A4" wp14:editId="3B4713FB">
            <wp:extent cx="3282043" cy="1641022"/>
            <wp:effectExtent l="0" t="0" r="0" b="0"/>
            <wp:docPr id="981113202" name="Picture 6"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13202" name="Picture 6" descr="A graph with different colored squar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99875" cy="1649938"/>
                    </a:xfrm>
                    <a:prstGeom prst="rect">
                      <a:avLst/>
                    </a:prstGeom>
                    <a:noFill/>
                    <a:ln>
                      <a:noFill/>
                    </a:ln>
                  </pic:spPr>
                </pic:pic>
              </a:graphicData>
            </a:graphic>
          </wp:inline>
        </w:drawing>
      </w:r>
    </w:p>
    <w:p w14:paraId="3ED3FE46" w14:textId="77777777" w:rsidR="00B25602" w:rsidRPr="00C621FC" w:rsidRDefault="00000000">
      <w:pPr>
        <w:pStyle w:val="BodyText"/>
        <w:rPr>
          <w:rFonts w:ascii="Times New Roman" w:hAnsi="Times New Roman" w:cs="Times New Roman"/>
        </w:rPr>
      </w:pPr>
      <w:r w:rsidRPr="00C621FC">
        <w:rPr>
          <w:rFonts w:ascii="Times New Roman" w:hAnsi="Times New Roman" w:cs="Times New Roman"/>
          <w:i/>
          <w:iCs/>
        </w:rPr>
        <w:t xml:space="preserve">Visualized in: </w:t>
      </w:r>
      <w:r w:rsidRPr="00C621FC">
        <w:rPr>
          <w:rStyle w:val="VerbatimChar"/>
          <w:rFonts w:ascii="Times New Roman" w:hAnsi="Times New Roman" w:cs="Times New Roman"/>
          <w:i/>
          <w:iCs/>
        </w:rPr>
        <w:t>02_standardized_coefficients.png</w:t>
      </w:r>
      <w:r w:rsidRPr="00C621FC">
        <w:rPr>
          <w:rFonts w:ascii="Times New Roman" w:hAnsi="Times New Roman" w:cs="Times New Roman"/>
          <w:i/>
          <w:iCs/>
        </w:rPr>
        <w:t xml:space="preserve"> and </w:t>
      </w:r>
      <w:r w:rsidRPr="00C621FC">
        <w:rPr>
          <w:rStyle w:val="VerbatimChar"/>
          <w:rFonts w:ascii="Times New Roman" w:hAnsi="Times New Roman" w:cs="Times New Roman"/>
          <w:i/>
          <w:iCs/>
        </w:rPr>
        <w:t>03_partial_rsquared.png</w:t>
      </w:r>
      <w:r w:rsidRPr="00C621FC">
        <w:rPr>
          <w:rFonts w:ascii="Times New Roman" w:hAnsi="Times New Roman" w:cs="Times New Roman"/>
          <w:i/>
          <w:iCs/>
        </w:rPr>
        <w:t>.</w:t>
      </w:r>
    </w:p>
    <w:p w14:paraId="65CE8750" w14:textId="77777777" w:rsidR="00B25602" w:rsidRPr="00C621FC" w:rsidRDefault="00000000">
      <w:pPr>
        <w:pStyle w:val="Heading3"/>
        <w:rPr>
          <w:rFonts w:ascii="Times New Roman" w:hAnsi="Times New Roman" w:cs="Times New Roman"/>
        </w:rPr>
      </w:pPr>
      <w:bookmarkStart w:id="12" w:name="phase-4-pooled-interaction-model"/>
      <w:bookmarkEnd w:id="11"/>
      <w:r w:rsidRPr="00C621FC">
        <w:rPr>
          <w:rFonts w:ascii="Times New Roman" w:hAnsi="Times New Roman" w:cs="Times New Roman"/>
        </w:rPr>
        <w:lastRenderedPageBreak/>
        <w:t>4.2. Phase 4: Pooled Interaction Model</w:t>
      </w:r>
    </w:p>
    <w:p w14:paraId="3F29F7A2" w14:textId="77777777" w:rsidR="00B25602" w:rsidRPr="00C621FC" w:rsidRDefault="00000000">
      <w:pPr>
        <w:pStyle w:val="FirstParagraph"/>
        <w:rPr>
          <w:rFonts w:ascii="Times New Roman" w:hAnsi="Times New Roman" w:cs="Times New Roman"/>
        </w:rPr>
      </w:pPr>
      <w:r w:rsidRPr="00C621FC">
        <w:rPr>
          <w:rFonts w:ascii="Times New Roman" w:hAnsi="Times New Roman" w:cs="Times New Roman"/>
        </w:rPr>
        <w:t>While Phase 3 shows visual differences (e.g., BTC impacts GPUs more than CPUs), we must formally test if this difference is statistically significant. We restructured the data into a “Long” format and ran a Pooled Interaction Model (with CPU as the baseline component).</w:t>
      </w:r>
    </w:p>
    <w:p w14:paraId="480DC716" w14:textId="77777777" w:rsidR="00B25602" w:rsidRPr="00C621FC" w:rsidRDefault="00000000">
      <w:pPr>
        <w:pStyle w:val="BodyText"/>
        <w:rPr>
          <w:rFonts w:ascii="Times New Roman" w:hAnsi="Times New Roman" w:cs="Times New Roman"/>
        </w:rPr>
      </w:pPr>
      <w:r w:rsidRPr="00C621FC">
        <w:rPr>
          <w:rFonts w:ascii="Times New Roman" w:hAnsi="Times New Roman" w:cs="Times New Roman"/>
          <w:b/>
          <w:bCs/>
        </w:rPr>
        <w:t>Detailed Findings:</w:t>
      </w:r>
      <w:r w:rsidRPr="00C621FC">
        <w:rPr>
          <w:rFonts w:ascii="Times New Roman" w:hAnsi="Times New Roman" w:cs="Times New Roman"/>
        </w:rPr>
        <w:t xml:space="preserve"> * The interaction terms measure the </w:t>
      </w:r>
      <w:r w:rsidRPr="00C621FC">
        <w:rPr>
          <w:rFonts w:ascii="Times New Roman" w:hAnsi="Times New Roman" w:cs="Times New Roman"/>
          <w:i/>
          <w:iCs/>
        </w:rPr>
        <w:t>difference in impact</w:t>
      </w:r>
      <w:r w:rsidRPr="00C621FC">
        <w:rPr>
          <w:rFonts w:ascii="Times New Roman" w:hAnsi="Times New Roman" w:cs="Times New Roman"/>
        </w:rPr>
        <w:t xml:space="preserve"> compared to the baseline. * The interaction between </w:t>
      </w:r>
      <w:r w:rsidRPr="00C621FC">
        <w:rPr>
          <w:rFonts w:ascii="Times New Roman" w:hAnsi="Times New Roman" w:cs="Times New Roman"/>
          <w:b/>
          <w:bCs/>
        </w:rPr>
        <w:t>BTC and GPU</w:t>
      </w:r>
      <w:r w:rsidRPr="00C621FC">
        <w:rPr>
          <w:rFonts w:ascii="Times New Roman" w:hAnsi="Times New Roman" w:cs="Times New Roman"/>
        </w:rPr>
        <w:t xml:space="preserve"> yielded a </w:t>
      </w:r>
      <m:oMath>
        <m:r>
          <w:rPr>
            <w:rFonts w:ascii="Cambria Math" w:hAnsi="Cambria Math" w:cs="Times New Roman"/>
          </w:rPr>
          <m:t>p</m:t>
        </m:r>
        <m:r>
          <m:rPr>
            <m:nor/>
          </m:rPr>
          <w:rPr>
            <w:rFonts w:ascii="Times New Roman" w:hAnsi="Times New Roman" w:cs="Times New Roman"/>
          </w:rPr>
          <m:t>-value</m:t>
        </m:r>
        <m:r>
          <m:rPr>
            <m:sty m:val="p"/>
          </m:rPr>
          <w:rPr>
            <w:rFonts w:ascii="Cambria Math" w:hAnsi="Cambria Math" w:cs="Times New Roman"/>
          </w:rPr>
          <m:t>=</m:t>
        </m:r>
        <m:r>
          <w:rPr>
            <w:rFonts w:ascii="Cambria Math" w:hAnsi="Cambria Math" w:cs="Times New Roman"/>
          </w:rPr>
          <m:t>0.560</m:t>
        </m:r>
      </m:oMath>
      <w:r w:rsidRPr="00C621FC">
        <w:rPr>
          <w:rFonts w:ascii="Times New Roman" w:hAnsi="Times New Roman" w:cs="Times New Roman"/>
        </w:rPr>
        <w:t xml:space="preserve">. * The interaction between </w:t>
      </w:r>
      <w:r w:rsidRPr="00C621FC">
        <w:rPr>
          <w:rFonts w:ascii="Times New Roman" w:hAnsi="Times New Roman" w:cs="Times New Roman"/>
          <w:b/>
          <w:bCs/>
        </w:rPr>
        <w:t>SOXX and GPU</w:t>
      </w:r>
      <w:r w:rsidRPr="00C621FC">
        <w:rPr>
          <w:rFonts w:ascii="Times New Roman" w:hAnsi="Times New Roman" w:cs="Times New Roman"/>
        </w:rPr>
        <w:t xml:space="preserve"> yielded a </w:t>
      </w:r>
      <m:oMath>
        <m:r>
          <w:rPr>
            <w:rFonts w:ascii="Cambria Math" w:hAnsi="Cambria Math" w:cs="Times New Roman"/>
          </w:rPr>
          <m:t>p</m:t>
        </m:r>
        <m:r>
          <m:rPr>
            <m:nor/>
          </m:rPr>
          <w:rPr>
            <w:rFonts w:ascii="Times New Roman" w:hAnsi="Times New Roman" w:cs="Times New Roman"/>
          </w:rPr>
          <m:t>-value</m:t>
        </m:r>
        <m:r>
          <m:rPr>
            <m:sty m:val="p"/>
          </m:rPr>
          <w:rPr>
            <w:rFonts w:ascii="Cambria Math" w:hAnsi="Cambria Math" w:cs="Times New Roman"/>
          </w:rPr>
          <m:t>=</m:t>
        </m:r>
        <m:r>
          <w:rPr>
            <w:rFonts w:ascii="Cambria Math" w:hAnsi="Cambria Math" w:cs="Times New Roman"/>
          </w:rPr>
          <m:t>0.947</m:t>
        </m:r>
      </m:oMath>
      <w:r w:rsidRPr="00C621FC">
        <w:rPr>
          <w:rFonts w:ascii="Times New Roman" w:hAnsi="Times New Roman" w:cs="Times New Roman"/>
        </w:rPr>
        <w:t xml:space="preserve">. * All other interaction terms across CSI and Oil yielded </w:t>
      </w:r>
      <m:oMath>
        <m:r>
          <w:rPr>
            <w:rFonts w:ascii="Cambria Math" w:hAnsi="Cambria Math" w:cs="Times New Roman"/>
          </w:rPr>
          <m:t>p</m:t>
        </m:r>
        <m:r>
          <m:rPr>
            <m:nor/>
          </m:rPr>
          <w:rPr>
            <w:rFonts w:ascii="Times New Roman" w:hAnsi="Times New Roman" w:cs="Times New Roman"/>
          </w:rPr>
          <m:t>-values</m:t>
        </m:r>
        <m:r>
          <m:rPr>
            <m:sty m:val="p"/>
          </m:rPr>
          <w:rPr>
            <w:rFonts w:ascii="Cambria Math" w:hAnsi="Cambria Math" w:cs="Times New Roman"/>
          </w:rPr>
          <m:t>&gt;</m:t>
        </m:r>
        <m:r>
          <w:rPr>
            <w:rFonts w:ascii="Cambria Math" w:hAnsi="Cambria Math" w:cs="Times New Roman"/>
          </w:rPr>
          <m:t>0.60</m:t>
        </m:r>
      </m:oMath>
      <w:r w:rsidRPr="00C621FC">
        <w:rPr>
          <w:rFonts w:ascii="Times New Roman" w:hAnsi="Times New Roman" w:cs="Times New Roman"/>
        </w:rPr>
        <w:t>.</w:t>
      </w:r>
    </w:p>
    <w:p w14:paraId="539B6A89" w14:textId="77777777" w:rsidR="00B25602" w:rsidRPr="00C621FC" w:rsidRDefault="00000000">
      <w:pPr>
        <w:pStyle w:val="Heading3"/>
        <w:rPr>
          <w:rFonts w:ascii="Times New Roman" w:hAnsi="Times New Roman" w:cs="Times New Roman"/>
        </w:rPr>
      </w:pPr>
      <w:bookmarkStart w:id="13" w:name="final-conclusion-on-hypothesis-1-h1"/>
      <w:bookmarkEnd w:id="12"/>
      <w:r w:rsidRPr="00C621FC">
        <w:rPr>
          <w:rFonts w:ascii="Times New Roman" w:hAnsi="Times New Roman" w:cs="Times New Roman"/>
        </w:rPr>
        <w:t>4.3. Final Conclusion on Hypothesis 1 (H1)</w:t>
      </w:r>
    </w:p>
    <w:p w14:paraId="0C52F7EB" w14:textId="77777777" w:rsidR="00B25602" w:rsidRPr="00C621FC" w:rsidRDefault="00000000">
      <w:pPr>
        <w:pStyle w:val="FirstParagraph"/>
        <w:rPr>
          <w:rFonts w:ascii="Times New Roman" w:hAnsi="Times New Roman" w:cs="Times New Roman"/>
        </w:rPr>
      </w:pPr>
      <w:r w:rsidRPr="00C621FC">
        <w:rPr>
          <w:rFonts w:ascii="Times New Roman" w:hAnsi="Times New Roman" w:cs="Times New Roman"/>
          <w:b/>
          <w:bCs/>
        </w:rPr>
        <w:t>We fail to reject the null hypothesis.</w:t>
      </w:r>
    </w:p>
    <w:p w14:paraId="65FDA64B" w14:textId="77777777" w:rsidR="00B25602" w:rsidRPr="00C621FC" w:rsidRDefault="00000000">
      <w:pPr>
        <w:pStyle w:val="BodyText"/>
        <w:rPr>
          <w:rFonts w:ascii="Times New Roman" w:hAnsi="Times New Roman" w:cs="Times New Roman"/>
        </w:rPr>
      </w:pPr>
      <w:r w:rsidRPr="00C621FC">
        <w:rPr>
          <w:rFonts w:ascii="Times New Roman" w:hAnsi="Times New Roman" w:cs="Times New Roman"/>
        </w:rPr>
        <w:t xml:space="preserve">Despite the exploratory Phase 3 models suggesting that Bitcoin has a stronger explanatory hold on GPUs compared to other components, the rigorous Phase 4 interaction model proves that </w:t>
      </w:r>
      <w:r w:rsidRPr="00C621FC">
        <w:rPr>
          <w:rFonts w:ascii="Times New Roman" w:hAnsi="Times New Roman" w:cs="Times New Roman"/>
          <w:b/>
          <w:bCs/>
        </w:rPr>
        <w:t>there is no statistically significant evidence to claim that the macroeconomic factors affect the components differently.</w:t>
      </w:r>
    </w:p>
    <w:p w14:paraId="6F57E20D" w14:textId="29BB26C7" w:rsidR="00B25602" w:rsidRPr="00C621FC" w:rsidRDefault="00000000" w:rsidP="00C621FC">
      <w:pPr>
        <w:pStyle w:val="BodyText"/>
        <w:rPr>
          <w:rFonts w:ascii="Times New Roman" w:hAnsi="Times New Roman" w:cs="Times New Roman"/>
        </w:rPr>
      </w:pPr>
      <w:r w:rsidRPr="00C621FC">
        <w:rPr>
          <w:rFonts w:ascii="Times New Roman" w:hAnsi="Times New Roman" w:cs="Times New Roman"/>
        </w:rPr>
        <w:t>The high p-values in the interaction terms indicate that the variance in component price returns is overwhelmingly driven by component-specific idiosyncratic shocks (e.g., product release cycles, specific inventory bottlenecks) rather than asymmetric sensitivity to these four macroeconomic variables during the same month.</w:t>
      </w:r>
      <w:bookmarkEnd w:id="0"/>
      <w:bookmarkEnd w:id="10"/>
      <w:bookmarkEnd w:id="13"/>
    </w:p>
    <w:sectPr w:rsidR="00B25602" w:rsidRPr="00C621F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68563" w14:textId="77777777" w:rsidR="00DE4527" w:rsidRDefault="00DE4527">
      <w:pPr>
        <w:spacing w:after="0"/>
      </w:pPr>
      <w:r>
        <w:separator/>
      </w:r>
    </w:p>
  </w:endnote>
  <w:endnote w:type="continuationSeparator" w:id="0">
    <w:p w14:paraId="43669248" w14:textId="77777777" w:rsidR="00DE4527" w:rsidRDefault="00DE45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7F153" w14:textId="77777777" w:rsidR="00DE4527" w:rsidRDefault="00DE4527">
      <w:r>
        <w:separator/>
      </w:r>
    </w:p>
  </w:footnote>
  <w:footnote w:type="continuationSeparator" w:id="0">
    <w:p w14:paraId="4FE7046A" w14:textId="77777777" w:rsidR="00DE4527" w:rsidRDefault="00DE45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4650DC6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A9E8D95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C9E045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653921495">
    <w:abstractNumId w:val="1"/>
  </w:num>
  <w:num w:numId="2" w16cid:durableId="14745927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38921106">
    <w:abstractNumId w:val="2"/>
  </w:num>
  <w:num w:numId="4" w16cid:durableId="1379471753">
    <w:abstractNumId w:val="2"/>
  </w:num>
  <w:num w:numId="5" w16cid:durableId="579101625">
    <w:abstractNumId w:val="2"/>
  </w:num>
  <w:num w:numId="6" w16cid:durableId="756443439">
    <w:abstractNumId w:val="2"/>
  </w:num>
  <w:num w:numId="7" w16cid:durableId="1367675560">
    <w:abstractNumId w:val="2"/>
  </w:num>
  <w:num w:numId="8" w16cid:durableId="1583027067">
    <w:abstractNumId w:val="2"/>
  </w:num>
  <w:num w:numId="9" w16cid:durableId="1481385891">
    <w:abstractNumId w:val="2"/>
  </w:num>
  <w:num w:numId="10" w16cid:durableId="1355840465">
    <w:abstractNumId w:val="2"/>
  </w:num>
  <w:num w:numId="11" w16cid:durableId="1714966463">
    <w:abstractNumId w:val="2"/>
  </w:num>
  <w:num w:numId="12" w16cid:durableId="483157486">
    <w:abstractNumId w:val="2"/>
  </w:num>
  <w:num w:numId="13" w16cid:durableId="1451245302">
    <w:abstractNumId w:val="2"/>
  </w:num>
  <w:num w:numId="14" w16cid:durableId="970593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591A2F"/>
    <w:rsid w:val="00784D58"/>
    <w:rsid w:val="008D6863"/>
    <w:rsid w:val="00B25602"/>
    <w:rsid w:val="00B86B75"/>
    <w:rsid w:val="00BC48D5"/>
    <w:rsid w:val="00C14DBA"/>
    <w:rsid w:val="00C36279"/>
    <w:rsid w:val="00C621FC"/>
    <w:rsid w:val="00CF4465"/>
    <w:rsid w:val="00DE4527"/>
    <w:rsid w:val="00E315A3"/>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018BE"/>
  <w15:docId w15:val="{2283EED4-75FE-4AE7-9C6B-8D92E2B38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6</Pages>
  <Words>1171</Words>
  <Characters>6675</Characters>
  <Application>Microsoft Office Word</Application>
  <DocSecurity>0</DocSecurity>
  <Lines>55</Lines>
  <Paragraphs>15</Paragraphs>
  <ScaleCrop>false</ScaleCrop>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keywords/>
  <cp:lastModifiedBy>Le Quang Huy</cp:lastModifiedBy>
  <cp:revision>3</cp:revision>
  <cp:lastPrinted>2026-05-23T09:20:00Z</cp:lastPrinted>
  <dcterms:created xsi:type="dcterms:W3CDTF">2026-05-23T09:09:00Z</dcterms:created>
  <dcterms:modified xsi:type="dcterms:W3CDTF">2026-05-23T09:21:00Z</dcterms:modified>
</cp:coreProperties>
</file>