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— PayFlow Payment Module</w:t>
      </w:r>
    </w:p>
    <w:p>
      <w:pPr>
        <w:pStyle w:val="Heading1"/>
      </w:pPr>
      <w:r>
        <w:t>System Overview</w:t>
      </w:r>
    </w:p>
    <w:p>
      <w:r>
        <w:t>PayFlow is an enterprise-grade payment processing gateway designed to handle high-volume card-present and card-not-present transactions for e-commerce and point-of-sale environments. The system interfaces with acquiring banks, card schemes (Visa, Mastercard, AMEX), and merchant back-office platforms to authorise, capture, and settle payment transactions in real time.</w:t>
      </w:r>
    </w:p>
    <w:p>
      <w:r>
        <w:t>The module supports full transaction lifecycle management including authorisation, capture, refunds, chargebacks, and daily settlement batch processing. It exposes a RESTful API consumed by merchant front-ends and integrates with the PayFlow Reconciliation Engine to ensure financial accuracy across all ledger entries. Availability SLA is 99.95 % with a maximum authorisation latency of 800 ms at P99.</w:t>
      </w:r>
    </w:p>
    <w:p>
      <w:pPr>
        <w:pStyle w:val="Heading1"/>
      </w:pPr>
      <w:r>
        <w:t>Functional Requirements</w:t>
      </w:r>
    </w:p>
    <w:p>
      <w:pPr>
        <w:pStyle w:val="Heading2"/>
      </w:pPr>
      <w:r>
        <w:t>Transaction Processing</w:t>
      </w:r>
    </w:p>
    <w:p>
      <w:r>
        <w:t>FR-001: The system SHALL authorise card transactions within 800 ms under normal load.</w:t>
      </w:r>
    </w:p>
    <w:p>
      <w:r>
        <w:t>FR-002: The system SHALL support Visa, Mastercard, AMEX, and Maestro card schemes.</w:t>
      </w:r>
    </w:p>
    <w:p>
      <w:r>
        <w:t>FR-003: The system SHALL capture authorised transactions within the capture window (default 7 days, configurable per merchant).</w:t>
      </w:r>
    </w:p>
    <w:p>
      <w:r>
        <w:t>FR-004: The system SHALL reject duplicate transactions identified by idempotency key within a 24-hour sliding window.</w:t>
      </w:r>
    </w:p>
    <w:p>
      <w:r>
        <w:t>FR-005: The system SHALL support 3-D Secure 2.x (3DS2) authentication flows for card-not-present transactions.</w:t>
      </w:r>
    </w:p>
    <w:p>
      <w:pPr>
        <w:pStyle w:val="Heading2"/>
      </w:pPr>
      <w:r>
        <w:t>Refund Management</w:t>
      </w:r>
    </w:p>
    <w:p>
      <w:r>
        <w:t>FR-006: The system SHALL process full and partial refunds against captured transactions.</w:t>
      </w:r>
    </w:p>
    <w:p>
      <w:r>
        <w:t>FR-007: Refunds SHALL be linked to the original transaction reference for audit trail.</w:t>
      </w:r>
    </w:p>
    <w:p>
      <w:r>
        <w:t>FR-008: The system SHALL prevent refunds exceeding the original transaction amount.</w:t>
      </w:r>
    </w:p>
    <w:p>
      <w:r>
        <w:t>FR-009: Refund status updates SHALL be propagated to the merchant webhook within 30 s.</w:t>
      </w:r>
    </w:p>
    <w:p>
      <w:pPr>
        <w:pStyle w:val="Heading2"/>
      </w:pPr>
      <w:r>
        <w:t>Reporting &amp; Settlement</w:t>
      </w:r>
    </w:p>
    <w:p>
      <w:r>
        <w:t>FR-010: The system SHALL generate daily settlement files in ISO 8583 and CSV formats.</w:t>
      </w:r>
    </w:p>
    <w:p>
      <w:r>
        <w:t>FR-011: Merchants SHALL be able to query transaction history with date-range and status filters via the Merchant Portal API.</w:t>
      </w:r>
    </w:p>
    <w:p>
      <w:r>
        <w:t>FR-012: The Reconciliation Engine SHALL flag mismatches between captured amounts and settled amounts and raise an alert to the Operations team.</w:t>
      </w:r>
    </w:p>
    <w:p>
      <w:pPr>
        <w:pStyle w:val="Heading1"/>
      </w:pPr>
      <w:r>
        <w:t>Non-Functional Requirements</w:t>
      </w:r>
    </w:p>
    <w:p>
      <w:r>
        <w:t>Performance: The system must sustain 2 000 transactions per second (TPS) peak load with P99 authorisation latency ≤ 800 ms. Horizontal scaling via Kubernetes HPA must activate within 60 s of load threshold being exceeded.</w:t>
      </w:r>
    </w:p>
    <w:p>
      <w:r>
        <w:t>Security: All data in transit must be encrypted with TLS 1.2+. PANs must be tokenised at the point of entry and never stored in plain text. The system must comply with PCI-DSS Level 1 requirements and pass quarterly ASV scans.</w:t>
      </w:r>
    </w:p>
    <w:p>
      <w:r>
        <w:t>Availability: The system must maintain 99.95 % uptime measured monthly. Planned maintenance windows must not exceed 4 hours per quarter and must be scheduled between 02:00–06:00 UTC.</w:t>
      </w:r>
    </w:p>
    <w:p>
      <w:pPr>
        <w:pStyle w:val="Heading1"/>
      </w:pPr>
      <w:r>
        <w:t>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</w:tr>
      <w:tr>
        <w:tc>
          <w:tcPr>
            <w:tcW w:type="dxa" w:w="2880"/>
          </w:tcPr>
          <w:p>
            <w:r>
              <w:t>Transaction</w:t>
            </w:r>
          </w:p>
        </w:tc>
        <w:tc>
          <w:tcPr>
            <w:tcW w:type="dxa" w:w="2880"/>
          </w:tcPr>
          <w:p>
            <w:r>
              <w:t>A financial exchange between a cardholder and merchant resulting in an authorisation, capture, or void.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</w:tr>
      <w:tr>
        <w:tc>
          <w:tcPr>
            <w:tcW w:type="dxa" w:w="2880"/>
          </w:tcPr>
          <w:p>
            <w:r>
              <w:t>Settlement</w:t>
            </w:r>
          </w:p>
        </w:tc>
        <w:tc>
          <w:tcPr>
            <w:tcW w:type="dxa" w:w="2880"/>
          </w:tcPr>
          <w:p>
            <w:r>
              <w:t>The process by which an acquirer transfers funds to the merchant's bank account after capture.</w:t>
            </w:r>
          </w:p>
        </w:tc>
        <w:tc>
          <w:tcPr>
            <w:tcW w:type="dxa" w:w="2880"/>
          </w:tcPr>
          <w:p>
            <w:r>
              <w:t>Settlement</w:t>
            </w:r>
          </w:p>
        </w:tc>
      </w:tr>
      <w:tr>
        <w:tc>
          <w:tcPr>
            <w:tcW w:type="dxa" w:w="2880"/>
          </w:tcPr>
          <w:p>
            <w:r>
              <w:t>Chargeback</w:t>
            </w:r>
          </w:p>
        </w:tc>
        <w:tc>
          <w:tcPr>
            <w:tcW w:type="dxa" w:w="2880"/>
          </w:tcPr>
          <w:p>
            <w:r>
              <w:t>A forced reversal of a transaction initiated by the cardholder's issuing bank.</w:t>
            </w:r>
          </w:p>
        </w:tc>
        <w:tc>
          <w:tcPr>
            <w:tcW w:type="dxa" w:w="2880"/>
          </w:tcPr>
          <w:p>
            <w:r>
              <w:t>Disputes</w:t>
            </w:r>
          </w:p>
        </w:tc>
      </w:tr>
      <w:tr>
        <w:tc>
          <w:tcPr>
            <w:tcW w:type="dxa" w:w="2880"/>
          </w:tcPr>
          <w:p>
            <w:r>
              <w:t>Acquirer</w:t>
            </w:r>
          </w:p>
        </w:tc>
        <w:tc>
          <w:tcPr>
            <w:tcW w:type="dxa" w:w="2880"/>
          </w:tcPr>
          <w:p>
            <w:r>
              <w:t>The bank or financial institution that processes card payments on behalf of the merchant.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</w:tr>
      <w:tr>
        <w:tc>
          <w:tcPr>
            <w:tcW w:type="dxa" w:w="2880"/>
          </w:tcPr>
          <w:p>
            <w:r>
              <w:t>Issuer</w:t>
            </w:r>
          </w:p>
        </w:tc>
        <w:tc>
          <w:tcPr>
            <w:tcW w:type="dxa" w:w="2880"/>
          </w:tcPr>
          <w:p>
            <w:r>
              <w:t>The bank or institution that issued the payment card to the cardholder.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</w:tr>
      <w:tr>
        <w:tc>
          <w:tcPr>
            <w:tcW w:type="dxa" w:w="2880"/>
          </w:tcPr>
          <w:p>
            <w:r>
              <w:t>Merchant ID</w:t>
            </w:r>
          </w:p>
        </w:tc>
        <w:tc>
          <w:tcPr>
            <w:tcW w:type="dxa" w:w="2880"/>
          </w:tcPr>
          <w:p>
            <w:r>
              <w:t>A unique identifier assigned to each merchant by the acquirer for routing and reporting.</w:t>
            </w:r>
          </w:p>
        </w:tc>
        <w:tc>
          <w:tcPr>
            <w:tcW w:type="dxa" w:w="2880"/>
          </w:tcPr>
          <w:p>
            <w:r>
              <w:t>Onboarding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A hold placed on cardholder funds to confirm sufficient balance before capture.</w:t>
            </w:r>
          </w:p>
        </w:tc>
        <w:tc>
          <w:tcPr>
            <w:tcW w:type="dxa" w:w="2880"/>
          </w:tcPr>
          <w:p>
            <w:r>
              <w:t>Core</w:t>
            </w:r>
          </w:p>
        </w:tc>
      </w:tr>
      <w:tr>
        <w:tc>
          <w:tcPr>
            <w:tcW w:type="dxa" w:w="2880"/>
          </w:tcPr>
          <w:p>
            <w:r>
              <w:t>Reconciliation</w:t>
            </w:r>
          </w:p>
        </w:tc>
        <w:tc>
          <w:tcPr>
            <w:tcW w:type="dxa" w:w="2880"/>
          </w:tcPr>
          <w:p>
            <w:r>
              <w:t>The process of matching transaction records between PayFlow, the acquirer, and the merchant ledger.</w:t>
            </w:r>
          </w:p>
        </w:tc>
        <w:tc>
          <w:tcPr>
            <w:tcW w:type="dxa" w:w="2880"/>
          </w:tcPr>
          <w:p>
            <w:r>
              <w:t>Settlement</w:t>
            </w:r>
          </w:p>
        </w:tc>
      </w:tr>
    </w:tbl>
    <w:p>
      <w:pPr>
        <w:pStyle w:val="Heading1"/>
      </w:pPr>
      <w:r>
        <w:t>Domain 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2880"/>
          </w:tcPr>
          <w:p>
            <w:r>
              <w:t>Merchant</w:t>
            </w:r>
          </w:p>
        </w:tc>
        <w:tc>
          <w:tcPr>
            <w:tcW w:type="dxa" w:w="2880"/>
          </w:tcPr>
          <w:p>
            <w:r>
              <w:t>Service provider</w:t>
            </w:r>
          </w:p>
        </w:tc>
        <w:tc>
          <w:tcPr>
            <w:tcW w:type="dxa" w:w="2880"/>
          </w:tcPr>
          <w:p>
            <w:r>
              <w:t>Initiates transaction requests; receives settlement funds; manages refunds via Merchant Portal.</w:t>
            </w:r>
          </w:p>
        </w:tc>
      </w:tr>
      <w:tr>
        <w:tc>
          <w:tcPr>
            <w:tcW w:type="dxa" w:w="2880"/>
          </w:tcPr>
          <w:p>
            <w:r>
              <w:t>Cardholder</w:t>
            </w:r>
          </w:p>
        </w:tc>
        <w:tc>
          <w:tcPr>
            <w:tcW w:type="dxa" w:w="2880"/>
          </w:tcPr>
          <w:p>
            <w:r>
              <w:t>End user</w:t>
            </w:r>
          </w:p>
        </w:tc>
        <w:tc>
          <w:tcPr>
            <w:tcW w:type="dxa" w:w="2880"/>
          </w:tcPr>
          <w:p>
            <w:r>
              <w:t>Provides payment credentials; initiates purchases and refund requests.</w:t>
            </w:r>
          </w:p>
        </w:tc>
      </w:tr>
      <w:tr>
        <w:tc>
          <w:tcPr>
            <w:tcW w:type="dxa" w:w="2880"/>
          </w:tcPr>
          <w:p>
            <w:r>
              <w:t>Payment Gateway</w:t>
            </w:r>
          </w:p>
        </w:tc>
        <w:tc>
          <w:tcPr>
            <w:tcW w:type="dxa" w:w="2880"/>
          </w:tcPr>
          <w:p>
            <w:r>
              <w:t>Intermediary system</w:t>
            </w:r>
          </w:p>
        </w:tc>
        <w:tc>
          <w:tcPr>
            <w:tcW w:type="dxa" w:w="2880"/>
          </w:tcPr>
          <w:p>
            <w:r>
              <w:t>Routes authorisation requests to card schemes; enforces fraud rules; manages capture and settlement.</w:t>
            </w:r>
          </w:p>
        </w:tc>
      </w:tr>
      <w:tr>
        <w:tc>
          <w:tcPr>
            <w:tcW w:type="dxa" w:w="2880"/>
          </w:tcPr>
          <w:p>
            <w:r>
              <w:t>Bank (Acquirer / Issuer)</w:t>
            </w:r>
          </w:p>
        </w:tc>
        <w:tc>
          <w:tcPr>
            <w:tcW w:type="dxa" w:w="2880"/>
          </w:tcPr>
          <w:p>
            <w:r>
              <w:t>Financial institution</w:t>
            </w:r>
          </w:p>
        </w:tc>
        <w:tc>
          <w:tcPr>
            <w:tcW w:type="dxa" w:w="2880"/>
          </w:tcPr>
          <w:p>
            <w:r>
              <w:t>Authorises or declines transactions; settles funds; handles chargebacks.</w:t>
            </w:r>
          </w:p>
        </w:tc>
      </w:tr>
      <w:tr>
        <w:tc>
          <w:tcPr>
            <w:tcW w:type="dxa" w:w="2880"/>
          </w:tcPr>
          <w:p>
            <w:r>
              <w:t>QA Engineer</w:t>
            </w:r>
          </w:p>
        </w:tc>
        <w:tc>
          <w:tcPr>
            <w:tcW w:type="dxa" w:w="2880"/>
          </w:tcPr>
          <w:p>
            <w:r>
              <w:t>Quality assurance</w:t>
            </w:r>
          </w:p>
        </w:tc>
        <w:tc>
          <w:tcPr>
            <w:tcW w:type="dxa" w:w="2880"/>
          </w:tcPr>
          <w:p>
            <w:r>
              <w:t>Designs and executes test cases; validates FR coverage; reports defects; signs off releases.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PayFlow SRS</dc:title>
  <dc:subject/>
  <dc:creator>QA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