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bidi/>
        <w:spacing w:after="240" w:before="120" w:line="360" w:lineRule="auto"/>
      </w:pPr>
      <w:r>
        <w:rPr>
          <w:rFonts w:ascii="Cairo" w:hAnsi="Cairo" w:cs="Cairo"/>
          <w:b/>
          <w:bCs/>
          <w:color w:val="92400E"/>
          <w:sz w:val="36"/>
          <w:szCs w:val="36"/>
          <w:rtl/>
        </w:rPr>
        <w:t xml:space="preserve">تقرير عين صالح وتيدكلت</w:t>
      </w:r>
    </w:p>
    <w:p>
      <w:pPr>
        <w:jc w:val="right"/>
        <w:bidi/>
        <w:spacing w:after="120" w:line="320" w:lineRule="auto"/>
      </w:pPr>
      <w:r>
        <w:rPr>
          <w:rFonts w:ascii="Cairo" w:hAnsi="Cairo" w:cs="Cairo"/>
          <w:color w:val="1F2937"/>
          <w:sz w:val="24"/>
          <w:szCs w:val="24"/>
          <w:rtl/>
        </w:rPr>
        <w:t xml:space="preserve">تعتبر منطقة تيدكلت في ولاية عين صالح من أعرق الواحات في الصحراء الجزائرية.</w:t>
      </w:r>
    </w:p>
    <w:p>
      <w:pPr>
        <w:bidi/>
        <w:jc w:val="right"/>
      </w:pPr>
    </w:p>
    <w:p>
      <w:pPr>
        <w:jc w:val="right"/>
        <w:bidi/>
        <w:spacing w:after="120" w:line="320" w:lineRule="auto"/>
      </w:pPr>
      <w:r>
        <w:rPr>
          <w:rFonts w:ascii="Cairo" w:hAnsi="Cairo" w:cs="Cairo"/>
          <w:b/>
          <w:bCs/>
          <w:color w:val="B45309"/>
          <w:sz w:val="28"/>
          <w:szCs w:val="28"/>
          <w:rtl/>
        </w:rPr>
        <w:t xml:space="preserve">الميزات التراثية</w:t>
      </w:r>
    </w:p>
    <w:p>
      <w:pPr>
        <w:jc w:val="right"/>
        <w:bidi/>
        <w:spacing w:after="120" w:line="320" w:lineRule="auto"/>
        <w:ind w:right="360"/>
      </w:pPr>
      <w:r>
        <w:rPr>
          <w:rFonts w:ascii="Cairo" w:hAnsi="Cairo" w:cs="Cairo"/>
          <w:color w:val="1F2937"/>
          <w:sz w:val="24"/>
          <w:szCs w:val="24"/>
          <w:rtl/>
        </w:rPr>
        <w:t xml:space="preserve">• نظام الفقارة التقليدي لسقي النخيل</w:t>
      </w:r>
    </w:p>
    <w:p>
      <w:pPr>
        <w:jc w:val="right"/>
        <w:bidi/>
        <w:spacing w:after="120" w:line="320" w:lineRule="auto"/>
        <w:ind w:right="360"/>
      </w:pPr>
      <w:r>
        <w:rPr>
          <w:rFonts w:ascii="Cairo" w:hAnsi="Cairo" w:cs="Cairo"/>
          <w:color w:val="1F2937"/>
          <w:sz w:val="24"/>
          <w:szCs w:val="24"/>
          <w:rtl/>
        </w:rPr>
        <w:t xml:space="preserve">• القصور الطينية العتيقة</w:t>
      </w:r>
    </w:p>
    <w:p>
      <w:pPr>
        <w:jc w:val="right"/>
        <w:bidi/>
        <w:spacing w:after="120" w:line="320" w:lineRule="auto"/>
        <w:ind w:right="360"/>
      </w:pPr>
      <w:r>
        <w:rPr>
          <w:rFonts w:ascii="Cairo" w:hAnsi="Cairo" w:cs="Cairo"/>
          <w:color w:val="1F2937"/>
          <w:sz w:val="24"/>
          <w:szCs w:val="24"/>
          <w:rtl/>
        </w:rPr>
        <w:t xml:space="preserve">• كرم الضيافة وعادات أهل المنطقة</w:t>
      </w:r>
    </w:p>
    <w:sectPr>
      <w:pgSz w:w="11906" w:h="16838"/>
      <w:pgMar w:top="1440" w:right="1440" w:bottom="1440" w:left="144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lang w:val="ar-DZ" w:bidi="ar-DZ"/>
        <w:rtl/>
      </w:rPr>
    </w:rPrDefault>
    <w:pPrDefault>
      <w:pPr>
        <w:bidi/>
        <w:jc w:val="right"/>
        <w:spacing w:line="32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