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bidi/>
      </w:pPr>
      <w:r>
        <w:rPr>
          <w:b/>
          <w:bCs/>
          <w:color w:val="92400E"/>
          <w:sz w:val="36"/>
          <w:szCs w:val="36"/>
        </w:rPr>
        <w:t>تقرير_إداري_تيدكلت</w:t>
      </w:r>
    </w:p>
    <w:p>
      <w:pPr>
        <w:jc w:val="right"/>
        <w:bidi/>
      </w:pPr>
      <w:r>
        <w:rPr>
          <w:b/>
          <w:bCs/>
          <w:sz w:val="32"/>
          <w:szCs w:val="32"/>
        </w:rPr>
        <w:t xml:space="preserve">تقرير التنمية المحلية</w:t>
      </w:r>
    </w:p>
    <w:p/>
    <w:p>
      <w:pPr>
        <w:jc w:val="right"/>
        <w:bidi/>
        <w:ind w:right="360"/>
      </w:pPr>
      <w:r>
        <w:rPr>
          <w:sz w:val="24"/>
          <w:szCs w:val="24"/>
        </w:rPr>
        <w:t xml:space="preserve">• تطوير شبكات الطرق الصحراوية</w:t>
      </w:r>
    </w:p>
    <w:p>
      <w:pPr>
        <w:jc w:val="right"/>
        <w:bidi/>
        <w:ind w:right="360"/>
      </w:pPr>
      <w:r>
        <w:rPr>
          <w:sz w:val="24"/>
          <w:szCs w:val="24"/>
        </w:rPr>
        <w:t xml:space="preserve">• دعم الفلاحة الصحراوية والموارد المائية</w:t>
      </w:r>
    </w:p>
    <w:sectPr>
      <w:pgSz w:w="11906" w:h="16838"/>
      <w:pgMar w:top="1440" w:right="1440" w:bottom="1440" w:left="1440"/>
      <w:bidi/>
    </w:sectPr>
  </w:body>
</w:document>
</file>