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A8CC7" w14:textId="38E73692" w:rsidR="00505E44" w:rsidRPr="00505E44" w:rsidRDefault="00505E44" w:rsidP="00505E44">
      <w:pPr>
        <w:spacing w:before="100" w:beforeAutospacing="1" w:after="100" w:afterAutospacing="1" w:line="240" w:lineRule="auto"/>
        <w:outlineLvl w:val="1"/>
        <w:rPr>
          <w:rFonts w:eastAsia="Times New Roman"/>
          <w:b/>
          <w:bCs/>
          <w:sz w:val="36"/>
          <w:szCs w:val="36"/>
          <w:lang w:val="en-US" w:eastAsia="de-DE"/>
        </w:rPr>
      </w:pPr>
      <w:r w:rsidRPr="00505E44">
        <w:rPr>
          <w:rFonts w:eastAsia="Times New Roman"/>
          <w:b/>
          <w:bCs/>
          <w:sz w:val="36"/>
          <w:szCs w:val="36"/>
          <w:lang w:val="en-US" w:eastAsia="de-DE"/>
        </w:rPr>
        <w:t>Trust-Calibrated Autonomy for Operational AI Agents in Production Environments</w:t>
      </w:r>
      <w:r>
        <w:rPr>
          <w:rFonts w:eastAsia="Times New Roman"/>
          <w:b/>
          <w:bCs/>
          <w:sz w:val="36"/>
          <w:szCs w:val="36"/>
          <w:lang w:val="en-US" w:eastAsia="de-DE"/>
        </w:rPr>
        <w:t xml:space="preserve">. </w:t>
      </w:r>
      <w:r w:rsidRPr="00505E44">
        <w:rPr>
          <w:rFonts w:eastAsia="Times New Roman"/>
          <w:b/>
          <w:bCs/>
          <w:sz w:val="36"/>
          <w:szCs w:val="36"/>
          <w:lang w:val="en-US" w:eastAsia="de-DE"/>
        </w:rPr>
        <w:t>A Design Science Framework and Practitioner Validation Protocol</w:t>
      </w:r>
    </w:p>
    <w:p w14:paraId="02D78FEE"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Structured abstract</w:t>
      </w:r>
    </w:p>
    <w:p w14:paraId="22B94493"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Context.</w:t>
      </w:r>
      <w:r w:rsidRPr="00505E44">
        <w:rPr>
          <w:rFonts w:eastAsia="Times New Roman"/>
          <w:lang w:val="en-US" w:eastAsia="de-DE"/>
        </w:rPr>
        <w:t xml:space="preserve"> Production operations are becoming more complex as organizations rely on distributed systems, platform engineering, and observability stacks that require high-tempo interpretation of logs, metrics, traces, and service dependencies (Beyer et al., 2016, 2018; Sridharan, 2018; Skelton &amp; </w:t>
      </w:r>
      <w:proofErr w:type="spellStart"/>
      <w:r w:rsidRPr="00505E44">
        <w:rPr>
          <w:rFonts w:eastAsia="Times New Roman"/>
          <w:lang w:val="en-US" w:eastAsia="de-DE"/>
        </w:rPr>
        <w:t>Pais</w:t>
      </w:r>
      <w:proofErr w:type="spellEnd"/>
      <w:r w:rsidRPr="00505E44">
        <w:rPr>
          <w:rFonts w:eastAsia="Times New Roman"/>
          <w:lang w:val="en-US" w:eastAsia="de-DE"/>
        </w:rPr>
        <w:t xml:space="preserve">, 2019; DORA, 2024). At the same time, AIOps is moving from anomaly detection and alert correlation toward large language model, LLM, based agents that can summarize telemetry, generate hypotheses, and support root cause analysis and incident handling (Dang et al., 2019; </w:t>
      </w:r>
      <w:proofErr w:type="spellStart"/>
      <w:r w:rsidRPr="00505E44">
        <w:rPr>
          <w:rFonts w:eastAsia="Times New Roman"/>
          <w:lang w:val="en-US" w:eastAsia="de-DE"/>
        </w:rPr>
        <w:t>Notaro</w:t>
      </w:r>
      <w:proofErr w:type="spellEnd"/>
      <w:r w:rsidRPr="00505E44">
        <w:rPr>
          <w:rFonts w:eastAsia="Times New Roman"/>
          <w:lang w:val="en-US" w:eastAsia="de-DE"/>
        </w:rPr>
        <w:t xml:space="preserve"> et al., 2021; Ahmed et al., 2023; Chen et al., 2024; Roy et al., 2024; Zhang et al., 2024; Zhang et al., 2025).</w:t>
      </w:r>
    </w:p>
    <w:p w14:paraId="38888E34"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Objective.</w:t>
      </w:r>
      <w:r w:rsidRPr="00505E44">
        <w:rPr>
          <w:rFonts w:eastAsia="Times New Roman"/>
          <w:lang w:val="en-US" w:eastAsia="de-DE"/>
        </w:rPr>
        <w:t xml:space="preserve"> This paper addresses a socio-technical question that remains underdeveloped in current AIOps literature: how should organizations calibrate appropriate autonomy levels for AI agents operating in production environments, where action quality, reversibility, and blast radius matter as much as model capability (Lee &amp; See, 2004; Hoff &amp; Bashir, 2015; </w:t>
      </w:r>
      <w:proofErr w:type="spellStart"/>
      <w:r w:rsidRPr="00505E44">
        <w:rPr>
          <w:rFonts w:eastAsia="Times New Roman"/>
          <w:lang w:val="en-US" w:eastAsia="de-DE"/>
        </w:rPr>
        <w:t>Glikson</w:t>
      </w:r>
      <w:proofErr w:type="spellEnd"/>
      <w:r w:rsidRPr="00505E44">
        <w:rPr>
          <w:rFonts w:eastAsia="Times New Roman"/>
          <w:lang w:val="en-US" w:eastAsia="de-DE"/>
        </w:rPr>
        <w:t xml:space="preserve"> &amp; Woolley, 2020; Steinmetz et al., 2025; </w:t>
      </w:r>
      <w:proofErr w:type="spellStart"/>
      <w:r w:rsidRPr="00505E44">
        <w:rPr>
          <w:rFonts w:eastAsia="Times New Roman"/>
          <w:lang w:val="en-US" w:eastAsia="de-DE"/>
        </w:rPr>
        <w:t>Regona</w:t>
      </w:r>
      <w:proofErr w:type="spellEnd"/>
      <w:r w:rsidRPr="00505E44">
        <w:rPr>
          <w:rFonts w:eastAsia="Times New Roman"/>
          <w:lang w:val="en-US" w:eastAsia="de-DE"/>
        </w:rPr>
        <w:t xml:space="preserve"> et al., 2026)?</w:t>
      </w:r>
    </w:p>
    <w:p w14:paraId="69C4205A"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Method.</w:t>
      </w:r>
      <w:r w:rsidRPr="00505E44">
        <w:rPr>
          <w:rFonts w:eastAsia="Times New Roman"/>
          <w:lang w:val="en-US" w:eastAsia="de-DE"/>
        </w:rPr>
        <w:t xml:space="preserve"> The study follows design science research and develops a reusable artifact, the Operational Trust Calibration Framework, through structured literature synthesis across software operations, observability, AIOps, trust in automation, human-AI interaction, and AI governance (</w:t>
      </w:r>
      <w:proofErr w:type="spellStart"/>
      <w:r w:rsidRPr="00505E44">
        <w:rPr>
          <w:rFonts w:eastAsia="Times New Roman"/>
          <w:lang w:val="en-US" w:eastAsia="de-DE"/>
        </w:rPr>
        <w:t>Hevner</w:t>
      </w:r>
      <w:proofErr w:type="spellEnd"/>
      <w:r w:rsidRPr="00505E44">
        <w:rPr>
          <w:rFonts w:eastAsia="Times New Roman"/>
          <w:lang w:val="en-US" w:eastAsia="de-DE"/>
        </w:rPr>
        <w:t xml:space="preserve"> et al., 2004; </w:t>
      </w:r>
      <w:proofErr w:type="spellStart"/>
      <w:r w:rsidRPr="00505E44">
        <w:rPr>
          <w:rFonts w:eastAsia="Times New Roman"/>
          <w:lang w:val="en-US" w:eastAsia="de-DE"/>
        </w:rPr>
        <w:t>Peffers</w:t>
      </w:r>
      <w:proofErr w:type="spellEnd"/>
      <w:r w:rsidRPr="00505E44">
        <w:rPr>
          <w:rFonts w:eastAsia="Times New Roman"/>
          <w:lang w:val="en-US" w:eastAsia="de-DE"/>
        </w:rPr>
        <w:t xml:space="preserve"> et al., 2007; Gregor &amp; </w:t>
      </w:r>
      <w:proofErr w:type="spellStart"/>
      <w:r w:rsidRPr="00505E44">
        <w:rPr>
          <w:rFonts w:eastAsia="Times New Roman"/>
          <w:lang w:val="en-US" w:eastAsia="de-DE"/>
        </w:rPr>
        <w:t>Hevner</w:t>
      </w:r>
      <w:proofErr w:type="spellEnd"/>
      <w:r w:rsidRPr="00505E44">
        <w:rPr>
          <w:rFonts w:eastAsia="Times New Roman"/>
          <w:lang w:val="en-US" w:eastAsia="de-DE"/>
        </w:rPr>
        <w:t xml:space="preserve">, 2013; </w:t>
      </w:r>
      <w:proofErr w:type="spellStart"/>
      <w:r w:rsidRPr="00505E44">
        <w:rPr>
          <w:rFonts w:eastAsia="Times New Roman"/>
          <w:lang w:val="en-US" w:eastAsia="de-DE"/>
        </w:rPr>
        <w:t>Wieringa</w:t>
      </w:r>
      <w:proofErr w:type="spellEnd"/>
      <w:r w:rsidRPr="00505E44">
        <w:rPr>
          <w:rFonts w:eastAsia="Times New Roman"/>
          <w:lang w:val="en-US" w:eastAsia="de-DE"/>
        </w:rPr>
        <w:t>, 2014). The review protocol is informed by established software engineering review guidance and PRISMA 2020 (</w:t>
      </w:r>
      <w:proofErr w:type="spellStart"/>
      <w:r w:rsidRPr="00505E44">
        <w:rPr>
          <w:rFonts w:eastAsia="Times New Roman"/>
          <w:lang w:val="en-US" w:eastAsia="de-DE"/>
        </w:rPr>
        <w:t>Kitchenham</w:t>
      </w:r>
      <w:proofErr w:type="spellEnd"/>
      <w:r w:rsidRPr="00505E44">
        <w:rPr>
          <w:rFonts w:eastAsia="Times New Roman"/>
          <w:lang w:val="en-US" w:eastAsia="de-DE"/>
        </w:rPr>
        <w:t xml:space="preserve">, 2004; </w:t>
      </w:r>
      <w:proofErr w:type="spellStart"/>
      <w:r w:rsidRPr="00505E44">
        <w:rPr>
          <w:rFonts w:eastAsia="Times New Roman"/>
          <w:lang w:val="en-US" w:eastAsia="de-DE"/>
        </w:rPr>
        <w:t>Kitchenham</w:t>
      </w:r>
      <w:proofErr w:type="spellEnd"/>
      <w:r w:rsidRPr="00505E44">
        <w:rPr>
          <w:rFonts w:eastAsia="Times New Roman"/>
          <w:lang w:val="en-US" w:eastAsia="de-DE"/>
        </w:rPr>
        <w:t xml:space="preserve"> &amp; Charters, 2007; Brereton et al., 2007; Petersen et al., 2015; </w:t>
      </w:r>
      <w:proofErr w:type="spellStart"/>
      <w:r w:rsidRPr="00505E44">
        <w:rPr>
          <w:rFonts w:eastAsia="Times New Roman"/>
          <w:lang w:val="en-US" w:eastAsia="de-DE"/>
        </w:rPr>
        <w:t>Wohlin</w:t>
      </w:r>
      <w:proofErr w:type="spellEnd"/>
      <w:r w:rsidRPr="00505E44">
        <w:rPr>
          <w:rFonts w:eastAsia="Times New Roman"/>
          <w:lang w:val="en-US" w:eastAsia="de-DE"/>
        </w:rPr>
        <w:t xml:space="preserve">, 2014; </w:t>
      </w:r>
      <w:proofErr w:type="spellStart"/>
      <w:r w:rsidRPr="00505E44">
        <w:rPr>
          <w:rFonts w:eastAsia="Times New Roman"/>
          <w:lang w:val="en-US" w:eastAsia="de-DE"/>
        </w:rPr>
        <w:t>Wohlin</w:t>
      </w:r>
      <w:proofErr w:type="spellEnd"/>
      <w:r w:rsidRPr="00505E44">
        <w:rPr>
          <w:rFonts w:eastAsia="Times New Roman"/>
          <w:lang w:val="en-US" w:eastAsia="de-DE"/>
        </w:rPr>
        <w:t xml:space="preserve"> et al., 2020; Page et al., 2021). Because practitioner interviews are not yet completed, the validation component is presented as a structured protocol rather than as completed empirical results.</w:t>
      </w:r>
    </w:p>
    <w:p w14:paraId="241A1721"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Results.</w:t>
      </w:r>
      <w:r w:rsidRPr="00505E44">
        <w:rPr>
          <w:rFonts w:eastAsia="Times New Roman"/>
          <w:lang w:val="en-US" w:eastAsia="de-DE"/>
        </w:rPr>
        <w:t xml:space="preserve"> The paper contributes a vendor-neutral framework that combines three operational constraints, </w:t>
      </w:r>
      <w:r w:rsidRPr="00505E44">
        <w:rPr>
          <w:rFonts w:eastAsia="Times New Roman"/>
          <w:b/>
          <w:bCs/>
          <w:lang w:val="en-US" w:eastAsia="de-DE"/>
        </w:rPr>
        <w:t>observability, reversibility, and blast radius</w:t>
      </w:r>
      <w:r w:rsidRPr="00505E44">
        <w:rPr>
          <w:rFonts w:eastAsia="Times New Roman"/>
          <w:lang w:val="en-US" w:eastAsia="de-DE"/>
        </w:rPr>
        <w:t>, with a governance envelope consisting of approval authority, auditability, override capability, policy fit, evidence requirements, and staged deployment rules. The artifact defines four autonomy levels, from summarize-only support to conditional bounded autonomy, and formulates design principles for safe autonomy escalation in production environments.</w:t>
      </w:r>
    </w:p>
    <w:p w14:paraId="17F61F30"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Conclusion.</w:t>
      </w:r>
      <w:r w:rsidRPr="00505E44">
        <w:rPr>
          <w:rFonts w:eastAsia="Times New Roman"/>
          <w:lang w:val="en-US" w:eastAsia="de-DE"/>
        </w:rPr>
        <w:t xml:space="preserve"> Trust in operational AI should not be modeled as a general attitude toward intelligent tools. In production operations, trust must be calibrated as a bounded organizational decision about what an AI agent is allowed to know, recommend, and do under specific technical and governance conditions. The proposed framework offers a theoretically grounded and operationally actionable basis for that calibration.</w:t>
      </w:r>
    </w:p>
    <w:p w14:paraId="581731E1"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Keywords:</w:t>
      </w:r>
      <w:r w:rsidRPr="00505E44">
        <w:rPr>
          <w:rFonts w:eastAsia="Times New Roman"/>
          <w:lang w:val="en-US" w:eastAsia="de-DE"/>
        </w:rPr>
        <w:t xml:space="preserve"> trust calibration, AIOps, platform engineering, observability, incident response, operational AI, design science research, AI governance</w:t>
      </w:r>
    </w:p>
    <w:p w14:paraId="0CE15C7C" w14:textId="77777777" w:rsidR="00505E44" w:rsidRPr="00505E44" w:rsidRDefault="00505E44" w:rsidP="00505E44">
      <w:pPr>
        <w:spacing w:before="100" w:beforeAutospacing="1" w:after="100" w:afterAutospacing="1" w:line="240" w:lineRule="auto"/>
        <w:outlineLvl w:val="1"/>
        <w:rPr>
          <w:rFonts w:eastAsia="Times New Roman"/>
          <w:b/>
          <w:bCs/>
          <w:sz w:val="36"/>
          <w:szCs w:val="36"/>
          <w:lang w:val="en-US" w:eastAsia="de-DE"/>
        </w:rPr>
      </w:pPr>
      <w:r w:rsidRPr="00505E44">
        <w:rPr>
          <w:rFonts w:eastAsia="Times New Roman"/>
          <w:b/>
          <w:bCs/>
          <w:sz w:val="36"/>
          <w:szCs w:val="36"/>
          <w:lang w:val="en-US" w:eastAsia="de-DE"/>
        </w:rPr>
        <w:t>1. Introduction</w:t>
      </w:r>
    </w:p>
    <w:p w14:paraId="3CA5A90F"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lastRenderedPageBreak/>
        <w:t xml:space="preserve">Modern production environments are difficult to understand and even harder to govern under incident conditions. Distributed architectures, cloud platforms, Kubernetes clusters, CI/CD pipelines, internal developer platforms, and polyglot telemetry pipelines have increased both observability potential and operational cognitive load (Beyer et al., 2016, 2018; Sridharan, 2018; Skelton &amp; </w:t>
      </w:r>
      <w:proofErr w:type="spellStart"/>
      <w:r w:rsidRPr="00505E44">
        <w:rPr>
          <w:rFonts w:eastAsia="Times New Roman"/>
          <w:lang w:val="en-US" w:eastAsia="de-DE"/>
        </w:rPr>
        <w:t>Pais</w:t>
      </w:r>
      <w:proofErr w:type="spellEnd"/>
      <w:r w:rsidRPr="00505E44">
        <w:rPr>
          <w:rFonts w:eastAsia="Times New Roman"/>
          <w:lang w:val="en-US" w:eastAsia="de-DE"/>
        </w:rPr>
        <w:t xml:space="preserve">, 2019). Platform engineering aims to reduce this complexity through standardization, paved roads, and product-oriented internal platforms, yet the latest DevOps evidence suggests that operational complexity still outpaces many organizations’ ability to manage it consistently (DORA, 2024). </w:t>
      </w:r>
      <w:proofErr w:type="spellStart"/>
      <w:r w:rsidRPr="00505E44">
        <w:rPr>
          <w:rFonts w:eastAsia="Times New Roman"/>
          <w:lang w:val="en-US" w:eastAsia="de-DE"/>
        </w:rPr>
        <w:t>OpenTelemetry</w:t>
      </w:r>
      <w:proofErr w:type="spellEnd"/>
      <w:r w:rsidRPr="00505E44">
        <w:rPr>
          <w:rFonts w:eastAsia="Times New Roman"/>
          <w:lang w:val="en-US" w:eastAsia="de-DE"/>
        </w:rPr>
        <w:t xml:space="preserve"> and related semantic conventions have improved telemetry standardization, but more data does not automatically yield better incident decisions (</w:t>
      </w:r>
      <w:proofErr w:type="spellStart"/>
      <w:r w:rsidRPr="00505E44">
        <w:rPr>
          <w:rFonts w:eastAsia="Times New Roman"/>
          <w:lang w:val="en-US" w:eastAsia="de-DE"/>
        </w:rPr>
        <w:t>OpenTelemetry</w:t>
      </w:r>
      <w:proofErr w:type="spellEnd"/>
      <w:r w:rsidRPr="00505E44">
        <w:rPr>
          <w:rFonts w:eastAsia="Times New Roman"/>
          <w:lang w:val="en-US" w:eastAsia="de-DE"/>
        </w:rPr>
        <w:t xml:space="preserve"> Authors, n.d.-a, n.d.-b; Sridharan, 2018).</w:t>
      </w:r>
    </w:p>
    <w:p w14:paraId="3A537E24"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In parallel, AIOps has undergone a marked transition. Earlier work focused on alert correlation, anomaly detection, and isolated failure-management tasks (Dang et al., 2019; </w:t>
      </w:r>
      <w:proofErr w:type="spellStart"/>
      <w:r w:rsidRPr="00505E44">
        <w:rPr>
          <w:rFonts w:eastAsia="Times New Roman"/>
          <w:lang w:val="en-US" w:eastAsia="de-DE"/>
        </w:rPr>
        <w:t>Notaro</w:t>
      </w:r>
      <w:proofErr w:type="spellEnd"/>
      <w:r w:rsidRPr="00505E44">
        <w:rPr>
          <w:rFonts w:eastAsia="Times New Roman"/>
          <w:lang w:val="en-US" w:eastAsia="de-DE"/>
        </w:rPr>
        <w:t xml:space="preserve"> et al., 2021). More recent work shows that LLM-based systems can support or automate parts of incident diagnosis and mitigation, including root-cause recommendation, RCA narrative generation, tool-augmented reasoning, and agentic problem solving (Ahmed et al., 2023; Chen et al., 2024; Roy et al., 2024; Yao et al., 2022; Zhang et al., 2024). The latest survey literature confirms rapid growth in LLM-centered AIOps and notes that root cause analysis, log analysis, and incident triage dominate the field’s recent attention (Zhang et al., 2025). Benchmark work such as </w:t>
      </w:r>
      <w:proofErr w:type="spellStart"/>
      <w:r w:rsidRPr="00505E44">
        <w:rPr>
          <w:rFonts w:eastAsia="Times New Roman"/>
          <w:lang w:val="en-US" w:eastAsia="de-DE"/>
        </w:rPr>
        <w:t>AIOpsLab</w:t>
      </w:r>
      <w:proofErr w:type="spellEnd"/>
      <w:r w:rsidRPr="00505E44">
        <w:rPr>
          <w:rFonts w:eastAsia="Times New Roman"/>
          <w:lang w:val="en-US" w:eastAsia="de-DE"/>
        </w:rPr>
        <w:t xml:space="preserve"> likewise shows that the research frontier is moving toward end-to-end evaluation of autonomous operational agents rather than isolated prediction tasks (Chen et al., 2025).</w:t>
      </w:r>
    </w:p>
    <w:p w14:paraId="301AEED1"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Yet an important gap remains. Most current work asks whether AI agents can diagnose incidents, retrieve relevant evidence, or recommend remediation. Much less work asks how an organization should decide </w:t>
      </w:r>
      <w:r w:rsidRPr="00505E44">
        <w:rPr>
          <w:rFonts w:eastAsia="Times New Roman"/>
          <w:b/>
          <w:bCs/>
          <w:lang w:val="en-US" w:eastAsia="de-DE"/>
        </w:rPr>
        <w:t>whether those agents should be allowed to act</w:t>
      </w:r>
      <w:r w:rsidRPr="00505E44">
        <w:rPr>
          <w:rFonts w:eastAsia="Times New Roman"/>
          <w:lang w:val="en-US" w:eastAsia="de-DE"/>
        </w:rPr>
        <w:t xml:space="preserve">, under what constraints, and with what oversight. This is the central challenge in production settings. A wrong recommendation may cost attention and time. A wrong autonomous action may expand an outage, erase evidence, violate control boundaries, or increase public harm. In other words, the key problem is not only model capability. It is </w:t>
      </w:r>
      <w:r w:rsidRPr="00505E44">
        <w:rPr>
          <w:rFonts w:eastAsia="Times New Roman"/>
          <w:b/>
          <w:bCs/>
          <w:lang w:val="en-US" w:eastAsia="de-DE"/>
        </w:rPr>
        <w:t>autonomy calibration</w:t>
      </w:r>
      <w:r w:rsidRPr="00505E44">
        <w:rPr>
          <w:rFonts w:eastAsia="Times New Roman"/>
          <w:lang w:val="en-US" w:eastAsia="de-DE"/>
        </w:rPr>
        <w:t>.</w:t>
      </w:r>
    </w:p>
    <w:p w14:paraId="14488332"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Trust research provides essential foundations for this problem. Organizational trust has long been described as willingness to accept vulnerability based on expectations of another party’s ability, benevolence, and integrity (Mayer et al., 1995; McKnight et al., 1998; </w:t>
      </w:r>
      <w:proofErr w:type="spellStart"/>
      <w:r w:rsidRPr="00505E44">
        <w:rPr>
          <w:rFonts w:eastAsia="Times New Roman"/>
          <w:lang w:val="en-US" w:eastAsia="de-DE"/>
        </w:rPr>
        <w:t>Schoorman</w:t>
      </w:r>
      <w:proofErr w:type="spellEnd"/>
      <w:r w:rsidRPr="00505E44">
        <w:rPr>
          <w:rFonts w:eastAsia="Times New Roman"/>
          <w:lang w:val="en-US" w:eastAsia="de-DE"/>
        </w:rPr>
        <w:t xml:space="preserve"> et al., 2007). Trust in automation research shifted that logic into socio-technical settings, showing that misuse and disuse emerge when reliance does not match actual system capability (Lee &amp; Moray, 1992; Muir, 1994; Muir &amp; Moray, 1996; Parasuraman et al., 2000; Jian et al., 2000; Lee &amp; See, 2004; Merritt &amp; </w:t>
      </w:r>
      <w:proofErr w:type="spellStart"/>
      <w:r w:rsidRPr="00505E44">
        <w:rPr>
          <w:rFonts w:eastAsia="Times New Roman"/>
          <w:lang w:val="en-US" w:eastAsia="de-DE"/>
        </w:rPr>
        <w:t>Ilgen</w:t>
      </w:r>
      <w:proofErr w:type="spellEnd"/>
      <w:r w:rsidRPr="00505E44">
        <w:rPr>
          <w:rFonts w:eastAsia="Times New Roman"/>
          <w:lang w:val="en-US" w:eastAsia="de-DE"/>
        </w:rPr>
        <w:t>, 2008; Hoff &amp; Bashir, 2015). More recent trust-in-AI work extends these themes into organizational and human-AI contexts, emphasizing that trust must be made legible through performance characterization, transparency, usability, and safety rather than treated as an unexamined psychological residue (</w:t>
      </w:r>
      <w:proofErr w:type="spellStart"/>
      <w:r w:rsidRPr="00505E44">
        <w:rPr>
          <w:rFonts w:eastAsia="Times New Roman"/>
          <w:lang w:val="en-US" w:eastAsia="de-DE"/>
        </w:rPr>
        <w:t>Glikson</w:t>
      </w:r>
      <w:proofErr w:type="spellEnd"/>
      <w:r w:rsidRPr="00505E44">
        <w:rPr>
          <w:rFonts w:eastAsia="Times New Roman"/>
          <w:lang w:val="en-US" w:eastAsia="de-DE"/>
        </w:rPr>
        <w:t xml:space="preserve"> &amp; Woolley, 2020; </w:t>
      </w:r>
      <w:proofErr w:type="spellStart"/>
      <w:r w:rsidRPr="00505E44">
        <w:rPr>
          <w:rFonts w:eastAsia="Times New Roman"/>
          <w:lang w:val="en-US" w:eastAsia="de-DE"/>
        </w:rPr>
        <w:t>Gillath</w:t>
      </w:r>
      <w:proofErr w:type="spellEnd"/>
      <w:r w:rsidRPr="00505E44">
        <w:rPr>
          <w:rFonts w:eastAsia="Times New Roman"/>
          <w:lang w:val="en-US" w:eastAsia="de-DE"/>
        </w:rPr>
        <w:t xml:space="preserve"> et al., 2021; </w:t>
      </w:r>
      <w:proofErr w:type="spellStart"/>
      <w:r w:rsidRPr="00505E44">
        <w:rPr>
          <w:rFonts w:eastAsia="Times New Roman"/>
          <w:lang w:val="en-US" w:eastAsia="de-DE"/>
        </w:rPr>
        <w:t>Lukyanenko</w:t>
      </w:r>
      <w:proofErr w:type="spellEnd"/>
      <w:r w:rsidRPr="00505E44">
        <w:rPr>
          <w:rFonts w:eastAsia="Times New Roman"/>
          <w:lang w:val="en-US" w:eastAsia="de-DE"/>
        </w:rPr>
        <w:t xml:space="preserve"> et al., 2022; Steinmetz et al., 2025; </w:t>
      </w:r>
      <w:proofErr w:type="spellStart"/>
      <w:r w:rsidRPr="00505E44">
        <w:rPr>
          <w:rFonts w:eastAsia="Times New Roman"/>
          <w:lang w:val="en-US" w:eastAsia="de-DE"/>
        </w:rPr>
        <w:t>Regona</w:t>
      </w:r>
      <w:proofErr w:type="spellEnd"/>
      <w:r w:rsidRPr="00505E44">
        <w:rPr>
          <w:rFonts w:eastAsia="Times New Roman"/>
          <w:lang w:val="en-US" w:eastAsia="de-DE"/>
        </w:rPr>
        <w:t xml:space="preserve"> et al., 2026).</w:t>
      </w:r>
    </w:p>
    <w:p w14:paraId="3CDDE2A4"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At the same time, human-AI interaction work shows that explanations alone do not guarantee appropriate reliance. Explanation quality, behavioral descriptions, calibration cues, and interface design all shape whether users under-rely on or over-rely on AI advice (Ribeiro et al., 2016; Doshi-Velez &amp; Kim, 2017; Gunning &amp; Aha, 2019; </w:t>
      </w:r>
      <w:proofErr w:type="spellStart"/>
      <w:r w:rsidRPr="00505E44">
        <w:rPr>
          <w:rFonts w:eastAsia="Times New Roman"/>
          <w:lang w:val="en-US" w:eastAsia="de-DE"/>
        </w:rPr>
        <w:t>Amershi</w:t>
      </w:r>
      <w:proofErr w:type="spellEnd"/>
      <w:r w:rsidRPr="00505E44">
        <w:rPr>
          <w:rFonts w:eastAsia="Times New Roman"/>
          <w:lang w:val="en-US" w:eastAsia="de-DE"/>
        </w:rPr>
        <w:t xml:space="preserve"> et al., 2019; Bansal et al., 2021; </w:t>
      </w:r>
      <w:proofErr w:type="spellStart"/>
      <w:r w:rsidRPr="00505E44">
        <w:rPr>
          <w:rFonts w:eastAsia="Times New Roman"/>
          <w:lang w:val="en-US" w:eastAsia="de-DE"/>
        </w:rPr>
        <w:t>Göbel</w:t>
      </w:r>
      <w:proofErr w:type="spellEnd"/>
      <w:r w:rsidRPr="00505E44">
        <w:rPr>
          <w:rFonts w:eastAsia="Times New Roman"/>
          <w:lang w:val="en-US" w:eastAsia="de-DE"/>
        </w:rPr>
        <w:t xml:space="preserve"> et al., 2022; </w:t>
      </w:r>
      <w:proofErr w:type="spellStart"/>
      <w:r w:rsidRPr="00505E44">
        <w:rPr>
          <w:rFonts w:eastAsia="Times New Roman"/>
          <w:lang w:val="en-US" w:eastAsia="de-DE"/>
        </w:rPr>
        <w:t>Schemmer</w:t>
      </w:r>
      <w:proofErr w:type="spellEnd"/>
      <w:r w:rsidRPr="00505E44">
        <w:rPr>
          <w:rFonts w:eastAsia="Times New Roman"/>
          <w:lang w:val="en-US" w:eastAsia="de-DE"/>
        </w:rPr>
        <w:t xml:space="preserve"> et al., 2023; Vasconcelos et al., 2023; Cabrera et al., 2023; Miller, 2019). These insights are reinforced by current software engineering research </w:t>
      </w:r>
      <w:r w:rsidRPr="00505E44">
        <w:rPr>
          <w:rFonts w:eastAsia="Times New Roman"/>
          <w:lang w:val="en-US" w:eastAsia="de-DE"/>
        </w:rPr>
        <w:lastRenderedPageBreak/>
        <w:t xml:space="preserve">on AI-powered developer tools, which shows that trust shapes adoption, validation effort, willingness to delegate, and even how developers renegotiate their professional </w:t>
      </w:r>
      <w:proofErr w:type="spellStart"/>
      <w:r w:rsidRPr="00505E44">
        <w:rPr>
          <w:rFonts w:eastAsia="Times New Roman"/>
          <w:lang w:val="en-US" w:eastAsia="de-DE"/>
        </w:rPr>
        <w:t>roles</w:t>
      </w:r>
      <w:proofErr w:type="spellEnd"/>
      <w:r w:rsidRPr="00505E44">
        <w:rPr>
          <w:rFonts w:eastAsia="Times New Roman"/>
          <w:lang w:val="en-US" w:eastAsia="de-DE"/>
        </w:rPr>
        <w:t xml:space="preserve"> around AI assistance (Johnson et al., 2023; Wang et al., 2024; Murillo et al., 2024; de Souza et al., 2024; Basha &amp; Rodríguez-Pérez, 2025; </w:t>
      </w:r>
      <w:proofErr w:type="spellStart"/>
      <w:r w:rsidRPr="00505E44">
        <w:rPr>
          <w:rFonts w:eastAsia="Times New Roman"/>
          <w:lang w:val="en-US" w:eastAsia="de-DE"/>
        </w:rPr>
        <w:t>Kemell</w:t>
      </w:r>
      <w:proofErr w:type="spellEnd"/>
      <w:r w:rsidRPr="00505E44">
        <w:rPr>
          <w:rFonts w:eastAsia="Times New Roman"/>
          <w:lang w:val="en-US" w:eastAsia="de-DE"/>
        </w:rPr>
        <w:t xml:space="preserve"> et al., 2025; </w:t>
      </w:r>
      <w:proofErr w:type="spellStart"/>
      <w:r w:rsidRPr="00505E44">
        <w:rPr>
          <w:rFonts w:eastAsia="Times New Roman"/>
          <w:lang w:val="en-US" w:eastAsia="de-DE"/>
        </w:rPr>
        <w:t>Sabouri</w:t>
      </w:r>
      <w:proofErr w:type="spellEnd"/>
      <w:r w:rsidRPr="00505E44">
        <w:rPr>
          <w:rFonts w:eastAsia="Times New Roman"/>
          <w:lang w:val="en-US" w:eastAsia="de-DE"/>
        </w:rPr>
        <w:t xml:space="preserve"> et al., 2025).</w:t>
      </w:r>
    </w:p>
    <w:p w14:paraId="274C8060"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However, production operations differ from many other human-AI settings. Incidents unfold under time pressure, uncertainty, and cross-team dependencies. They also take place in settings that resemble high-reliability organizing, where coordination, heedful interrelating, and accountability are central to resilient action (Weick &amp; Roberts, 1993). Therefore, trust calibration for operational AI cannot be reduced to interface niceties or generic model transparency. It must be translated into an organizational decision model for granting, constraining, and auditing autonomy in live systems.</w:t>
      </w:r>
    </w:p>
    <w:p w14:paraId="3CE5B1B3"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This paper addresses that problem by asking: </w:t>
      </w:r>
      <w:r w:rsidRPr="00505E44">
        <w:rPr>
          <w:rFonts w:eastAsia="Times New Roman"/>
          <w:b/>
          <w:bCs/>
          <w:lang w:val="en-US" w:eastAsia="de-DE"/>
        </w:rPr>
        <w:t>What trust and governance mechanisms enable organizations to calibrate appropriate autonomy levels for AI agents operating in production environments?</w:t>
      </w:r>
      <w:r w:rsidRPr="00505E44">
        <w:rPr>
          <w:rFonts w:eastAsia="Times New Roman"/>
          <w:lang w:val="en-US" w:eastAsia="de-DE"/>
        </w:rPr>
        <w:t xml:space="preserve"> The paper contributes a design-science artifact, the </w:t>
      </w:r>
      <w:r w:rsidRPr="00505E44">
        <w:rPr>
          <w:rFonts w:eastAsia="Times New Roman"/>
          <w:b/>
          <w:bCs/>
          <w:lang w:val="en-US" w:eastAsia="de-DE"/>
        </w:rPr>
        <w:t>Operational Trust Calibration Framework</w:t>
      </w:r>
      <w:r w:rsidRPr="00505E44">
        <w:rPr>
          <w:rFonts w:eastAsia="Times New Roman"/>
          <w:lang w:val="en-US" w:eastAsia="de-DE"/>
        </w:rPr>
        <w:t>, that links operational constraints to staged autonomy rights and governance controls.</w:t>
      </w:r>
    </w:p>
    <w:p w14:paraId="52DEFD2A" w14:textId="77777777" w:rsidR="00505E44" w:rsidRPr="00505E44" w:rsidRDefault="00505E44" w:rsidP="00505E44">
      <w:pPr>
        <w:spacing w:before="100" w:beforeAutospacing="1" w:after="100" w:afterAutospacing="1" w:line="240" w:lineRule="auto"/>
        <w:outlineLvl w:val="1"/>
        <w:rPr>
          <w:rFonts w:eastAsia="Times New Roman"/>
          <w:b/>
          <w:bCs/>
          <w:sz w:val="36"/>
          <w:szCs w:val="36"/>
          <w:lang w:val="en-US" w:eastAsia="de-DE"/>
        </w:rPr>
      </w:pPr>
      <w:r w:rsidRPr="00505E44">
        <w:rPr>
          <w:rFonts w:eastAsia="Times New Roman"/>
          <w:b/>
          <w:bCs/>
          <w:sz w:val="36"/>
          <w:szCs w:val="36"/>
          <w:lang w:val="en-US" w:eastAsia="de-DE"/>
        </w:rPr>
        <w:t>2. Theoretical background</w:t>
      </w:r>
    </w:p>
    <w:p w14:paraId="4FA305A1"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2.1 Trust, trust calibration, and autonomy</w:t>
      </w:r>
    </w:p>
    <w:p w14:paraId="3C1BD55E"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Trust research offers three important lessons for operational AI. First, trust is relational and contextual, not absolute (Mayer et al., 1995; McKnight et al., 1998). Second, automation research shows that reliance should be calibrated to actual capability rather than maximized in the abstract (Lee &amp; See, 2004; Hoff &amp; Bashir, 2015). Third, levels of automation matter because they redistribute cognitive work, authority, and responsibility across human and machine actors (Parasuraman et al., 2000).</w:t>
      </w:r>
    </w:p>
    <w:p w14:paraId="12D555DC"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These findings are especially relevant in operations. A recommendation system used during incident triage does not pose the same risk profile as an agent authorized to restart services, alter traffic routing, or trigger rollback procedures. The latter changes not only human workload but also accountability, evidentiary traceability, and organizational exposure. This makes autonomy a governance issue as well as a human-factors issue.</w:t>
      </w:r>
    </w:p>
    <w:p w14:paraId="1D4BA32E"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2.2 Trust in AI and appropriate reliance</w:t>
      </w:r>
    </w:p>
    <w:p w14:paraId="79BFCF69"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Trust in AI research has broadened the conversation from automation reliability to socio-technical legibility and organizational uptake (</w:t>
      </w:r>
      <w:proofErr w:type="spellStart"/>
      <w:r w:rsidRPr="00505E44">
        <w:rPr>
          <w:rFonts w:eastAsia="Times New Roman"/>
          <w:lang w:val="en-US" w:eastAsia="de-DE"/>
        </w:rPr>
        <w:t>Glikson</w:t>
      </w:r>
      <w:proofErr w:type="spellEnd"/>
      <w:r w:rsidRPr="00505E44">
        <w:rPr>
          <w:rFonts w:eastAsia="Times New Roman"/>
          <w:lang w:val="en-US" w:eastAsia="de-DE"/>
        </w:rPr>
        <w:t xml:space="preserve"> &amp; Woolley, 2020; </w:t>
      </w:r>
      <w:proofErr w:type="spellStart"/>
      <w:r w:rsidRPr="00505E44">
        <w:rPr>
          <w:rFonts w:eastAsia="Times New Roman"/>
          <w:lang w:val="en-US" w:eastAsia="de-DE"/>
        </w:rPr>
        <w:t>Lukyanenko</w:t>
      </w:r>
      <w:proofErr w:type="spellEnd"/>
      <w:r w:rsidRPr="00505E44">
        <w:rPr>
          <w:rFonts w:eastAsia="Times New Roman"/>
          <w:lang w:val="en-US" w:eastAsia="de-DE"/>
        </w:rPr>
        <w:t xml:space="preserve"> et al., 2022). Recent reviews show that trust in AI increasingly depends on how capabilities, limitations, and operating conditions are communicated, not merely on whether performance metrics exist (</w:t>
      </w:r>
      <w:proofErr w:type="spellStart"/>
      <w:r w:rsidRPr="00505E44">
        <w:rPr>
          <w:rFonts w:eastAsia="Times New Roman"/>
          <w:lang w:val="en-US" w:eastAsia="de-DE"/>
        </w:rPr>
        <w:t>Regona</w:t>
      </w:r>
      <w:proofErr w:type="spellEnd"/>
      <w:r w:rsidRPr="00505E44">
        <w:rPr>
          <w:rFonts w:eastAsia="Times New Roman"/>
          <w:lang w:val="en-US" w:eastAsia="de-DE"/>
        </w:rPr>
        <w:t xml:space="preserve"> et al., 2026; Steinmetz et al., 2025). Human-AI interaction work similarly demonstrates that appropriate reliance depends on explanations that are actually usable, mental-model support that is behaviorally meaningful, and interfaces that help users judge when to verify, when to comply, and when to override (</w:t>
      </w:r>
      <w:proofErr w:type="spellStart"/>
      <w:r w:rsidRPr="00505E44">
        <w:rPr>
          <w:rFonts w:eastAsia="Times New Roman"/>
          <w:lang w:val="en-US" w:eastAsia="de-DE"/>
        </w:rPr>
        <w:t>Amershi</w:t>
      </w:r>
      <w:proofErr w:type="spellEnd"/>
      <w:r w:rsidRPr="00505E44">
        <w:rPr>
          <w:rFonts w:eastAsia="Times New Roman"/>
          <w:lang w:val="en-US" w:eastAsia="de-DE"/>
        </w:rPr>
        <w:t xml:space="preserve"> et al., 2019; Bansal et al., 2021; </w:t>
      </w:r>
      <w:proofErr w:type="spellStart"/>
      <w:r w:rsidRPr="00505E44">
        <w:rPr>
          <w:rFonts w:eastAsia="Times New Roman"/>
          <w:lang w:val="en-US" w:eastAsia="de-DE"/>
        </w:rPr>
        <w:t>Schemmer</w:t>
      </w:r>
      <w:proofErr w:type="spellEnd"/>
      <w:r w:rsidRPr="00505E44">
        <w:rPr>
          <w:rFonts w:eastAsia="Times New Roman"/>
          <w:lang w:val="en-US" w:eastAsia="de-DE"/>
        </w:rPr>
        <w:t xml:space="preserve"> et al., 2023; Vasconcelos et al., 2023; Cabrera et al., 2023).</w:t>
      </w:r>
    </w:p>
    <w:p w14:paraId="4E84D5B9"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lastRenderedPageBreak/>
        <w:t>For operational AI, this means that “confidence” generated by a model is not enough. Production use requires telemetry-grounded explanations, known execution boundaries, and visible control mechanisms. A trustworthy incident agent is therefore not merely accurate. It is also governable.</w:t>
      </w:r>
    </w:p>
    <w:p w14:paraId="5907E74F"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2.3 Governance and trustworthy AI in operational settings</w:t>
      </w:r>
    </w:p>
    <w:p w14:paraId="1F419805"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Current governance frameworks reinforce this point. The NIST AI RMF positions trustworthy AI as a socio-technical objective supported by governance, mapping, measurement, and management activities (NIST, 2023). The Generative AI Profile adapts those concerns to generative systems, where hallucination, opaque generation, information leakage, and misuse risks become more salient (NIST, 2024a). CSF 2.0 and the revised incident response guidance further emphasize that incident response capability should be tightly integrated with risk management, control accountability, and recovery planning (NIST, 2024b, 2025). ISO 31000 and ISO/IEC 42001 similarly frame risk and AI governance as organizational systems rather than isolated technical mechanisms (ISO, 2018; ISO/IEC, 2023).</w:t>
      </w:r>
    </w:p>
    <w:p w14:paraId="3271B4E2"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The governance implication is straightforward. Production AI agents should not be granted autonomy because they appear useful. They should be granted bounded autonomy only when their action space, failure modes, and control envelope are sufficiently understood.</w:t>
      </w:r>
    </w:p>
    <w:p w14:paraId="4F351D5D" w14:textId="77777777" w:rsidR="00505E44" w:rsidRPr="00505E44" w:rsidRDefault="00505E44" w:rsidP="00505E44">
      <w:pPr>
        <w:spacing w:before="100" w:beforeAutospacing="1" w:after="100" w:afterAutospacing="1" w:line="240" w:lineRule="auto"/>
        <w:outlineLvl w:val="1"/>
        <w:rPr>
          <w:rFonts w:eastAsia="Times New Roman"/>
          <w:b/>
          <w:bCs/>
          <w:sz w:val="36"/>
          <w:szCs w:val="36"/>
          <w:lang w:val="en-US" w:eastAsia="de-DE"/>
        </w:rPr>
      </w:pPr>
      <w:r w:rsidRPr="00505E44">
        <w:rPr>
          <w:rFonts w:eastAsia="Times New Roman"/>
          <w:b/>
          <w:bCs/>
          <w:sz w:val="36"/>
          <w:szCs w:val="36"/>
          <w:lang w:val="en-US" w:eastAsia="de-DE"/>
        </w:rPr>
        <w:t>3. Research method</w:t>
      </w:r>
    </w:p>
    <w:p w14:paraId="43B45BC4"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This study follows </w:t>
      </w:r>
      <w:r w:rsidRPr="00505E44">
        <w:rPr>
          <w:rFonts w:eastAsia="Times New Roman"/>
          <w:b/>
          <w:bCs/>
          <w:lang w:val="en-US" w:eastAsia="de-DE"/>
        </w:rPr>
        <w:t>design science research</w:t>
      </w:r>
      <w:r w:rsidRPr="00505E44">
        <w:rPr>
          <w:rFonts w:eastAsia="Times New Roman"/>
          <w:lang w:val="en-US" w:eastAsia="de-DE"/>
        </w:rPr>
        <w:t>, because its main output is an artifact intended to solve a practically significant organizational problem while remaining theoretically grounded (</w:t>
      </w:r>
      <w:proofErr w:type="spellStart"/>
      <w:r w:rsidRPr="00505E44">
        <w:rPr>
          <w:rFonts w:eastAsia="Times New Roman"/>
          <w:lang w:val="en-US" w:eastAsia="de-DE"/>
        </w:rPr>
        <w:t>Hevner</w:t>
      </w:r>
      <w:proofErr w:type="spellEnd"/>
      <w:r w:rsidRPr="00505E44">
        <w:rPr>
          <w:rFonts w:eastAsia="Times New Roman"/>
          <w:lang w:val="en-US" w:eastAsia="de-DE"/>
        </w:rPr>
        <w:t xml:space="preserve"> et al., 2004; </w:t>
      </w:r>
      <w:proofErr w:type="spellStart"/>
      <w:r w:rsidRPr="00505E44">
        <w:rPr>
          <w:rFonts w:eastAsia="Times New Roman"/>
          <w:lang w:val="en-US" w:eastAsia="de-DE"/>
        </w:rPr>
        <w:t>Peffers</w:t>
      </w:r>
      <w:proofErr w:type="spellEnd"/>
      <w:r w:rsidRPr="00505E44">
        <w:rPr>
          <w:rFonts w:eastAsia="Times New Roman"/>
          <w:lang w:val="en-US" w:eastAsia="de-DE"/>
        </w:rPr>
        <w:t xml:space="preserve"> et al., 2007; Gregor &amp; </w:t>
      </w:r>
      <w:proofErr w:type="spellStart"/>
      <w:r w:rsidRPr="00505E44">
        <w:rPr>
          <w:rFonts w:eastAsia="Times New Roman"/>
          <w:lang w:val="en-US" w:eastAsia="de-DE"/>
        </w:rPr>
        <w:t>Hevner</w:t>
      </w:r>
      <w:proofErr w:type="spellEnd"/>
      <w:r w:rsidRPr="00505E44">
        <w:rPr>
          <w:rFonts w:eastAsia="Times New Roman"/>
          <w:lang w:val="en-US" w:eastAsia="de-DE"/>
        </w:rPr>
        <w:t xml:space="preserve">, 2013; </w:t>
      </w:r>
      <w:proofErr w:type="spellStart"/>
      <w:r w:rsidRPr="00505E44">
        <w:rPr>
          <w:rFonts w:eastAsia="Times New Roman"/>
          <w:lang w:val="en-US" w:eastAsia="de-DE"/>
        </w:rPr>
        <w:t>Wieringa</w:t>
      </w:r>
      <w:proofErr w:type="spellEnd"/>
      <w:r w:rsidRPr="00505E44">
        <w:rPr>
          <w:rFonts w:eastAsia="Times New Roman"/>
          <w:lang w:val="en-US" w:eastAsia="de-DE"/>
        </w:rPr>
        <w:t>, 2014). The artifact in this paper is the Operational Trust Calibration Framework. Its purpose is to help organizations determine appropriate autonomy levels for operational AI agents in production environments.</w:t>
      </w:r>
    </w:p>
    <w:p w14:paraId="79314604"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The knowledge base for the artifact was assembled through a </w:t>
      </w:r>
      <w:r w:rsidRPr="00505E44">
        <w:rPr>
          <w:rFonts w:eastAsia="Times New Roman"/>
          <w:b/>
          <w:bCs/>
          <w:lang w:val="en-US" w:eastAsia="de-DE"/>
        </w:rPr>
        <w:t>structured literature review</w:t>
      </w:r>
      <w:r w:rsidRPr="00505E44">
        <w:rPr>
          <w:rFonts w:eastAsia="Times New Roman"/>
          <w:lang w:val="en-US" w:eastAsia="de-DE"/>
        </w:rPr>
        <w:t xml:space="preserve"> that integrates four streams:</w:t>
      </w:r>
      <w:r w:rsidRPr="00505E44">
        <w:rPr>
          <w:rFonts w:eastAsia="Times New Roman"/>
          <w:lang w:val="en-US" w:eastAsia="de-DE"/>
        </w:rPr>
        <w:br/>
        <w:t>(1) software operations, observability, and platform engineering;</w:t>
      </w:r>
      <w:r w:rsidRPr="00505E44">
        <w:rPr>
          <w:rFonts w:eastAsia="Times New Roman"/>
          <w:lang w:val="en-US" w:eastAsia="de-DE"/>
        </w:rPr>
        <w:br/>
        <w:t>(2) AIOps and LLM-based incident-management systems;</w:t>
      </w:r>
      <w:r w:rsidRPr="00505E44">
        <w:rPr>
          <w:rFonts w:eastAsia="Times New Roman"/>
          <w:lang w:val="en-US" w:eastAsia="de-DE"/>
        </w:rPr>
        <w:br/>
        <w:t>(3) trust in automation, trust in AI, and appropriate reliance; and</w:t>
      </w:r>
      <w:r w:rsidRPr="00505E44">
        <w:rPr>
          <w:rFonts w:eastAsia="Times New Roman"/>
          <w:lang w:val="en-US" w:eastAsia="de-DE"/>
        </w:rPr>
        <w:br/>
        <w:t>(4) AI governance, cybersecurity risk management, and management system standards.</w:t>
      </w:r>
    </w:p>
    <w:p w14:paraId="72580328"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The review design follows established software engineering review guidance and PRISMA 2020 reporting logic (</w:t>
      </w:r>
      <w:proofErr w:type="spellStart"/>
      <w:r w:rsidRPr="00505E44">
        <w:rPr>
          <w:rFonts w:eastAsia="Times New Roman"/>
          <w:lang w:val="en-US" w:eastAsia="de-DE"/>
        </w:rPr>
        <w:t>Kitchenham</w:t>
      </w:r>
      <w:proofErr w:type="spellEnd"/>
      <w:r w:rsidRPr="00505E44">
        <w:rPr>
          <w:rFonts w:eastAsia="Times New Roman"/>
          <w:lang w:val="en-US" w:eastAsia="de-DE"/>
        </w:rPr>
        <w:t xml:space="preserve">, 2004; </w:t>
      </w:r>
      <w:proofErr w:type="spellStart"/>
      <w:r w:rsidRPr="00505E44">
        <w:rPr>
          <w:rFonts w:eastAsia="Times New Roman"/>
          <w:lang w:val="en-US" w:eastAsia="de-DE"/>
        </w:rPr>
        <w:t>Kitchenham</w:t>
      </w:r>
      <w:proofErr w:type="spellEnd"/>
      <w:r w:rsidRPr="00505E44">
        <w:rPr>
          <w:rFonts w:eastAsia="Times New Roman"/>
          <w:lang w:val="en-US" w:eastAsia="de-DE"/>
        </w:rPr>
        <w:t xml:space="preserve"> &amp; Charters, 2007; Brereton et al., 2007; Petersen et al., 2015; </w:t>
      </w:r>
      <w:proofErr w:type="spellStart"/>
      <w:r w:rsidRPr="00505E44">
        <w:rPr>
          <w:rFonts w:eastAsia="Times New Roman"/>
          <w:lang w:val="en-US" w:eastAsia="de-DE"/>
        </w:rPr>
        <w:t>Wohlin</w:t>
      </w:r>
      <w:proofErr w:type="spellEnd"/>
      <w:r w:rsidRPr="00505E44">
        <w:rPr>
          <w:rFonts w:eastAsia="Times New Roman"/>
          <w:lang w:val="en-US" w:eastAsia="de-DE"/>
        </w:rPr>
        <w:t xml:space="preserve">, 2014; </w:t>
      </w:r>
      <w:proofErr w:type="spellStart"/>
      <w:r w:rsidRPr="00505E44">
        <w:rPr>
          <w:rFonts w:eastAsia="Times New Roman"/>
          <w:lang w:val="en-US" w:eastAsia="de-DE"/>
        </w:rPr>
        <w:t>Wohlin</w:t>
      </w:r>
      <w:proofErr w:type="spellEnd"/>
      <w:r w:rsidRPr="00505E44">
        <w:rPr>
          <w:rFonts w:eastAsia="Times New Roman"/>
          <w:lang w:val="en-US" w:eastAsia="de-DE"/>
        </w:rPr>
        <w:t xml:space="preserve"> et al., 2020; Page et al., 2021). Search and screening were conceptually oriented toward combinations of terms such as </w:t>
      </w:r>
      <w:r w:rsidRPr="00505E44">
        <w:rPr>
          <w:rFonts w:eastAsia="Times New Roman"/>
          <w:i/>
          <w:iCs/>
          <w:lang w:val="en-US" w:eastAsia="de-DE"/>
        </w:rPr>
        <w:t>AIOps</w:t>
      </w:r>
      <w:r w:rsidRPr="00505E44">
        <w:rPr>
          <w:rFonts w:eastAsia="Times New Roman"/>
          <w:lang w:val="en-US" w:eastAsia="de-DE"/>
        </w:rPr>
        <w:t xml:space="preserve">, </w:t>
      </w:r>
      <w:r w:rsidRPr="00505E44">
        <w:rPr>
          <w:rFonts w:eastAsia="Times New Roman"/>
          <w:i/>
          <w:iCs/>
          <w:lang w:val="en-US" w:eastAsia="de-DE"/>
        </w:rPr>
        <w:t>operational AI</w:t>
      </w:r>
      <w:r w:rsidRPr="00505E44">
        <w:rPr>
          <w:rFonts w:eastAsia="Times New Roman"/>
          <w:lang w:val="en-US" w:eastAsia="de-DE"/>
        </w:rPr>
        <w:t xml:space="preserve">, </w:t>
      </w:r>
      <w:r w:rsidRPr="00505E44">
        <w:rPr>
          <w:rFonts w:eastAsia="Times New Roman"/>
          <w:i/>
          <w:iCs/>
          <w:lang w:val="en-US" w:eastAsia="de-DE"/>
        </w:rPr>
        <w:t>incident response</w:t>
      </w:r>
      <w:r w:rsidRPr="00505E44">
        <w:rPr>
          <w:rFonts w:eastAsia="Times New Roman"/>
          <w:lang w:val="en-US" w:eastAsia="de-DE"/>
        </w:rPr>
        <w:t xml:space="preserve">, </w:t>
      </w:r>
      <w:r w:rsidRPr="00505E44">
        <w:rPr>
          <w:rFonts w:eastAsia="Times New Roman"/>
          <w:i/>
          <w:iCs/>
          <w:lang w:val="en-US" w:eastAsia="de-DE"/>
        </w:rPr>
        <w:t>root cause analysis</w:t>
      </w:r>
      <w:r w:rsidRPr="00505E44">
        <w:rPr>
          <w:rFonts w:eastAsia="Times New Roman"/>
          <w:lang w:val="en-US" w:eastAsia="de-DE"/>
        </w:rPr>
        <w:t xml:space="preserve">, </w:t>
      </w:r>
      <w:r w:rsidRPr="00505E44">
        <w:rPr>
          <w:rFonts w:eastAsia="Times New Roman"/>
          <w:i/>
          <w:iCs/>
          <w:lang w:val="en-US" w:eastAsia="de-DE"/>
        </w:rPr>
        <w:t>trust in automation</w:t>
      </w:r>
      <w:r w:rsidRPr="00505E44">
        <w:rPr>
          <w:rFonts w:eastAsia="Times New Roman"/>
          <w:lang w:val="en-US" w:eastAsia="de-DE"/>
        </w:rPr>
        <w:t xml:space="preserve">, </w:t>
      </w:r>
      <w:r w:rsidRPr="00505E44">
        <w:rPr>
          <w:rFonts w:eastAsia="Times New Roman"/>
          <w:i/>
          <w:iCs/>
          <w:lang w:val="en-US" w:eastAsia="de-DE"/>
        </w:rPr>
        <w:t>trust in AI</w:t>
      </w:r>
      <w:r w:rsidRPr="00505E44">
        <w:rPr>
          <w:rFonts w:eastAsia="Times New Roman"/>
          <w:lang w:val="en-US" w:eastAsia="de-DE"/>
        </w:rPr>
        <w:t xml:space="preserve">, </w:t>
      </w:r>
      <w:r w:rsidRPr="00505E44">
        <w:rPr>
          <w:rFonts w:eastAsia="Times New Roman"/>
          <w:i/>
          <w:iCs/>
          <w:lang w:val="en-US" w:eastAsia="de-DE"/>
        </w:rPr>
        <w:t>appropriate reliance</w:t>
      </w:r>
      <w:r w:rsidRPr="00505E44">
        <w:rPr>
          <w:rFonts w:eastAsia="Times New Roman"/>
          <w:lang w:val="en-US" w:eastAsia="de-DE"/>
        </w:rPr>
        <w:t xml:space="preserve">, </w:t>
      </w:r>
      <w:r w:rsidRPr="00505E44">
        <w:rPr>
          <w:rFonts w:eastAsia="Times New Roman"/>
          <w:i/>
          <w:iCs/>
          <w:lang w:val="en-US" w:eastAsia="de-DE"/>
        </w:rPr>
        <w:t>governance</w:t>
      </w:r>
      <w:r w:rsidRPr="00505E44">
        <w:rPr>
          <w:rFonts w:eastAsia="Times New Roman"/>
          <w:lang w:val="en-US" w:eastAsia="de-DE"/>
        </w:rPr>
        <w:t xml:space="preserve">, </w:t>
      </w:r>
      <w:r w:rsidRPr="00505E44">
        <w:rPr>
          <w:rFonts w:eastAsia="Times New Roman"/>
          <w:i/>
          <w:iCs/>
          <w:lang w:val="en-US" w:eastAsia="de-DE"/>
        </w:rPr>
        <w:t>risk management</w:t>
      </w:r>
      <w:r w:rsidRPr="00505E44">
        <w:rPr>
          <w:rFonts w:eastAsia="Times New Roman"/>
          <w:lang w:val="en-US" w:eastAsia="de-DE"/>
        </w:rPr>
        <w:t xml:space="preserve">, and </w:t>
      </w:r>
      <w:r w:rsidRPr="00505E44">
        <w:rPr>
          <w:rFonts w:eastAsia="Times New Roman"/>
          <w:i/>
          <w:iCs/>
          <w:lang w:val="en-US" w:eastAsia="de-DE"/>
        </w:rPr>
        <w:t>design science</w:t>
      </w:r>
      <w:r w:rsidRPr="00505E44">
        <w:rPr>
          <w:rFonts w:eastAsia="Times New Roman"/>
          <w:lang w:val="en-US" w:eastAsia="de-DE"/>
        </w:rPr>
        <w:t>. The goal of the review was not bibliometric exhaustiveness alone, but requirements extraction for artifact design.</w:t>
      </w:r>
    </w:p>
    <w:p w14:paraId="357E118A"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Because practitioner interviews are not yet complete, this paper does </w:t>
      </w:r>
      <w:r w:rsidRPr="00505E44">
        <w:rPr>
          <w:rFonts w:eastAsia="Times New Roman"/>
          <w:b/>
          <w:bCs/>
          <w:lang w:val="en-US" w:eastAsia="de-DE"/>
        </w:rPr>
        <w:t>not</w:t>
      </w:r>
      <w:r w:rsidRPr="00505E44">
        <w:rPr>
          <w:rFonts w:eastAsia="Times New Roman"/>
          <w:lang w:val="en-US" w:eastAsia="de-DE"/>
        </w:rPr>
        <w:t xml:space="preserve"> claim completed validation findings. Instead, it contributes a </w:t>
      </w:r>
      <w:r w:rsidRPr="00505E44">
        <w:rPr>
          <w:rFonts w:eastAsia="Times New Roman"/>
          <w:b/>
          <w:bCs/>
          <w:lang w:val="en-US" w:eastAsia="de-DE"/>
        </w:rPr>
        <w:t>validation protocol</w:t>
      </w:r>
      <w:r w:rsidRPr="00505E44">
        <w:rPr>
          <w:rFonts w:eastAsia="Times New Roman"/>
          <w:lang w:val="en-US" w:eastAsia="de-DE"/>
        </w:rPr>
        <w:t xml:space="preserve"> that specifies how the </w:t>
      </w:r>
      <w:r w:rsidRPr="00505E44">
        <w:rPr>
          <w:rFonts w:eastAsia="Times New Roman"/>
          <w:lang w:val="en-US" w:eastAsia="de-DE"/>
        </w:rPr>
        <w:lastRenderedPageBreak/>
        <w:t>artifact should be stress-tested through structured expert interviews and incident-based constraint analysis in the next stage of the research.</w:t>
      </w:r>
    </w:p>
    <w:p w14:paraId="4073A649" w14:textId="77777777" w:rsidR="00505E44" w:rsidRPr="00505E44" w:rsidRDefault="00505E44" w:rsidP="00505E44">
      <w:pPr>
        <w:spacing w:before="100" w:beforeAutospacing="1" w:after="100" w:afterAutospacing="1" w:line="240" w:lineRule="auto"/>
        <w:outlineLvl w:val="1"/>
        <w:rPr>
          <w:rFonts w:eastAsia="Times New Roman"/>
          <w:b/>
          <w:bCs/>
          <w:sz w:val="36"/>
          <w:szCs w:val="36"/>
          <w:lang w:val="en-US" w:eastAsia="de-DE"/>
        </w:rPr>
      </w:pPr>
      <w:r w:rsidRPr="00505E44">
        <w:rPr>
          <w:rFonts w:eastAsia="Times New Roman"/>
          <w:b/>
          <w:bCs/>
          <w:sz w:val="36"/>
          <w:szCs w:val="36"/>
          <w:lang w:val="en-US" w:eastAsia="de-DE"/>
        </w:rPr>
        <w:t>4. Artifact: The Operational Trust Calibration Framework</w:t>
      </w:r>
    </w:p>
    <w:p w14:paraId="2FBF1F7A"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The core proposition of this paper is that operational AI trust should be calibrated through a bounded decision model, not through generic confidence in AI. The proposed artifact therefore combines three operational constraints with a governance envelope.</w:t>
      </w:r>
    </w:p>
    <w:p w14:paraId="522766CF"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4.1 Core calibration dimensions</w:t>
      </w:r>
    </w:p>
    <w:p w14:paraId="4C9FE4B9"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The first dimension is </w:t>
      </w:r>
      <w:r w:rsidRPr="00505E44">
        <w:rPr>
          <w:rFonts w:eastAsia="Times New Roman"/>
          <w:b/>
          <w:bCs/>
          <w:lang w:val="en-US" w:eastAsia="de-DE"/>
        </w:rPr>
        <w:t>observability</w:t>
      </w:r>
      <w:r w:rsidRPr="00505E44">
        <w:rPr>
          <w:rFonts w:eastAsia="Times New Roman"/>
          <w:lang w:val="en-US" w:eastAsia="de-DE"/>
        </w:rPr>
        <w:t xml:space="preserve">. Observability refers to the degree to which the agent and its human supervisors can ground their reasoning in sufficiently rich and relevant telemetry, including logs, metrics, traces, dependency context, recent changes, and service metadata (Sridharan, 2018; </w:t>
      </w:r>
      <w:proofErr w:type="spellStart"/>
      <w:r w:rsidRPr="00505E44">
        <w:rPr>
          <w:rFonts w:eastAsia="Times New Roman"/>
          <w:lang w:val="en-US" w:eastAsia="de-DE"/>
        </w:rPr>
        <w:t>OpenTelemetry</w:t>
      </w:r>
      <w:proofErr w:type="spellEnd"/>
      <w:r w:rsidRPr="00505E44">
        <w:rPr>
          <w:rFonts w:eastAsia="Times New Roman"/>
          <w:lang w:val="en-US" w:eastAsia="de-DE"/>
        </w:rPr>
        <w:t xml:space="preserve"> Authors, n.d.-a, n.d.-b). High observability improves the </w:t>
      </w:r>
      <w:proofErr w:type="spellStart"/>
      <w:r w:rsidRPr="00505E44">
        <w:rPr>
          <w:rFonts w:eastAsia="Times New Roman"/>
          <w:lang w:val="en-US" w:eastAsia="de-DE"/>
        </w:rPr>
        <w:t>inspectability</w:t>
      </w:r>
      <w:proofErr w:type="spellEnd"/>
      <w:r w:rsidRPr="00505E44">
        <w:rPr>
          <w:rFonts w:eastAsia="Times New Roman"/>
          <w:lang w:val="en-US" w:eastAsia="de-DE"/>
        </w:rPr>
        <w:t xml:space="preserve"> of recommendations and supports post-hoc accountability.</w:t>
      </w:r>
    </w:p>
    <w:p w14:paraId="2D1658A9"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The second dimension is </w:t>
      </w:r>
      <w:r w:rsidRPr="00505E44">
        <w:rPr>
          <w:rFonts w:eastAsia="Times New Roman"/>
          <w:b/>
          <w:bCs/>
          <w:lang w:val="en-US" w:eastAsia="de-DE"/>
        </w:rPr>
        <w:t>reversibility</w:t>
      </w:r>
      <w:r w:rsidRPr="00505E44">
        <w:rPr>
          <w:rFonts w:eastAsia="Times New Roman"/>
          <w:lang w:val="en-US" w:eastAsia="de-DE"/>
        </w:rPr>
        <w:t>. Reversibility refers to how safely, quickly, and completely an action can be rolled back. This includes technical rollback, state recovery, and the ability to restore a prior stable configuration. Reversibility matters because even a highly probable action should not be delegated if its error cost is effectively irreversible (Lee &amp; See, 2004; Hoff &amp; Bashir, 2015).</w:t>
      </w:r>
    </w:p>
    <w:p w14:paraId="4D5421DC"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The third dimension is </w:t>
      </w:r>
      <w:r w:rsidRPr="00505E44">
        <w:rPr>
          <w:rFonts w:eastAsia="Times New Roman"/>
          <w:b/>
          <w:bCs/>
          <w:lang w:val="en-US" w:eastAsia="de-DE"/>
        </w:rPr>
        <w:t>blast radius</w:t>
      </w:r>
      <w:r w:rsidRPr="00505E44">
        <w:rPr>
          <w:rFonts w:eastAsia="Times New Roman"/>
          <w:lang w:val="en-US" w:eastAsia="de-DE"/>
        </w:rPr>
        <w:t>. Blast radius refers to the likely operational, organizational, legal, and public consequences if the action is wrong. In production environments, blast radius is multi-layered. It includes system impact, customer impact, cross-service dependency effects, evidentiary loss, compliance consequences, and reputational damage (NIST, 2024b, 2025; ISO, 2018).</w:t>
      </w:r>
    </w:p>
    <w:p w14:paraId="2FA3E64A"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These three dimensions form the </w:t>
      </w:r>
      <w:r w:rsidRPr="00505E44">
        <w:rPr>
          <w:rFonts w:eastAsia="Times New Roman"/>
          <w:b/>
          <w:bCs/>
          <w:lang w:val="en-US" w:eastAsia="de-DE"/>
        </w:rPr>
        <w:t>ORB kernel</w:t>
      </w:r>
      <w:r w:rsidRPr="00505E44">
        <w:rPr>
          <w:rFonts w:eastAsia="Times New Roman"/>
          <w:lang w:val="en-US" w:eastAsia="de-DE"/>
        </w:rPr>
        <w:t>, Observability, Reversibility, Blast Radius.</w:t>
      </w:r>
    </w:p>
    <w:p w14:paraId="3DC677E7"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4.2 Governance envelope</w:t>
      </w:r>
    </w:p>
    <w:p w14:paraId="01F2BCA7"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The ORB kernel alone is insufficient. It must be wrapped in a governance envelope that defines the conditions under which a given autonomy level is permissible. This envelope includes at least six elements.</w:t>
      </w:r>
    </w:p>
    <w:p w14:paraId="583BFD14"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First, </w:t>
      </w:r>
      <w:r w:rsidRPr="00505E44">
        <w:rPr>
          <w:rFonts w:eastAsia="Times New Roman"/>
          <w:b/>
          <w:bCs/>
          <w:lang w:val="en-US" w:eastAsia="de-DE"/>
        </w:rPr>
        <w:t>approval authority</w:t>
      </w:r>
      <w:r w:rsidRPr="00505E44">
        <w:rPr>
          <w:rFonts w:eastAsia="Times New Roman"/>
          <w:lang w:val="en-US" w:eastAsia="de-DE"/>
        </w:rPr>
        <w:t xml:space="preserve"> must be explicit. The framework must specify who may authorize which class of actions and under what incident conditions (NIST, 2023, 2025).</w:t>
      </w:r>
    </w:p>
    <w:p w14:paraId="1068BAC4"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Second, </w:t>
      </w:r>
      <w:r w:rsidRPr="00505E44">
        <w:rPr>
          <w:rFonts w:eastAsia="Times New Roman"/>
          <w:b/>
          <w:bCs/>
          <w:lang w:val="en-US" w:eastAsia="de-DE"/>
        </w:rPr>
        <w:t>auditability and provenance</w:t>
      </w:r>
      <w:r w:rsidRPr="00505E44">
        <w:rPr>
          <w:rFonts w:eastAsia="Times New Roman"/>
          <w:lang w:val="en-US" w:eastAsia="de-DE"/>
        </w:rPr>
        <w:t xml:space="preserve"> must be preserved. Recommendations, evidence sources, prompts, tool calls, approvals, and actions should be logged in a way that supports review and accountability (ISO/IEC, 2023; NIST, 2023).</w:t>
      </w:r>
    </w:p>
    <w:p w14:paraId="1CD1BB29"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Third, </w:t>
      </w:r>
      <w:r w:rsidRPr="00505E44">
        <w:rPr>
          <w:rFonts w:eastAsia="Times New Roman"/>
          <w:b/>
          <w:bCs/>
          <w:lang w:val="en-US" w:eastAsia="de-DE"/>
        </w:rPr>
        <w:t>override and kill-switch capability</w:t>
      </w:r>
      <w:r w:rsidRPr="00505E44">
        <w:rPr>
          <w:rFonts w:eastAsia="Times New Roman"/>
          <w:lang w:val="en-US" w:eastAsia="de-DE"/>
        </w:rPr>
        <w:t xml:space="preserve"> must be available. Human actors must be able to stop, reverse, or suspend an agent’s action pathway when uncertainty increases or context changes (</w:t>
      </w:r>
      <w:proofErr w:type="spellStart"/>
      <w:r w:rsidRPr="00505E44">
        <w:rPr>
          <w:rFonts w:eastAsia="Times New Roman"/>
          <w:lang w:val="en-US" w:eastAsia="de-DE"/>
        </w:rPr>
        <w:t>Shneiderman</w:t>
      </w:r>
      <w:proofErr w:type="spellEnd"/>
      <w:r w:rsidRPr="00505E44">
        <w:rPr>
          <w:rFonts w:eastAsia="Times New Roman"/>
          <w:lang w:val="en-US" w:eastAsia="de-DE"/>
        </w:rPr>
        <w:t>, 2022).</w:t>
      </w:r>
    </w:p>
    <w:p w14:paraId="3505D216"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lastRenderedPageBreak/>
        <w:t xml:space="preserve">Fourth, </w:t>
      </w:r>
      <w:r w:rsidRPr="00505E44">
        <w:rPr>
          <w:rFonts w:eastAsia="Times New Roman"/>
          <w:b/>
          <w:bCs/>
          <w:lang w:val="en-US" w:eastAsia="de-DE"/>
        </w:rPr>
        <w:t>policy fit</w:t>
      </w:r>
      <w:r w:rsidRPr="00505E44">
        <w:rPr>
          <w:rFonts w:eastAsia="Times New Roman"/>
          <w:lang w:val="en-US" w:eastAsia="de-DE"/>
        </w:rPr>
        <w:t xml:space="preserve"> must be established. Some incident types, such as security events, cross-organizational outages, or stateful transaction anomalies, may be categorically excluded from automated action even when the agent appears technically competent (NIST, 2024a, 2025).</w:t>
      </w:r>
    </w:p>
    <w:p w14:paraId="3B5966B1"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Fifth, </w:t>
      </w:r>
      <w:r w:rsidRPr="00505E44">
        <w:rPr>
          <w:rFonts w:eastAsia="Times New Roman"/>
          <w:b/>
          <w:bCs/>
          <w:lang w:val="en-US" w:eastAsia="de-DE"/>
        </w:rPr>
        <w:t>evidence requirements</w:t>
      </w:r>
      <w:r w:rsidRPr="00505E44">
        <w:rPr>
          <w:rFonts w:eastAsia="Times New Roman"/>
          <w:lang w:val="en-US" w:eastAsia="de-DE"/>
        </w:rPr>
        <w:t xml:space="preserve"> must be defined. An agent should not act only because it produces a plausible narrative. It should meet an explicit evidence threshold tied to telemetry quality, runbook fit, and operational context (Ribeiro et al., 2016; </w:t>
      </w:r>
      <w:proofErr w:type="spellStart"/>
      <w:r w:rsidRPr="00505E44">
        <w:rPr>
          <w:rFonts w:eastAsia="Times New Roman"/>
          <w:lang w:val="en-US" w:eastAsia="de-DE"/>
        </w:rPr>
        <w:t>Amershi</w:t>
      </w:r>
      <w:proofErr w:type="spellEnd"/>
      <w:r w:rsidRPr="00505E44">
        <w:rPr>
          <w:rFonts w:eastAsia="Times New Roman"/>
          <w:lang w:val="en-US" w:eastAsia="de-DE"/>
        </w:rPr>
        <w:t xml:space="preserve"> et al., 2019; Steinmetz et al., 2025).</w:t>
      </w:r>
    </w:p>
    <w:p w14:paraId="6FC55FD3"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Sixth, </w:t>
      </w:r>
      <w:r w:rsidRPr="00505E44">
        <w:rPr>
          <w:rFonts w:eastAsia="Times New Roman"/>
          <w:b/>
          <w:bCs/>
          <w:lang w:val="en-US" w:eastAsia="de-DE"/>
        </w:rPr>
        <w:t>deployment staging</w:t>
      </w:r>
      <w:r w:rsidRPr="00505E44">
        <w:rPr>
          <w:rFonts w:eastAsia="Times New Roman"/>
          <w:lang w:val="en-US" w:eastAsia="de-DE"/>
        </w:rPr>
        <w:t xml:space="preserve"> must be enforced. Operational AI should progress through offline analysis, replay, shadow mode, recommendation mode, bounded execution with authorization, and only then, where justified, conditional bounded autonomy (</w:t>
      </w:r>
      <w:proofErr w:type="spellStart"/>
      <w:r w:rsidRPr="00505E44">
        <w:rPr>
          <w:rFonts w:eastAsia="Times New Roman"/>
          <w:lang w:val="en-US" w:eastAsia="de-DE"/>
        </w:rPr>
        <w:t>Hevner</w:t>
      </w:r>
      <w:proofErr w:type="spellEnd"/>
      <w:r w:rsidRPr="00505E44">
        <w:rPr>
          <w:rFonts w:eastAsia="Times New Roman"/>
          <w:lang w:val="en-US" w:eastAsia="de-DE"/>
        </w:rPr>
        <w:t xml:space="preserve"> et al., 2004; </w:t>
      </w:r>
      <w:proofErr w:type="spellStart"/>
      <w:r w:rsidRPr="00505E44">
        <w:rPr>
          <w:rFonts w:eastAsia="Times New Roman"/>
          <w:lang w:val="en-US" w:eastAsia="de-DE"/>
        </w:rPr>
        <w:t>Peffers</w:t>
      </w:r>
      <w:proofErr w:type="spellEnd"/>
      <w:r w:rsidRPr="00505E44">
        <w:rPr>
          <w:rFonts w:eastAsia="Times New Roman"/>
          <w:lang w:val="en-US" w:eastAsia="de-DE"/>
        </w:rPr>
        <w:t xml:space="preserve"> et al., 2007; NIST, 2023).</w:t>
      </w:r>
    </w:p>
    <w:p w14:paraId="01FA2575"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4.3 Autonomy levels</w:t>
      </w:r>
    </w:p>
    <w:p w14:paraId="747B9A18"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The framework defines four autonomy levels.</w:t>
      </w:r>
    </w:p>
    <w:p w14:paraId="44D38B73"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Level 0, Observe and summarize.</w:t>
      </w:r>
      <w:r w:rsidRPr="00505E44">
        <w:rPr>
          <w:rFonts w:eastAsia="Times New Roman"/>
          <w:lang w:val="en-US" w:eastAsia="de-DE"/>
        </w:rPr>
        <w:br/>
        <w:t>The agent may retrieve, correlate, summarize, and explain incident evidence, but it may not recommend or execute actions. This level is appropriate when observability is partial, blast radius is high, or governance is not yet mature.</w:t>
      </w:r>
    </w:p>
    <w:p w14:paraId="02998795"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Level 1, Recommend and justify.</w:t>
      </w:r>
      <w:r w:rsidRPr="00505E44">
        <w:rPr>
          <w:rFonts w:eastAsia="Times New Roman"/>
          <w:lang w:val="en-US" w:eastAsia="de-DE"/>
        </w:rPr>
        <w:br/>
        <w:t>The agent may suggest hypotheses, rank likely causes, and propose runbook steps with evidence. Humans remain solely responsible for action selection. This level is suitable when telemetry is informative but uncertainty remains material.</w:t>
      </w:r>
    </w:p>
    <w:p w14:paraId="56F31992"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Level 2, Execute bounded reversible actions with authorization.</w:t>
      </w:r>
      <w:r w:rsidRPr="00505E44">
        <w:rPr>
          <w:rFonts w:eastAsia="Times New Roman"/>
          <w:lang w:val="en-US" w:eastAsia="de-DE"/>
        </w:rPr>
        <w:br/>
        <w:t>The agent may carry out predefined, reversible tasks such as restarting a failed worker, scaling a non-critical service, or applying a known-safe rollback, but only after explicit approval by an authorized human.</w:t>
      </w:r>
    </w:p>
    <w:p w14:paraId="4728E9F5"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Level 3, Conditional bounded autonomy.</w:t>
      </w:r>
      <w:r w:rsidRPr="00505E44">
        <w:rPr>
          <w:rFonts w:eastAsia="Times New Roman"/>
          <w:lang w:val="en-US" w:eastAsia="de-DE"/>
        </w:rPr>
        <w:br/>
        <w:t>The agent may act within a pre-approved envelope without case-by-case approval, but only for actions with strong observability, high reversibility, low blast radius, and complete logging and review controls.</w:t>
      </w:r>
    </w:p>
    <w:p w14:paraId="07A42669"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This article deliberately excludes broad unsupervised autonomy in production. In regulated or public-impact environments, the burden of justification for such autonomy is far higher than current literature supports (NIST, 2023, 2024a, 2025; ISO/IEC, 2023).</w:t>
      </w:r>
    </w:p>
    <w:p w14:paraId="3F624BC8"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4.4 Design principles</w:t>
      </w:r>
    </w:p>
    <w:p w14:paraId="390215FE"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Five design principles emerge from the synthesis.</w:t>
      </w:r>
    </w:p>
    <w:p w14:paraId="20127F0D"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DP1. Autonomy should be task-specific, not model-specific.</w:t>
      </w:r>
      <w:r w:rsidRPr="00505E44">
        <w:rPr>
          <w:rFonts w:eastAsia="Times New Roman"/>
          <w:lang w:val="en-US" w:eastAsia="de-DE"/>
        </w:rPr>
        <w:br/>
        <w:t>An AI agent should not receive one global autonomy label. Autonomy should be granted per task class under explicit contextual assumptions (Parasuraman et al., 2000; Lee &amp; See, 2004).</w:t>
      </w:r>
    </w:p>
    <w:p w14:paraId="00A0DE08"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lastRenderedPageBreak/>
        <w:t>DP2. Trustworthy operational support must be telemetry-grounded.</w:t>
      </w:r>
      <w:r w:rsidRPr="00505E44">
        <w:rPr>
          <w:rFonts w:eastAsia="Times New Roman"/>
          <w:lang w:val="en-US" w:eastAsia="de-DE"/>
        </w:rPr>
        <w:br/>
        <w:t>Natural-language fluency without evidentiary anchoring is dangerous in incidents. Recommendations should be traceable to logs, traces, metrics, topology, or verified operational knowledge (Sridharan, 2018; Ahmed et al., 2023; Chen et al., 2024).</w:t>
      </w:r>
    </w:p>
    <w:p w14:paraId="3672973F"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DP3. Reversibility should act as a gate, not a bonus.</w:t>
      </w:r>
      <w:r w:rsidRPr="00505E44">
        <w:rPr>
          <w:rFonts w:eastAsia="Times New Roman"/>
          <w:lang w:val="en-US" w:eastAsia="de-DE"/>
        </w:rPr>
        <w:br/>
        <w:t>Where rollback is weak or side effects are durable, autonomy should remain low even if predicted accuracy appears high (Hoff &amp; Bashir, 2015; NIST, 2025).</w:t>
      </w:r>
    </w:p>
    <w:p w14:paraId="65212A85"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DP4. High blast radius requires governance escalation.</w:t>
      </w:r>
      <w:r w:rsidRPr="00505E44">
        <w:rPr>
          <w:rFonts w:eastAsia="Times New Roman"/>
          <w:lang w:val="en-US" w:eastAsia="de-DE"/>
        </w:rPr>
        <w:br/>
        <w:t>As impact grows, the acceptable autonomy ceiling should drop and human approval, multi-party authorization, or categorical exclusion should increase (ISO, 2018; NIST, 2024b, 2025).</w:t>
      </w:r>
    </w:p>
    <w:p w14:paraId="4469256E"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b/>
          <w:bCs/>
          <w:lang w:val="en-US" w:eastAsia="de-DE"/>
        </w:rPr>
        <w:t>DP5. Appropriate reliance must be designed, not assumed.</w:t>
      </w:r>
      <w:r w:rsidRPr="00505E44">
        <w:rPr>
          <w:rFonts w:eastAsia="Times New Roman"/>
          <w:lang w:val="en-US" w:eastAsia="de-DE"/>
        </w:rPr>
        <w:br/>
        <w:t>Operational trust depends on explanations, interface cues, behavioral descriptions, and workflow fit that support verification and override rather than passive acceptance (</w:t>
      </w:r>
      <w:proofErr w:type="spellStart"/>
      <w:r w:rsidRPr="00505E44">
        <w:rPr>
          <w:rFonts w:eastAsia="Times New Roman"/>
          <w:lang w:val="en-US" w:eastAsia="de-DE"/>
        </w:rPr>
        <w:t>Amershi</w:t>
      </w:r>
      <w:proofErr w:type="spellEnd"/>
      <w:r w:rsidRPr="00505E44">
        <w:rPr>
          <w:rFonts w:eastAsia="Times New Roman"/>
          <w:lang w:val="en-US" w:eastAsia="de-DE"/>
        </w:rPr>
        <w:t xml:space="preserve"> et al., 2019; Bansal et al., 2021; </w:t>
      </w:r>
      <w:proofErr w:type="spellStart"/>
      <w:r w:rsidRPr="00505E44">
        <w:rPr>
          <w:rFonts w:eastAsia="Times New Roman"/>
          <w:lang w:val="en-US" w:eastAsia="de-DE"/>
        </w:rPr>
        <w:t>Schemmer</w:t>
      </w:r>
      <w:proofErr w:type="spellEnd"/>
      <w:r w:rsidRPr="00505E44">
        <w:rPr>
          <w:rFonts w:eastAsia="Times New Roman"/>
          <w:lang w:val="en-US" w:eastAsia="de-DE"/>
        </w:rPr>
        <w:t xml:space="preserve"> et al., 2023; Vasconcelos et al., 2023; Cabrera et al., 2023).</w:t>
      </w:r>
    </w:p>
    <w:p w14:paraId="10CDC322" w14:textId="77777777" w:rsidR="00505E44" w:rsidRPr="00505E44" w:rsidRDefault="00505E44" w:rsidP="00505E44">
      <w:pPr>
        <w:spacing w:before="100" w:beforeAutospacing="1" w:after="100" w:afterAutospacing="1" w:line="240" w:lineRule="auto"/>
        <w:outlineLvl w:val="1"/>
        <w:rPr>
          <w:rFonts w:eastAsia="Times New Roman"/>
          <w:b/>
          <w:bCs/>
          <w:sz w:val="36"/>
          <w:szCs w:val="36"/>
          <w:lang w:val="en-US" w:eastAsia="de-DE"/>
        </w:rPr>
      </w:pPr>
      <w:r w:rsidRPr="00505E44">
        <w:rPr>
          <w:rFonts w:eastAsia="Times New Roman"/>
          <w:b/>
          <w:bCs/>
          <w:sz w:val="36"/>
          <w:szCs w:val="36"/>
          <w:lang w:val="en-US" w:eastAsia="de-DE"/>
        </w:rPr>
        <w:t>5. Practitioner validation protocol</w:t>
      </w:r>
    </w:p>
    <w:p w14:paraId="40C39E7B"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The next empirical stage should validate the framework through structured expert interviews and incident-based constraint stress-testing.</w:t>
      </w:r>
    </w:p>
    <w:p w14:paraId="2BA3B831"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5.1 Participants</w:t>
      </w:r>
    </w:p>
    <w:p w14:paraId="42DDEBAB"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A maximum-variation expert sample should include incident commanders, SREs, platform engineers, security operations specialists, service owners, and risk or audit representatives. This composition reflects the fact that operational autonomy is not only a technical decision. It is also a governance and accountability decision (NIST, 2023; ISO/IEC, 2023).</w:t>
      </w:r>
    </w:p>
    <w:p w14:paraId="56A6DDFB"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5.2 Procedure</w:t>
      </w:r>
    </w:p>
    <w:p w14:paraId="5A9EBE5F"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Each session should last approximately 60 to 75 minutes and proceed in four phases:</w:t>
      </w:r>
    </w:p>
    <w:p w14:paraId="16FA3AB3" w14:textId="77777777" w:rsidR="00505E44" w:rsidRPr="00505E44" w:rsidRDefault="00505E44" w:rsidP="00505E44">
      <w:pPr>
        <w:numPr>
          <w:ilvl w:val="0"/>
          <w:numId w:val="1"/>
        </w:numPr>
        <w:spacing w:before="100" w:beforeAutospacing="1" w:after="100" w:afterAutospacing="1" w:line="240" w:lineRule="auto"/>
        <w:rPr>
          <w:rFonts w:eastAsia="Times New Roman"/>
          <w:lang w:val="en-US" w:eastAsia="de-DE"/>
        </w:rPr>
      </w:pPr>
      <w:r w:rsidRPr="00505E44">
        <w:rPr>
          <w:rFonts w:eastAsia="Times New Roman"/>
          <w:b/>
          <w:bCs/>
          <w:lang w:val="en-US" w:eastAsia="de-DE"/>
        </w:rPr>
        <w:t>Role and context elicitation</w:t>
      </w:r>
      <w:r w:rsidRPr="00505E44">
        <w:rPr>
          <w:rFonts w:eastAsia="Times New Roman"/>
          <w:lang w:val="en-US" w:eastAsia="de-DE"/>
        </w:rPr>
        <w:t>, focused on current incident workflows, approval boundaries, and existing AI use.</w:t>
      </w:r>
    </w:p>
    <w:p w14:paraId="18AAA5FE" w14:textId="77777777" w:rsidR="00505E44" w:rsidRPr="00505E44" w:rsidRDefault="00505E44" w:rsidP="00505E44">
      <w:pPr>
        <w:numPr>
          <w:ilvl w:val="0"/>
          <w:numId w:val="1"/>
        </w:numPr>
        <w:spacing w:before="100" w:beforeAutospacing="1" w:after="100" w:afterAutospacing="1" w:line="240" w:lineRule="auto"/>
        <w:rPr>
          <w:rFonts w:eastAsia="Times New Roman"/>
          <w:lang w:val="en-US" w:eastAsia="de-DE"/>
        </w:rPr>
      </w:pPr>
      <w:r w:rsidRPr="00505E44">
        <w:rPr>
          <w:rFonts w:eastAsia="Times New Roman"/>
          <w:b/>
          <w:bCs/>
          <w:lang w:val="en-US" w:eastAsia="de-DE"/>
        </w:rPr>
        <w:t>Framework introduction</w:t>
      </w:r>
      <w:r w:rsidRPr="00505E44">
        <w:rPr>
          <w:rFonts w:eastAsia="Times New Roman"/>
          <w:lang w:val="en-US" w:eastAsia="de-DE"/>
        </w:rPr>
        <w:t>, where participants review the ORB dimensions and autonomy levels.</w:t>
      </w:r>
    </w:p>
    <w:p w14:paraId="65AEC741" w14:textId="77777777" w:rsidR="00505E44" w:rsidRPr="00505E44" w:rsidRDefault="00505E44" w:rsidP="00505E44">
      <w:pPr>
        <w:numPr>
          <w:ilvl w:val="0"/>
          <w:numId w:val="1"/>
        </w:numPr>
        <w:spacing w:before="100" w:beforeAutospacing="1" w:after="100" w:afterAutospacing="1" w:line="240" w:lineRule="auto"/>
        <w:rPr>
          <w:rFonts w:eastAsia="Times New Roman"/>
          <w:lang w:val="en-US" w:eastAsia="de-DE"/>
        </w:rPr>
      </w:pPr>
      <w:r w:rsidRPr="00505E44">
        <w:rPr>
          <w:rFonts w:eastAsia="Times New Roman"/>
          <w:b/>
          <w:bCs/>
          <w:lang w:val="en-US" w:eastAsia="de-DE"/>
        </w:rPr>
        <w:t>Incident vignette stress-testing</w:t>
      </w:r>
      <w:r w:rsidRPr="00505E44">
        <w:rPr>
          <w:rFonts w:eastAsia="Times New Roman"/>
          <w:lang w:val="en-US" w:eastAsia="de-DE"/>
        </w:rPr>
        <w:t>, where participants assess realistic scenarios and identify the highest acceptable autonomy level.</w:t>
      </w:r>
    </w:p>
    <w:p w14:paraId="7D1EFB7A" w14:textId="77777777" w:rsidR="00505E44" w:rsidRPr="00505E44" w:rsidRDefault="00505E44" w:rsidP="00505E44">
      <w:pPr>
        <w:numPr>
          <w:ilvl w:val="0"/>
          <w:numId w:val="1"/>
        </w:numPr>
        <w:spacing w:before="100" w:beforeAutospacing="1" w:after="100" w:afterAutospacing="1" w:line="240" w:lineRule="auto"/>
        <w:rPr>
          <w:rFonts w:eastAsia="Times New Roman"/>
          <w:lang w:val="en-US" w:eastAsia="de-DE"/>
        </w:rPr>
      </w:pPr>
      <w:r w:rsidRPr="00505E44">
        <w:rPr>
          <w:rFonts w:eastAsia="Times New Roman"/>
          <w:b/>
          <w:bCs/>
          <w:lang w:val="en-US" w:eastAsia="de-DE"/>
        </w:rPr>
        <w:t>Reflective critique</w:t>
      </w:r>
      <w:r w:rsidRPr="00505E44">
        <w:rPr>
          <w:rFonts w:eastAsia="Times New Roman"/>
          <w:lang w:val="en-US" w:eastAsia="de-DE"/>
        </w:rPr>
        <w:t>, where they identify missing variables, unacceptable assumptions, and likely adoption barriers.</w:t>
      </w:r>
    </w:p>
    <w:p w14:paraId="28A2629F"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5.3 Stress-test materials</w:t>
      </w:r>
    </w:p>
    <w:p w14:paraId="78AE256E"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The vignettes should systematically vary observability, reversibility, and blast radius. Examples include a reversible low-risk worker restart, a customer-facing degradation with incomplete telemetry, a third-party dependency failure, and a security-sensitive incident </w:t>
      </w:r>
      <w:r w:rsidRPr="00505E44">
        <w:rPr>
          <w:rFonts w:eastAsia="Times New Roman"/>
          <w:lang w:val="en-US" w:eastAsia="de-DE"/>
        </w:rPr>
        <w:lastRenderedPageBreak/>
        <w:t>where evidence integrity is uncertain. For each vignette, participants should rate ORB conditions, choose an acceptable autonomy ceiling, and specify required controls.</w:t>
      </w:r>
    </w:p>
    <w:p w14:paraId="4BDEEB97" w14:textId="77777777" w:rsidR="00505E44" w:rsidRPr="00505E44" w:rsidRDefault="00505E44" w:rsidP="00505E44">
      <w:pPr>
        <w:spacing w:before="100" w:beforeAutospacing="1" w:after="100" w:afterAutospacing="1" w:line="240" w:lineRule="auto"/>
        <w:outlineLvl w:val="2"/>
        <w:rPr>
          <w:rFonts w:eastAsia="Times New Roman"/>
          <w:b/>
          <w:bCs/>
          <w:sz w:val="27"/>
          <w:szCs w:val="27"/>
          <w:lang w:val="en-US" w:eastAsia="de-DE"/>
        </w:rPr>
      </w:pPr>
      <w:r w:rsidRPr="00505E44">
        <w:rPr>
          <w:rFonts w:eastAsia="Times New Roman"/>
          <w:b/>
          <w:bCs/>
          <w:sz w:val="27"/>
          <w:szCs w:val="27"/>
          <w:lang w:val="en-US" w:eastAsia="de-DE"/>
        </w:rPr>
        <w:t>5.4 Analysis</w:t>
      </w:r>
    </w:p>
    <w:p w14:paraId="4200D8CC"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Interview analysis should combine matrix comparison with thematic coding. The main analytic outputs should be:</w:t>
      </w:r>
      <w:r w:rsidRPr="00505E44">
        <w:rPr>
          <w:rFonts w:eastAsia="Times New Roman"/>
          <w:lang w:val="en-US" w:eastAsia="de-DE"/>
        </w:rPr>
        <w:br/>
        <w:t>(a) recurrent autonomy ceilings;</w:t>
      </w:r>
      <w:r w:rsidRPr="00505E44">
        <w:rPr>
          <w:rFonts w:eastAsia="Times New Roman"/>
          <w:lang w:val="en-US" w:eastAsia="de-DE"/>
        </w:rPr>
        <w:br/>
        <w:t xml:space="preserve">(b) controls </w:t>
      </w:r>
      <w:proofErr w:type="gramStart"/>
      <w:r w:rsidRPr="00505E44">
        <w:rPr>
          <w:rFonts w:eastAsia="Times New Roman"/>
          <w:lang w:val="en-US" w:eastAsia="de-DE"/>
        </w:rPr>
        <w:t>that participants</w:t>
      </w:r>
      <w:proofErr w:type="gramEnd"/>
      <w:r w:rsidRPr="00505E44">
        <w:rPr>
          <w:rFonts w:eastAsia="Times New Roman"/>
          <w:lang w:val="en-US" w:eastAsia="de-DE"/>
        </w:rPr>
        <w:t xml:space="preserve"> view as non-negotiable;</w:t>
      </w:r>
      <w:r w:rsidRPr="00505E44">
        <w:rPr>
          <w:rFonts w:eastAsia="Times New Roman"/>
          <w:lang w:val="en-US" w:eastAsia="de-DE"/>
        </w:rPr>
        <w:br/>
        <w:t>(c) role-based disagreements; and</w:t>
      </w:r>
      <w:r w:rsidRPr="00505E44">
        <w:rPr>
          <w:rFonts w:eastAsia="Times New Roman"/>
          <w:lang w:val="en-US" w:eastAsia="de-DE"/>
        </w:rPr>
        <w:br/>
        <w:t>(d) proposed refinements to the artifact.</w:t>
      </w:r>
    </w:p>
    <w:p w14:paraId="3589D4E4" w14:textId="77777777" w:rsidR="00505E44" w:rsidRPr="00505E44" w:rsidRDefault="00505E44" w:rsidP="00505E44">
      <w:pPr>
        <w:spacing w:before="100" w:beforeAutospacing="1" w:after="100" w:afterAutospacing="1" w:line="240" w:lineRule="auto"/>
        <w:outlineLvl w:val="1"/>
        <w:rPr>
          <w:rFonts w:eastAsia="Times New Roman"/>
          <w:b/>
          <w:bCs/>
          <w:sz w:val="36"/>
          <w:szCs w:val="36"/>
          <w:lang w:val="en-US" w:eastAsia="de-DE"/>
        </w:rPr>
      </w:pPr>
      <w:r w:rsidRPr="00505E44">
        <w:rPr>
          <w:rFonts w:eastAsia="Times New Roman"/>
          <w:b/>
          <w:bCs/>
          <w:sz w:val="36"/>
          <w:szCs w:val="36"/>
          <w:lang w:val="en-US" w:eastAsia="de-DE"/>
        </w:rPr>
        <w:t>6. Fictional personas as design probes, not data</w:t>
      </w:r>
    </w:p>
    <w:p w14:paraId="03B8ECF3"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Before real interviews, fictional personas can be used only as </w:t>
      </w:r>
      <w:r w:rsidRPr="00505E44">
        <w:rPr>
          <w:rFonts w:eastAsia="Times New Roman"/>
          <w:b/>
          <w:bCs/>
          <w:lang w:val="en-US" w:eastAsia="de-DE"/>
        </w:rPr>
        <w:t>internal design probes</w:t>
      </w:r>
      <w:r w:rsidRPr="00505E44">
        <w:rPr>
          <w:rFonts w:eastAsia="Times New Roman"/>
          <w:lang w:val="en-US" w:eastAsia="de-DE"/>
        </w:rPr>
        <w:t xml:space="preserve"> to test the interview guide and framework logic.</w:t>
      </w:r>
    </w:p>
    <w:p w14:paraId="6866C9A4"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A senior incident commander persona typically pressures escalation logic and override rights.</w:t>
      </w:r>
      <w:r w:rsidRPr="00505E44">
        <w:rPr>
          <w:rFonts w:eastAsia="Times New Roman"/>
          <w:lang w:val="en-US" w:eastAsia="de-DE"/>
        </w:rPr>
        <w:br/>
        <w:t>A platform product owner persona pressures standardization and policy-as-code.</w:t>
      </w:r>
      <w:r w:rsidRPr="00505E44">
        <w:rPr>
          <w:rFonts w:eastAsia="Times New Roman"/>
          <w:lang w:val="en-US" w:eastAsia="de-DE"/>
        </w:rPr>
        <w:br/>
        <w:t>A security lead persona pressures exclusion zones, provenance, and data boundaries.</w:t>
      </w:r>
      <w:r w:rsidRPr="00505E44">
        <w:rPr>
          <w:rFonts w:eastAsia="Times New Roman"/>
          <w:lang w:val="en-US" w:eastAsia="de-DE"/>
        </w:rPr>
        <w:br/>
        <w:t>A service owner persona pressures reputational and legal blast radius.</w:t>
      </w:r>
      <w:r w:rsidRPr="00505E44">
        <w:rPr>
          <w:rFonts w:eastAsia="Times New Roman"/>
          <w:lang w:val="en-US" w:eastAsia="de-DE"/>
        </w:rPr>
        <w:br/>
        <w:t>A risk officer persona pressures auditability and documented authority.</w:t>
      </w:r>
      <w:r w:rsidRPr="00505E44">
        <w:rPr>
          <w:rFonts w:eastAsia="Times New Roman"/>
          <w:lang w:val="en-US" w:eastAsia="de-DE"/>
        </w:rPr>
        <w:br/>
        <w:t>An on-call engineer persona pressures evidence quality and workflow fit.</w:t>
      </w:r>
    </w:p>
    <w:p w14:paraId="4A528E97"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These personas are useful for sharpening the article’s conceptual completeness, but they are </w:t>
      </w:r>
      <w:r w:rsidRPr="00505E44">
        <w:rPr>
          <w:rFonts w:eastAsia="Times New Roman"/>
          <w:b/>
          <w:bCs/>
          <w:lang w:val="en-US" w:eastAsia="de-DE"/>
        </w:rPr>
        <w:t>not</w:t>
      </w:r>
      <w:r w:rsidRPr="00505E44">
        <w:rPr>
          <w:rFonts w:eastAsia="Times New Roman"/>
          <w:lang w:val="en-US" w:eastAsia="de-DE"/>
        </w:rPr>
        <w:t xml:space="preserve"> empirical evidence and should never be presented as findings.</w:t>
      </w:r>
    </w:p>
    <w:p w14:paraId="5C3513EA" w14:textId="77777777" w:rsidR="00505E44" w:rsidRPr="00505E44" w:rsidRDefault="00505E44" w:rsidP="00505E44">
      <w:pPr>
        <w:spacing w:before="100" w:beforeAutospacing="1" w:after="100" w:afterAutospacing="1" w:line="240" w:lineRule="auto"/>
        <w:outlineLvl w:val="1"/>
        <w:rPr>
          <w:rFonts w:eastAsia="Times New Roman"/>
          <w:b/>
          <w:bCs/>
          <w:sz w:val="36"/>
          <w:szCs w:val="36"/>
          <w:lang w:val="en-US" w:eastAsia="de-DE"/>
        </w:rPr>
      </w:pPr>
      <w:r w:rsidRPr="00505E44">
        <w:rPr>
          <w:rFonts w:eastAsia="Times New Roman"/>
          <w:b/>
          <w:bCs/>
          <w:sz w:val="36"/>
          <w:szCs w:val="36"/>
          <w:lang w:val="en-US" w:eastAsia="de-DE"/>
        </w:rPr>
        <w:t>7. Discussion</w:t>
      </w:r>
    </w:p>
    <w:p w14:paraId="7B49E8C6"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The main theoretical contribution of this paper is to move trust calibration from a mostly human-factors problem into a software operations and governance problem. Prior trust-in-automation research explains why appropriate reliance matters, but it does not directly specify how to assign operational action rights in live incident contexts (Lee &amp; See, 2004; Hoff &amp; Bashir, 2015). By contrast, the proposed artifact turns trust calibration into a structured autonomy decision grounded in operational constraints and governance mechanisms.</w:t>
      </w:r>
    </w:p>
    <w:p w14:paraId="5D73DBEE"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The paper also contributes to software engineering. Current research on AI-powered developer tools shows that trust shapes uptake, oversight behavior, and validation effort (Johnson et al., 2023; Wang et al., 2024; Murillo et al., 2024; </w:t>
      </w:r>
      <w:proofErr w:type="spellStart"/>
      <w:r w:rsidRPr="00505E44">
        <w:rPr>
          <w:rFonts w:eastAsia="Times New Roman"/>
          <w:lang w:val="en-US" w:eastAsia="de-DE"/>
        </w:rPr>
        <w:t>Sabouri</w:t>
      </w:r>
      <w:proofErr w:type="spellEnd"/>
      <w:r w:rsidRPr="00505E44">
        <w:rPr>
          <w:rFonts w:eastAsia="Times New Roman"/>
          <w:lang w:val="en-US" w:eastAsia="de-DE"/>
        </w:rPr>
        <w:t xml:space="preserve"> et al., 2025). This paper extends that line of thinking from code generation and developer tooling into platform operations, where the consequences of miscalibration can be more immediate and systemic.</w:t>
      </w:r>
    </w:p>
    <w:p w14:paraId="40C917CC"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The practical contribution is a reusable decision model for organizations that want to move beyond vague “human in the loop” language. The framework specifies </w:t>
      </w:r>
      <w:r w:rsidRPr="00505E44">
        <w:rPr>
          <w:rFonts w:eastAsia="Times New Roman"/>
          <w:b/>
          <w:bCs/>
          <w:lang w:val="en-US" w:eastAsia="de-DE"/>
        </w:rPr>
        <w:t>what kind of human control</w:t>
      </w:r>
      <w:r w:rsidRPr="00505E44">
        <w:rPr>
          <w:rFonts w:eastAsia="Times New Roman"/>
          <w:lang w:val="en-US" w:eastAsia="de-DE"/>
        </w:rPr>
        <w:t xml:space="preserve">, </w:t>
      </w:r>
      <w:r w:rsidRPr="00505E44">
        <w:rPr>
          <w:rFonts w:eastAsia="Times New Roman"/>
          <w:b/>
          <w:bCs/>
          <w:lang w:val="en-US" w:eastAsia="de-DE"/>
        </w:rPr>
        <w:t>for which actions</w:t>
      </w:r>
      <w:r w:rsidRPr="00505E44">
        <w:rPr>
          <w:rFonts w:eastAsia="Times New Roman"/>
          <w:lang w:val="en-US" w:eastAsia="de-DE"/>
        </w:rPr>
        <w:t xml:space="preserve">, </w:t>
      </w:r>
      <w:r w:rsidRPr="00505E44">
        <w:rPr>
          <w:rFonts w:eastAsia="Times New Roman"/>
          <w:b/>
          <w:bCs/>
          <w:lang w:val="en-US" w:eastAsia="de-DE"/>
        </w:rPr>
        <w:t>under which evidentiary conditions</w:t>
      </w:r>
      <w:r w:rsidRPr="00505E44">
        <w:rPr>
          <w:rFonts w:eastAsia="Times New Roman"/>
          <w:lang w:val="en-US" w:eastAsia="de-DE"/>
        </w:rPr>
        <w:t xml:space="preserve">, and </w:t>
      </w:r>
      <w:r w:rsidRPr="00505E44">
        <w:rPr>
          <w:rFonts w:eastAsia="Times New Roman"/>
          <w:b/>
          <w:bCs/>
          <w:lang w:val="en-US" w:eastAsia="de-DE"/>
        </w:rPr>
        <w:t>with what reviewability</w:t>
      </w:r>
      <w:r w:rsidRPr="00505E44">
        <w:rPr>
          <w:rFonts w:eastAsia="Times New Roman"/>
          <w:lang w:val="en-US" w:eastAsia="de-DE"/>
        </w:rPr>
        <w:t>. This is especially relevant for public-sector and regulated settings, where the social blast radius of operational mistakes may be larger than the purely technical blast radius.</w:t>
      </w:r>
    </w:p>
    <w:p w14:paraId="7DA2BAE2"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lastRenderedPageBreak/>
        <w:t xml:space="preserve">Finally, the paper suggests that the relevant unit of trust is not the agent as such, but the </w:t>
      </w:r>
      <w:r w:rsidRPr="00505E44">
        <w:rPr>
          <w:rFonts w:eastAsia="Times New Roman"/>
          <w:b/>
          <w:bCs/>
          <w:lang w:val="en-US" w:eastAsia="de-DE"/>
        </w:rPr>
        <w:t>agent-task-context-control configuration</w:t>
      </w:r>
      <w:r w:rsidRPr="00505E44">
        <w:rPr>
          <w:rFonts w:eastAsia="Times New Roman"/>
          <w:lang w:val="en-US" w:eastAsia="de-DE"/>
        </w:rPr>
        <w:t>. This reframing helps avoid a common failure mode in AI adoption, namely granting too much or too little trust based on generic impressions of the tool rather than on bounded operational analysis.</w:t>
      </w:r>
    </w:p>
    <w:p w14:paraId="66E85EC5" w14:textId="77777777" w:rsidR="00505E44" w:rsidRPr="00505E44" w:rsidRDefault="00505E44" w:rsidP="00505E44">
      <w:pPr>
        <w:spacing w:before="100" w:beforeAutospacing="1" w:after="100" w:afterAutospacing="1" w:line="240" w:lineRule="auto"/>
        <w:outlineLvl w:val="1"/>
        <w:rPr>
          <w:rFonts w:eastAsia="Times New Roman"/>
          <w:b/>
          <w:bCs/>
          <w:sz w:val="36"/>
          <w:szCs w:val="36"/>
          <w:lang w:val="en-US" w:eastAsia="de-DE"/>
        </w:rPr>
      </w:pPr>
      <w:r w:rsidRPr="00505E44">
        <w:rPr>
          <w:rFonts w:eastAsia="Times New Roman"/>
          <w:b/>
          <w:bCs/>
          <w:sz w:val="36"/>
          <w:szCs w:val="36"/>
          <w:lang w:val="en-US" w:eastAsia="de-DE"/>
        </w:rPr>
        <w:t>8. Limitations</w:t>
      </w:r>
    </w:p>
    <w:p w14:paraId="7B889057"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This paper has three clear limitations. First, it does not yet report completed practitioner validation. Second, the framework is vendor-neutral by design, which supports transferability but leaves implementation details for later work. Third, the design probes used before interviews are fictional and should be treated only as rehearsal instruments. These limitations are acceptable at the current stage because the contribution is a design-science artifact plus validation protocol, not a completed field evaluation.</w:t>
      </w:r>
    </w:p>
    <w:p w14:paraId="41166592" w14:textId="77777777" w:rsidR="00505E44" w:rsidRPr="00505E44" w:rsidRDefault="00505E44" w:rsidP="00505E44">
      <w:pPr>
        <w:spacing w:before="100" w:beforeAutospacing="1" w:after="100" w:afterAutospacing="1" w:line="240" w:lineRule="auto"/>
        <w:outlineLvl w:val="1"/>
        <w:rPr>
          <w:rFonts w:eastAsia="Times New Roman"/>
          <w:b/>
          <w:bCs/>
          <w:sz w:val="36"/>
          <w:szCs w:val="36"/>
          <w:lang w:val="en-US" w:eastAsia="de-DE"/>
        </w:rPr>
      </w:pPr>
      <w:r w:rsidRPr="00505E44">
        <w:rPr>
          <w:rFonts w:eastAsia="Times New Roman"/>
          <w:b/>
          <w:bCs/>
          <w:sz w:val="36"/>
          <w:szCs w:val="36"/>
          <w:lang w:val="en-US" w:eastAsia="de-DE"/>
        </w:rPr>
        <w:t>9. Conclusion</w:t>
      </w:r>
    </w:p>
    <w:p w14:paraId="13437792" w14:textId="77777777" w:rsidR="00505E44" w:rsidRPr="00505E44" w:rsidRDefault="00505E44" w:rsidP="00505E44">
      <w:pPr>
        <w:spacing w:before="100" w:beforeAutospacing="1" w:after="100" w:afterAutospacing="1" w:line="240" w:lineRule="auto"/>
        <w:rPr>
          <w:rFonts w:eastAsia="Times New Roman"/>
          <w:lang w:val="en-US" w:eastAsia="de-DE"/>
        </w:rPr>
      </w:pPr>
      <w:r w:rsidRPr="00505E44">
        <w:rPr>
          <w:rFonts w:eastAsia="Times New Roman"/>
          <w:lang w:val="en-US" w:eastAsia="de-DE"/>
        </w:rPr>
        <w:t>Operational AI in production should not be framed as a binary choice between assistance and autonomy. The meaningful question is how much autonomy is justified for which tasks, under which conditions, and with what safeguards. This paper proposes an answer through the Operational Trust Calibration Framework, which combines observability, reversibility, and blast radius with a governance envelope of approval authority, auditability, override, policy fit, evidence requirements, and staged deployment. The framework offers a practical basis for organizations seeking to adopt operational AI without confusing technical capability with organizational readiness.</w:t>
      </w:r>
    </w:p>
    <w:p w14:paraId="1E4ED43D" w14:textId="77777777" w:rsidR="00505E44" w:rsidRPr="00505E44" w:rsidRDefault="00505E44" w:rsidP="00505E44">
      <w:pPr>
        <w:spacing w:before="100" w:beforeAutospacing="1" w:after="100" w:afterAutospacing="1" w:line="240" w:lineRule="auto"/>
        <w:outlineLvl w:val="1"/>
        <w:rPr>
          <w:rFonts w:eastAsia="Times New Roman"/>
          <w:b/>
          <w:bCs/>
          <w:sz w:val="36"/>
          <w:szCs w:val="36"/>
          <w:lang w:eastAsia="de-DE"/>
        </w:rPr>
      </w:pPr>
      <w:r w:rsidRPr="00505E44">
        <w:rPr>
          <w:rFonts w:eastAsia="Times New Roman"/>
          <w:b/>
          <w:bCs/>
          <w:sz w:val="36"/>
          <w:szCs w:val="36"/>
          <w:lang w:eastAsia="de-DE"/>
        </w:rPr>
        <w:t>References</w:t>
      </w:r>
    </w:p>
    <w:p w14:paraId="5130E47A"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eastAsia="de-DE"/>
        </w:rPr>
        <w:t xml:space="preserve">Ahmed, T., Ghosh, S., </w:t>
      </w:r>
      <w:proofErr w:type="spellStart"/>
      <w:r w:rsidRPr="00505E44">
        <w:rPr>
          <w:rFonts w:eastAsia="Times New Roman"/>
          <w:lang w:eastAsia="de-DE"/>
        </w:rPr>
        <w:t>Bansal</w:t>
      </w:r>
      <w:proofErr w:type="spellEnd"/>
      <w:r w:rsidRPr="00505E44">
        <w:rPr>
          <w:rFonts w:eastAsia="Times New Roman"/>
          <w:lang w:eastAsia="de-DE"/>
        </w:rPr>
        <w:t xml:space="preserve">, C., Zimmermann, T., Zhang, X., &amp; </w:t>
      </w:r>
      <w:proofErr w:type="spellStart"/>
      <w:r w:rsidRPr="00505E44">
        <w:rPr>
          <w:rFonts w:eastAsia="Times New Roman"/>
          <w:lang w:eastAsia="de-DE"/>
        </w:rPr>
        <w:t>Rajmohan</w:t>
      </w:r>
      <w:proofErr w:type="spellEnd"/>
      <w:r w:rsidRPr="00505E44">
        <w:rPr>
          <w:rFonts w:eastAsia="Times New Roman"/>
          <w:lang w:eastAsia="de-DE"/>
        </w:rPr>
        <w:t xml:space="preserve">, S. (2023). </w:t>
      </w:r>
      <w:r w:rsidRPr="00505E44">
        <w:rPr>
          <w:rFonts w:eastAsia="Times New Roman"/>
          <w:lang w:val="en-US" w:eastAsia="de-DE"/>
        </w:rPr>
        <w:t xml:space="preserve">Recommending root-cause and mitigation steps for cloud incidents using large language models. In </w:t>
      </w:r>
      <w:r w:rsidRPr="00505E44">
        <w:rPr>
          <w:rFonts w:eastAsia="Times New Roman"/>
          <w:i/>
          <w:iCs/>
          <w:lang w:val="en-US" w:eastAsia="de-DE"/>
        </w:rPr>
        <w:t>Proceedings of the 45th International Conference on Software Engineering</w:t>
      </w:r>
      <w:r w:rsidRPr="00505E44">
        <w:rPr>
          <w:rFonts w:eastAsia="Times New Roman"/>
          <w:lang w:val="en-US" w:eastAsia="de-DE"/>
        </w:rPr>
        <w:t xml:space="preserve"> (pp. 1737-1749). doi:10.1109/ICSE48619.2023.00149</w:t>
      </w:r>
    </w:p>
    <w:p w14:paraId="5BB9FEA0"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proofErr w:type="spellStart"/>
      <w:r w:rsidRPr="00505E44">
        <w:rPr>
          <w:rFonts w:eastAsia="Times New Roman"/>
          <w:lang w:val="en-US" w:eastAsia="de-DE"/>
        </w:rPr>
        <w:t>Amershi</w:t>
      </w:r>
      <w:proofErr w:type="spellEnd"/>
      <w:r w:rsidRPr="00505E44">
        <w:rPr>
          <w:rFonts w:eastAsia="Times New Roman"/>
          <w:lang w:val="en-US" w:eastAsia="de-DE"/>
        </w:rPr>
        <w:t xml:space="preserve">, S., Weld, D., </w:t>
      </w:r>
      <w:proofErr w:type="spellStart"/>
      <w:r w:rsidRPr="00505E44">
        <w:rPr>
          <w:rFonts w:eastAsia="Times New Roman"/>
          <w:lang w:val="en-US" w:eastAsia="de-DE"/>
        </w:rPr>
        <w:t>Vorvoreanu</w:t>
      </w:r>
      <w:proofErr w:type="spellEnd"/>
      <w:r w:rsidRPr="00505E44">
        <w:rPr>
          <w:rFonts w:eastAsia="Times New Roman"/>
          <w:lang w:val="en-US" w:eastAsia="de-DE"/>
        </w:rPr>
        <w:t xml:space="preserve">, M., </w:t>
      </w:r>
      <w:proofErr w:type="spellStart"/>
      <w:r w:rsidRPr="00505E44">
        <w:rPr>
          <w:rFonts w:eastAsia="Times New Roman"/>
          <w:lang w:val="en-US" w:eastAsia="de-DE"/>
        </w:rPr>
        <w:t>Fourney</w:t>
      </w:r>
      <w:proofErr w:type="spellEnd"/>
      <w:r w:rsidRPr="00505E44">
        <w:rPr>
          <w:rFonts w:eastAsia="Times New Roman"/>
          <w:lang w:val="en-US" w:eastAsia="de-DE"/>
        </w:rPr>
        <w:t xml:space="preserve">, A., </w:t>
      </w:r>
      <w:proofErr w:type="spellStart"/>
      <w:r w:rsidRPr="00505E44">
        <w:rPr>
          <w:rFonts w:eastAsia="Times New Roman"/>
          <w:lang w:val="en-US" w:eastAsia="de-DE"/>
        </w:rPr>
        <w:t>Nushi</w:t>
      </w:r>
      <w:proofErr w:type="spellEnd"/>
      <w:r w:rsidRPr="00505E44">
        <w:rPr>
          <w:rFonts w:eastAsia="Times New Roman"/>
          <w:lang w:val="en-US" w:eastAsia="de-DE"/>
        </w:rPr>
        <w:t xml:space="preserve">, B., </w:t>
      </w:r>
      <w:proofErr w:type="spellStart"/>
      <w:r w:rsidRPr="00505E44">
        <w:rPr>
          <w:rFonts w:eastAsia="Times New Roman"/>
          <w:lang w:val="en-US" w:eastAsia="de-DE"/>
        </w:rPr>
        <w:t>Collisson</w:t>
      </w:r>
      <w:proofErr w:type="spellEnd"/>
      <w:r w:rsidRPr="00505E44">
        <w:rPr>
          <w:rFonts w:eastAsia="Times New Roman"/>
          <w:lang w:val="en-US" w:eastAsia="de-DE"/>
        </w:rPr>
        <w:t xml:space="preserve">, P., Suh, J., Iqbal, S. T., Bennett, P. N., </w:t>
      </w:r>
      <w:proofErr w:type="spellStart"/>
      <w:r w:rsidRPr="00505E44">
        <w:rPr>
          <w:rFonts w:eastAsia="Times New Roman"/>
          <w:lang w:val="en-US" w:eastAsia="de-DE"/>
        </w:rPr>
        <w:t>Inkpen</w:t>
      </w:r>
      <w:proofErr w:type="spellEnd"/>
      <w:r w:rsidRPr="00505E44">
        <w:rPr>
          <w:rFonts w:eastAsia="Times New Roman"/>
          <w:lang w:val="en-US" w:eastAsia="de-DE"/>
        </w:rPr>
        <w:t xml:space="preserve">, K., </w:t>
      </w:r>
      <w:proofErr w:type="spellStart"/>
      <w:r w:rsidRPr="00505E44">
        <w:rPr>
          <w:rFonts w:eastAsia="Times New Roman"/>
          <w:lang w:val="en-US" w:eastAsia="de-DE"/>
        </w:rPr>
        <w:t>Teevan</w:t>
      </w:r>
      <w:proofErr w:type="spellEnd"/>
      <w:r w:rsidRPr="00505E44">
        <w:rPr>
          <w:rFonts w:eastAsia="Times New Roman"/>
          <w:lang w:val="en-US" w:eastAsia="de-DE"/>
        </w:rPr>
        <w:t xml:space="preserve">, J., </w:t>
      </w:r>
      <w:proofErr w:type="spellStart"/>
      <w:r w:rsidRPr="00505E44">
        <w:rPr>
          <w:rFonts w:eastAsia="Times New Roman"/>
          <w:lang w:val="en-US" w:eastAsia="de-DE"/>
        </w:rPr>
        <w:t>Kikin</w:t>
      </w:r>
      <w:proofErr w:type="spellEnd"/>
      <w:r w:rsidRPr="00505E44">
        <w:rPr>
          <w:rFonts w:eastAsia="Times New Roman"/>
          <w:lang w:val="en-US" w:eastAsia="de-DE"/>
        </w:rPr>
        <w:t xml:space="preserve">-Gil, R., &amp; Horvitz, E. (2019). Guidelines for human-AI interaction. In </w:t>
      </w:r>
      <w:r w:rsidRPr="00505E44">
        <w:rPr>
          <w:rFonts w:eastAsia="Times New Roman"/>
          <w:i/>
          <w:iCs/>
          <w:lang w:val="en-US" w:eastAsia="de-DE"/>
        </w:rPr>
        <w:t>Proceedings of the 2019 CHI Conference on Human Factors in Computing Systems</w:t>
      </w:r>
      <w:r w:rsidRPr="00505E44">
        <w:rPr>
          <w:rFonts w:eastAsia="Times New Roman"/>
          <w:lang w:val="en-US" w:eastAsia="de-DE"/>
        </w:rPr>
        <w:t xml:space="preserve"> (pp. 1-13). doi:10.1145/3290605.3300233</w:t>
      </w:r>
    </w:p>
    <w:p w14:paraId="096A25F5"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pt-BR" w:eastAsia="de-DE"/>
        </w:rPr>
        <w:t xml:space="preserve">Bansal, G., Wu, T., Zhou, J., Fok, R., Nushi, B., Kamar, E., Ribeiro, M. T., &amp; Weld, D. S. (2021). </w:t>
      </w:r>
      <w:r w:rsidRPr="00505E44">
        <w:rPr>
          <w:rFonts w:eastAsia="Times New Roman"/>
          <w:lang w:val="en-US" w:eastAsia="de-DE"/>
        </w:rPr>
        <w:t xml:space="preserve">Does the whole exceed its parts? The effect of AI explanations on complementary team performance. In </w:t>
      </w:r>
      <w:r w:rsidRPr="00505E44">
        <w:rPr>
          <w:rFonts w:eastAsia="Times New Roman"/>
          <w:i/>
          <w:iCs/>
          <w:lang w:val="en-US" w:eastAsia="de-DE"/>
        </w:rPr>
        <w:t>Proceedings of the 2021 CHI Conference on Human Factors in Computing Systems</w:t>
      </w:r>
      <w:r w:rsidRPr="00505E44">
        <w:rPr>
          <w:rFonts w:eastAsia="Times New Roman"/>
          <w:lang w:val="en-US" w:eastAsia="de-DE"/>
        </w:rPr>
        <w:t xml:space="preserve"> (pp. 1-16). doi:10.1145/3411764.3445717</w:t>
      </w:r>
    </w:p>
    <w:p w14:paraId="483ED5B6"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s-AR" w:eastAsia="de-DE"/>
        </w:rPr>
        <w:t>Basha</w:t>
      </w:r>
      <w:proofErr w:type="spellEnd"/>
      <w:r w:rsidRPr="00505E44">
        <w:rPr>
          <w:rFonts w:eastAsia="Times New Roman"/>
          <w:lang w:val="es-AR" w:eastAsia="de-DE"/>
        </w:rPr>
        <w:t xml:space="preserve">, M., &amp; Rodríguez-Pérez, G. (2025). </w:t>
      </w:r>
      <w:r w:rsidRPr="00505E44">
        <w:rPr>
          <w:rFonts w:eastAsia="Times New Roman"/>
          <w:lang w:val="en-US" w:eastAsia="de-DE"/>
        </w:rPr>
        <w:t xml:space="preserve">Trust, transparency, and adoption in generative AI for software engineering: Insights from Twitter discourse. </w:t>
      </w:r>
      <w:r w:rsidRPr="00505E44">
        <w:rPr>
          <w:rFonts w:eastAsia="Times New Roman"/>
          <w:i/>
          <w:iCs/>
          <w:lang w:eastAsia="de-DE"/>
        </w:rPr>
        <w:t>Information and Software Technology, 186</w:t>
      </w:r>
      <w:r w:rsidRPr="00505E44">
        <w:rPr>
          <w:rFonts w:eastAsia="Times New Roman"/>
          <w:lang w:eastAsia="de-DE"/>
        </w:rPr>
        <w:t xml:space="preserve">, 107804. </w:t>
      </w:r>
      <w:proofErr w:type="gramStart"/>
      <w:r w:rsidRPr="00505E44">
        <w:rPr>
          <w:rFonts w:eastAsia="Times New Roman"/>
          <w:lang w:eastAsia="de-DE"/>
        </w:rPr>
        <w:t>doi:10.1016/j.infsof</w:t>
      </w:r>
      <w:proofErr w:type="gramEnd"/>
      <w:r w:rsidRPr="00505E44">
        <w:rPr>
          <w:rFonts w:eastAsia="Times New Roman"/>
          <w:lang w:eastAsia="de-DE"/>
        </w:rPr>
        <w:t>.2025.107804</w:t>
      </w:r>
    </w:p>
    <w:p w14:paraId="2D997951"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Beyer, B., Jones, C., </w:t>
      </w:r>
      <w:proofErr w:type="spellStart"/>
      <w:r w:rsidRPr="00505E44">
        <w:rPr>
          <w:rFonts w:eastAsia="Times New Roman"/>
          <w:lang w:val="en-US" w:eastAsia="de-DE"/>
        </w:rPr>
        <w:t>Petoff</w:t>
      </w:r>
      <w:proofErr w:type="spellEnd"/>
      <w:r w:rsidRPr="00505E44">
        <w:rPr>
          <w:rFonts w:eastAsia="Times New Roman"/>
          <w:lang w:val="en-US" w:eastAsia="de-DE"/>
        </w:rPr>
        <w:t xml:space="preserve">, J., &amp; Murphy, N. R. (Eds.). (2016). </w:t>
      </w:r>
      <w:r w:rsidRPr="00505E44">
        <w:rPr>
          <w:rFonts w:eastAsia="Times New Roman"/>
          <w:i/>
          <w:iCs/>
          <w:lang w:val="en-US" w:eastAsia="de-DE"/>
        </w:rPr>
        <w:t>Site reliability engineering: How Google runs production systems</w:t>
      </w:r>
      <w:r w:rsidRPr="00505E44">
        <w:rPr>
          <w:rFonts w:eastAsia="Times New Roman"/>
          <w:lang w:val="en-US" w:eastAsia="de-DE"/>
        </w:rPr>
        <w:t xml:space="preserve">. </w:t>
      </w:r>
      <w:r w:rsidRPr="00505E44">
        <w:rPr>
          <w:rFonts w:eastAsia="Times New Roman"/>
          <w:lang w:eastAsia="de-DE"/>
        </w:rPr>
        <w:t>O’Reilly Media.</w:t>
      </w:r>
    </w:p>
    <w:p w14:paraId="73CFD5DD"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s-AR" w:eastAsia="de-DE"/>
        </w:rPr>
        <w:t xml:space="preserve">Beyer, B., Jones, C., Murphy, N. R., &amp; </w:t>
      </w:r>
      <w:proofErr w:type="spellStart"/>
      <w:r w:rsidRPr="00505E44">
        <w:rPr>
          <w:rFonts w:eastAsia="Times New Roman"/>
          <w:lang w:val="es-AR" w:eastAsia="de-DE"/>
        </w:rPr>
        <w:t>Rensin</w:t>
      </w:r>
      <w:proofErr w:type="spellEnd"/>
      <w:r w:rsidRPr="00505E44">
        <w:rPr>
          <w:rFonts w:eastAsia="Times New Roman"/>
          <w:lang w:val="es-AR" w:eastAsia="de-DE"/>
        </w:rPr>
        <w:t xml:space="preserve">, D. (Eds.). </w:t>
      </w:r>
      <w:r w:rsidRPr="00505E44">
        <w:rPr>
          <w:rFonts w:eastAsia="Times New Roman"/>
          <w:lang w:val="en-US" w:eastAsia="de-DE"/>
        </w:rPr>
        <w:t xml:space="preserve">(2018). </w:t>
      </w:r>
      <w:r w:rsidRPr="00505E44">
        <w:rPr>
          <w:rFonts w:eastAsia="Times New Roman"/>
          <w:i/>
          <w:iCs/>
          <w:lang w:val="en-US" w:eastAsia="de-DE"/>
        </w:rPr>
        <w:t>The site reliability workbook: Practical ways to implement SRE</w:t>
      </w:r>
      <w:r w:rsidRPr="00505E44">
        <w:rPr>
          <w:rFonts w:eastAsia="Times New Roman"/>
          <w:lang w:val="en-US" w:eastAsia="de-DE"/>
        </w:rPr>
        <w:t xml:space="preserve">. </w:t>
      </w:r>
      <w:r w:rsidRPr="00505E44">
        <w:rPr>
          <w:rFonts w:eastAsia="Times New Roman"/>
          <w:lang w:eastAsia="de-DE"/>
        </w:rPr>
        <w:t>O’Reilly Media.</w:t>
      </w:r>
    </w:p>
    <w:p w14:paraId="074C7D65"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lastRenderedPageBreak/>
        <w:t xml:space="preserve">Brereton, P., </w:t>
      </w:r>
      <w:proofErr w:type="spellStart"/>
      <w:r w:rsidRPr="00505E44">
        <w:rPr>
          <w:rFonts w:eastAsia="Times New Roman"/>
          <w:lang w:val="en-US" w:eastAsia="de-DE"/>
        </w:rPr>
        <w:t>Kitchenham</w:t>
      </w:r>
      <w:proofErr w:type="spellEnd"/>
      <w:r w:rsidRPr="00505E44">
        <w:rPr>
          <w:rFonts w:eastAsia="Times New Roman"/>
          <w:lang w:val="en-US" w:eastAsia="de-DE"/>
        </w:rPr>
        <w:t xml:space="preserve">, B. A., </w:t>
      </w:r>
      <w:proofErr w:type="spellStart"/>
      <w:r w:rsidRPr="00505E44">
        <w:rPr>
          <w:rFonts w:eastAsia="Times New Roman"/>
          <w:lang w:val="en-US" w:eastAsia="de-DE"/>
        </w:rPr>
        <w:t>Budgen</w:t>
      </w:r>
      <w:proofErr w:type="spellEnd"/>
      <w:r w:rsidRPr="00505E44">
        <w:rPr>
          <w:rFonts w:eastAsia="Times New Roman"/>
          <w:lang w:val="en-US" w:eastAsia="de-DE"/>
        </w:rPr>
        <w:t xml:space="preserve">, D., Turner, M., &amp; Khalil, M. (2007). Lessons from applying the systematic literature review process within the software engineering domain. </w:t>
      </w:r>
      <w:r w:rsidRPr="00505E44">
        <w:rPr>
          <w:rFonts w:eastAsia="Times New Roman"/>
          <w:i/>
          <w:iCs/>
          <w:lang w:eastAsia="de-DE"/>
        </w:rPr>
        <w:t>Journal of Systems and Software, 80</w:t>
      </w:r>
      <w:r w:rsidRPr="00505E44">
        <w:rPr>
          <w:rFonts w:eastAsia="Times New Roman"/>
          <w:lang w:eastAsia="de-DE"/>
        </w:rPr>
        <w:t xml:space="preserve">(4), 571-583. </w:t>
      </w:r>
      <w:proofErr w:type="gramStart"/>
      <w:r w:rsidRPr="00505E44">
        <w:rPr>
          <w:rFonts w:eastAsia="Times New Roman"/>
          <w:lang w:eastAsia="de-DE"/>
        </w:rPr>
        <w:t>doi:10.1016/j.jss</w:t>
      </w:r>
      <w:proofErr w:type="gramEnd"/>
      <w:r w:rsidRPr="00505E44">
        <w:rPr>
          <w:rFonts w:eastAsia="Times New Roman"/>
          <w:lang w:eastAsia="de-DE"/>
        </w:rPr>
        <w:t>.2006.07.009</w:t>
      </w:r>
    </w:p>
    <w:p w14:paraId="1C7333C8"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pt-BR" w:eastAsia="de-DE"/>
        </w:rPr>
        <w:t xml:space="preserve">Cabrera, Á. A., Perer, A., &amp; Hong, J. I. (2023). </w:t>
      </w:r>
      <w:r w:rsidRPr="00505E44">
        <w:rPr>
          <w:rFonts w:eastAsia="Times New Roman"/>
          <w:lang w:val="en-US" w:eastAsia="de-DE"/>
        </w:rPr>
        <w:t xml:space="preserve">Improving human-AI collaboration with descriptions of AI behavior. </w:t>
      </w:r>
      <w:r w:rsidRPr="00505E44">
        <w:rPr>
          <w:rFonts w:eastAsia="Times New Roman"/>
          <w:i/>
          <w:iCs/>
          <w:lang w:val="en-US" w:eastAsia="de-DE"/>
        </w:rPr>
        <w:t>Proceedings of the ACM on Human-Computer Interaction, 7</w:t>
      </w:r>
      <w:r w:rsidRPr="00505E44">
        <w:rPr>
          <w:rFonts w:eastAsia="Times New Roman"/>
          <w:lang w:val="en-US" w:eastAsia="de-DE"/>
        </w:rPr>
        <w:t>(CSCW1), 1-21. doi:10.1145/3579612</w:t>
      </w:r>
    </w:p>
    <w:p w14:paraId="0A9639F4"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Chen, Y., </w:t>
      </w:r>
      <w:proofErr w:type="spellStart"/>
      <w:r w:rsidRPr="00505E44">
        <w:rPr>
          <w:rFonts w:eastAsia="Times New Roman"/>
          <w:lang w:val="en-US" w:eastAsia="de-DE"/>
        </w:rPr>
        <w:t>Xie</w:t>
      </w:r>
      <w:proofErr w:type="spellEnd"/>
      <w:r w:rsidRPr="00505E44">
        <w:rPr>
          <w:rFonts w:eastAsia="Times New Roman"/>
          <w:lang w:val="en-US" w:eastAsia="de-DE"/>
        </w:rPr>
        <w:t xml:space="preserve">, H., Ma, M., Kang, Y., Gao, X., Shi, L., Cao, Y., Gao, X., Fan, H., Wen, M., Zeng, J., Ghosh, S., Zhang, X., Zhang, C., Lin, Q., Rajmohan, S., Zhang, D., &amp; Xu, T. (2024). Automatic root cause analysis via large language models for cloud incidents. In </w:t>
      </w:r>
      <w:r w:rsidRPr="00505E44">
        <w:rPr>
          <w:rFonts w:eastAsia="Times New Roman"/>
          <w:i/>
          <w:iCs/>
          <w:lang w:val="en-US" w:eastAsia="de-DE"/>
        </w:rPr>
        <w:t>Proceedings of the Nineteenth European Conference on Computer Systems</w:t>
      </w:r>
      <w:r w:rsidRPr="00505E44">
        <w:rPr>
          <w:rFonts w:eastAsia="Times New Roman"/>
          <w:lang w:val="en-US" w:eastAsia="de-DE"/>
        </w:rPr>
        <w:t xml:space="preserve"> (pp. 674-688). doi:10.1145/3627703.3629553</w:t>
      </w:r>
    </w:p>
    <w:p w14:paraId="403A0541"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Chen, Y., Shetty, M., </w:t>
      </w:r>
      <w:proofErr w:type="spellStart"/>
      <w:r w:rsidRPr="00505E44">
        <w:rPr>
          <w:rFonts w:eastAsia="Times New Roman"/>
          <w:lang w:val="en-US" w:eastAsia="de-DE"/>
        </w:rPr>
        <w:t>Somashekar</w:t>
      </w:r>
      <w:proofErr w:type="spellEnd"/>
      <w:r w:rsidRPr="00505E44">
        <w:rPr>
          <w:rFonts w:eastAsia="Times New Roman"/>
          <w:lang w:val="en-US" w:eastAsia="de-DE"/>
        </w:rPr>
        <w:t xml:space="preserve">, G., Ma, M., </w:t>
      </w:r>
      <w:proofErr w:type="spellStart"/>
      <w:r w:rsidRPr="00505E44">
        <w:rPr>
          <w:rFonts w:eastAsia="Times New Roman"/>
          <w:lang w:val="en-US" w:eastAsia="de-DE"/>
        </w:rPr>
        <w:t>Simmhan</w:t>
      </w:r>
      <w:proofErr w:type="spellEnd"/>
      <w:r w:rsidRPr="00505E44">
        <w:rPr>
          <w:rFonts w:eastAsia="Times New Roman"/>
          <w:lang w:val="en-US" w:eastAsia="de-DE"/>
        </w:rPr>
        <w:t xml:space="preserve">, Y., Mace, J., Bansal, C., Wang, R., &amp; Rajmohan, S. (2025). </w:t>
      </w:r>
      <w:proofErr w:type="spellStart"/>
      <w:r w:rsidRPr="00505E44">
        <w:rPr>
          <w:rFonts w:eastAsia="Times New Roman"/>
          <w:lang w:val="en-US" w:eastAsia="de-DE"/>
        </w:rPr>
        <w:t>AIOpsLab</w:t>
      </w:r>
      <w:proofErr w:type="spellEnd"/>
      <w:r w:rsidRPr="00505E44">
        <w:rPr>
          <w:rFonts w:eastAsia="Times New Roman"/>
          <w:lang w:val="en-US" w:eastAsia="de-DE"/>
        </w:rPr>
        <w:t xml:space="preserve">: A holistic framework to evaluate AI agents for enabling autonomous clouds. In </w:t>
      </w:r>
      <w:r w:rsidRPr="00505E44">
        <w:rPr>
          <w:rFonts w:eastAsia="Times New Roman"/>
          <w:i/>
          <w:iCs/>
          <w:lang w:val="en-US" w:eastAsia="de-DE"/>
        </w:rPr>
        <w:t>Proceedings of the Conference on Machine Learning and Systems</w:t>
      </w:r>
      <w:r w:rsidRPr="00505E44">
        <w:rPr>
          <w:rFonts w:eastAsia="Times New Roman"/>
          <w:lang w:val="en-US" w:eastAsia="de-DE"/>
        </w:rPr>
        <w:t>.</w:t>
      </w:r>
    </w:p>
    <w:p w14:paraId="0CE8709F"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eastAsia="de-DE"/>
        </w:rPr>
        <w:t xml:space="preserve">Dang, Y., Lin, Q., &amp; Huang, P. (2019). </w:t>
      </w:r>
      <w:r w:rsidRPr="00505E44">
        <w:rPr>
          <w:rFonts w:eastAsia="Times New Roman"/>
          <w:lang w:val="en-US" w:eastAsia="de-DE"/>
        </w:rPr>
        <w:t xml:space="preserve">AIOps: Real-world challenges and research innovations. In </w:t>
      </w:r>
      <w:r w:rsidRPr="00505E44">
        <w:rPr>
          <w:rFonts w:eastAsia="Times New Roman"/>
          <w:i/>
          <w:iCs/>
          <w:lang w:val="en-US" w:eastAsia="de-DE"/>
        </w:rPr>
        <w:t>2019 IEEE/ACM 41st International Conference on Software Engineering: Companion Proceedings</w:t>
      </w:r>
      <w:r w:rsidRPr="00505E44">
        <w:rPr>
          <w:rFonts w:eastAsia="Times New Roman"/>
          <w:lang w:val="en-US" w:eastAsia="de-DE"/>
        </w:rPr>
        <w:t xml:space="preserve"> (pp. 4-5). doi:10.1109/ICSE-Companion.2019.00023</w:t>
      </w:r>
    </w:p>
    <w:p w14:paraId="4C354DB7"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s-AR" w:eastAsia="de-DE"/>
        </w:rPr>
        <w:t xml:space="preserve">de Souza, C. R. B., Rodríguez-Pérez, G., </w:t>
      </w:r>
      <w:proofErr w:type="spellStart"/>
      <w:r w:rsidRPr="00505E44">
        <w:rPr>
          <w:rFonts w:eastAsia="Times New Roman"/>
          <w:lang w:val="es-AR" w:eastAsia="de-DE"/>
        </w:rPr>
        <w:t>Basha</w:t>
      </w:r>
      <w:proofErr w:type="spellEnd"/>
      <w:r w:rsidRPr="00505E44">
        <w:rPr>
          <w:rFonts w:eastAsia="Times New Roman"/>
          <w:lang w:val="es-AR" w:eastAsia="de-DE"/>
        </w:rPr>
        <w:t xml:space="preserve">, M., </w:t>
      </w:r>
      <w:proofErr w:type="spellStart"/>
      <w:r w:rsidRPr="00505E44">
        <w:rPr>
          <w:rFonts w:eastAsia="Times New Roman"/>
          <w:lang w:val="es-AR" w:eastAsia="de-DE"/>
        </w:rPr>
        <w:t>Yoon</w:t>
      </w:r>
      <w:proofErr w:type="spellEnd"/>
      <w:r w:rsidRPr="00505E44">
        <w:rPr>
          <w:rFonts w:eastAsia="Times New Roman"/>
          <w:lang w:val="es-AR" w:eastAsia="de-DE"/>
        </w:rPr>
        <w:t xml:space="preserve">, J., &amp; </w:t>
      </w:r>
      <w:proofErr w:type="spellStart"/>
      <w:r w:rsidRPr="00505E44">
        <w:rPr>
          <w:rFonts w:eastAsia="Times New Roman"/>
          <w:lang w:val="es-AR" w:eastAsia="de-DE"/>
        </w:rPr>
        <w:t>Beschastnikh</w:t>
      </w:r>
      <w:proofErr w:type="spellEnd"/>
      <w:r w:rsidRPr="00505E44">
        <w:rPr>
          <w:rFonts w:eastAsia="Times New Roman"/>
          <w:lang w:val="es-AR" w:eastAsia="de-DE"/>
        </w:rPr>
        <w:t xml:space="preserve">, I. (2024). </w:t>
      </w:r>
      <w:r w:rsidRPr="00505E44">
        <w:rPr>
          <w:rFonts w:eastAsia="Times New Roman"/>
          <w:lang w:val="en-US" w:eastAsia="de-DE"/>
        </w:rPr>
        <w:t xml:space="preserve">The fine balance between helping with your job and taking it: AI code assistants come to the fore. </w:t>
      </w:r>
      <w:r w:rsidRPr="00505E44">
        <w:rPr>
          <w:rFonts w:eastAsia="Times New Roman"/>
          <w:i/>
          <w:iCs/>
          <w:lang w:eastAsia="de-DE"/>
        </w:rPr>
        <w:t>IEEE Software, 41</w:t>
      </w:r>
      <w:r w:rsidRPr="00505E44">
        <w:rPr>
          <w:rFonts w:eastAsia="Times New Roman"/>
          <w:lang w:eastAsia="de-DE"/>
        </w:rPr>
        <w:t>(6), 111-118. doi:10.1109/MS.2024.3357787</w:t>
      </w:r>
    </w:p>
    <w:p w14:paraId="33F34A09"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DORA. (2024). </w:t>
      </w:r>
      <w:r w:rsidRPr="00505E44">
        <w:rPr>
          <w:rFonts w:eastAsia="Times New Roman"/>
          <w:i/>
          <w:iCs/>
          <w:lang w:val="en-US" w:eastAsia="de-DE"/>
        </w:rPr>
        <w:t>Accelerate state of DevOps report 2024</w:t>
      </w:r>
      <w:r w:rsidRPr="00505E44">
        <w:rPr>
          <w:rFonts w:eastAsia="Times New Roman"/>
          <w:lang w:val="en-US" w:eastAsia="de-DE"/>
        </w:rPr>
        <w:t xml:space="preserve">. </w:t>
      </w:r>
      <w:r w:rsidRPr="00505E44">
        <w:rPr>
          <w:rFonts w:eastAsia="Times New Roman"/>
          <w:lang w:eastAsia="de-DE"/>
        </w:rPr>
        <w:t>Google Cloud.</w:t>
      </w:r>
    </w:p>
    <w:p w14:paraId="176C0BF8"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it-IT" w:eastAsia="de-DE"/>
        </w:rPr>
        <w:t xml:space="preserve">Doshi-Velez, F., &amp; Kim, B. (2017). </w:t>
      </w:r>
      <w:r w:rsidRPr="00505E44">
        <w:rPr>
          <w:rFonts w:eastAsia="Times New Roman"/>
          <w:lang w:val="en-US" w:eastAsia="de-DE"/>
        </w:rPr>
        <w:t xml:space="preserve">Towards a rigorous science of interpretable machine learning. </w:t>
      </w:r>
      <w:proofErr w:type="spellStart"/>
      <w:r w:rsidRPr="00505E44">
        <w:rPr>
          <w:rFonts w:eastAsia="Times New Roman"/>
          <w:i/>
          <w:iCs/>
          <w:lang w:val="en-US" w:eastAsia="de-DE"/>
        </w:rPr>
        <w:t>arXiv</w:t>
      </w:r>
      <w:proofErr w:type="spellEnd"/>
      <w:r w:rsidRPr="00505E44">
        <w:rPr>
          <w:rFonts w:eastAsia="Times New Roman"/>
          <w:i/>
          <w:iCs/>
          <w:lang w:val="en-US" w:eastAsia="de-DE"/>
        </w:rPr>
        <w:t xml:space="preserve"> preprint</w:t>
      </w:r>
      <w:r w:rsidRPr="00505E44">
        <w:rPr>
          <w:rFonts w:eastAsia="Times New Roman"/>
          <w:lang w:val="en-US" w:eastAsia="de-DE"/>
        </w:rPr>
        <w:t xml:space="preserve"> arXiv:1702.08608. doi:10.48550/arXiv.1702.08608</w:t>
      </w:r>
    </w:p>
    <w:p w14:paraId="2713F4A0"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Gillath</w:t>
      </w:r>
      <w:proofErr w:type="spellEnd"/>
      <w:r w:rsidRPr="00505E44">
        <w:rPr>
          <w:rFonts w:eastAsia="Times New Roman"/>
          <w:lang w:val="en-US" w:eastAsia="de-DE"/>
        </w:rPr>
        <w:t xml:space="preserve">, O., Ai, T., </w:t>
      </w:r>
      <w:proofErr w:type="spellStart"/>
      <w:r w:rsidRPr="00505E44">
        <w:rPr>
          <w:rFonts w:eastAsia="Times New Roman"/>
          <w:lang w:val="en-US" w:eastAsia="de-DE"/>
        </w:rPr>
        <w:t>Branicky</w:t>
      </w:r>
      <w:proofErr w:type="spellEnd"/>
      <w:r w:rsidRPr="00505E44">
        <w:rPr>
          <w:rFonts w:eastAsia="Times New Roman"/>
          <w:lang w:val="en-US" w:eastAsia="de-DE"/>
        </w:rPr>
        <w:t xml:space="preserve">, M. S., </w:t>
      </w:r>
      <w:proofErr w:type="spellStart"/>
      <w:r w:rsidRPr="00505E44">
        <w:rPr>
          <w:rFonts w:eastAsia="Times New Roman"/>
          <w:lang w:val="en-US" w:eastAsia="de-DE"/>
        </w:rPr>
        <w:t>Keshmiri</w:t>
      </w:r>
      <w:proofErr w:type="spellEnd"/>
      <w:r w:rsidRPr="00505E44">
        <w:rPr>
          <w:rFonts w:eastAsia="Times New Roman"/>
          <w:lang w:val="en-US" w:eastAsia="de-DE"/>
        </w:rPr>
        <w:t xml:space="preserve">, S., Davison, R. B., &amp; Spaulding, R. (2021). Attachment and trust in artificial intelligence. </w:t>
      </w:r>
      <w:r w:rsidRPr="00505E44">
        <w:rPr>
          <w:rFonts w:eastAsia="Times New Roman"/>
          <w:i/>
          <w:iCs/>
          <w:lang w:eastAsia="de-DE"/>
        </w:rPr>
        <w:t xml:space="preserve">Computers in Human </w:t>
      </w:r>
      <w:proofErr w:type="spellStart"/>
      <w:r w:rsidRPr="00505E44">
        <w:rPr>
          <w:rFonts w:eastAsia="Times New Roman"/>
          <w:i/>
          <w:iCs/>
          <w:lang w:eastAsia="de-DE"/>
        </w:rPr>
        <w:t>Behavior</w:t>
      </w:r>
      <w:proofErr w:type="spellEnd"/>
      <w:r w:rsidRPr="00505E44">
        <w:rPr>
          <w:rFonts w:eastAsia="Times New Roman"/>
          <w:i/>
          <w:iCs/>
          <w:lang w:eastAsia="de-DE"/>
        </w:rPr>
        <w:t>, 115</w:t>
      </w:r>
      <w:r w:rsidRPr="00505E44">
        <w:rPr>
          <w:rFonts w:eastAsia="Times New Roman"/>
          <w:lang w:eastAsia="de-DE"/>
        </w:rPr>
        <w:t xml:space="preserve">, 106607. </w:t>
      </w:r>
      <w:proofErr w:type="gramStart"/>
      <w:r w:rsidRPr="00505E44">
        <w:rPr>
          <w:rFonts w:eastAsia="Times New Roman"/>
          <w:lang w:eastAsia="de-DE"/>
        </w:rPr>
        <w:t>doi:10.1016/j.chb</w:t>
      </w:r>
      <w:proofErr w:type="gramEnd"/>
      <w:r w:rsidRPr="00505E44">
        <w:rPr>
          <w:rFonts w:eastAsia="Times New Roman"/>
          <w:lang w:eastAsia="de-DE"/>
        </w:rPr>
        <w:t>.2020.106607</w:t>
      </w:r>
    </w:p>
    <w:p w14:paraId="439C5533"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Glikson</w:t>
      </w:r>
      <w:proofErr w:type="spellEnd"/>
      <w:r w:rsidRPr="00505E44">
        <w:rPr>
          <w:rFonts w:eastAsia="Times New Roman"/>
          <w:lang w:val="en-US" w:eastAsia="de-DE"/>
        </w:rPr>
        <w:t xml:space="preserve">, E., &amp; Woolley, A. W. (2020). Human trust in artificial intelligence: Review of empirical research. </w:t>
      </w:r>
      <w:r w:rsidRPr="00505E44">
        <w:rPr>
          <w:rFonts w:eastAsia="Times New Roman"/>
          <w:i/>
          <w:iCs/>
          <w:lang w:eastAsia="de-DE"/>
        </w:rPr>
        <w:t xml:space="preserve">Academy of Management </w:t>
      </w:r>
      <w:proofErr w:type="spellStart"/>
      <w:r w:rsidRPr="00505E44">
        <w:rPr>
          <w:rFonts w:eastAsia="Times New Roman"/>
          <w:i/>
          <w:iCs/>
          <w:lang w:eastAsia="de-DE"/>
        </w:rPr>
        <w:t>Annals</w:t>
      </w:r>
      <w:proofErr w:type="spellEnd"/>
      <w:r w:rsidRPr="00505E44">
        <w:rPr>
          <w:rFonts w:eastAsia="Times New Roman"/>
          <w:i/>
          <w:iCs/>
          <w:lang w:eastAsia="de-DE"/>
        </w:rPr>
        <w:t>, 14</w:t>
      </w:r>
      <w:r w:rsidRPr="00505E44">
        <w:rPr>
          <w:rFonts w:eastAsia="Times New Roman"/>
          <w:lang w:eastAsia="de-DE"/>
        </w:rPr>
        <w:t>(2), 627-660. doi:10.5465/annals.2018.0057</w:t>
      </w:r>
    </w:p>
    <w:p w14:paraId="5F7D4C68"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eastAsia="de-DE"/>
        </w:rPr>
        <w:t xml:space="preserve">Göbel, K., </w:t>
      </w:r>
      <w:proofErr w:type="spellStart"/>
      <w:r w:rsidRPr="00505E44">
        <w:rPr>
          <w:rFonts w:eastAsia="Times New Roman"/>
          <w:lang w:eastAsia="de-DE"/>
        </w:rPr>
        <w:t>Niessen</w:t>
      </w:r>
      <w:proofErr w:type="spellEnd"/>
      <w:r w:rsidRPr="00505E44">
        <w:rPr>
          <w:rFonts w:eastAsia="Times New Roman"/>
          <w:lang w:eastAsia="de-DE"/>
        </w:rPr>
        <w:t xml:space="preserve">, C., Seufert, S., &amp; Schmid, U. (2022). </w:t>
      </w:r>
      <w:r w:rsidRPr="00505E44">
        <w:rPr>
          <w:rFonts w:eastAsia="Times New Roman"/>
          <w:lang w:val="en-US" w:eastAsia="de-DE"/>
        </w:rPr>
        <w:t xml:space="preserve">Explanatory machine learning for justified trust in human-AI collaboration: Experiments on file deletion recommendations. </w:t>
      </w:r>
      <w:r w:rsidRPr="00505E44">
        <w:rPr>
          <w:rFonts w:eastAsia="Times New Roman"/>
          <w:i/>
          <w:iCs/>
          <w:lang w:eastAsia="de-DE"/>
        </w:rPr>
        <w:t xml:space="preserve">Frontiers in </w:t>
      </w:r>
      <w:proofErr w:type="spellStart"/>
      <w:r w:rsidRPr="00505E44">
        <w:rPr>
          <w:rFonts w:eastAsia="Times New Roman"/>
          <w:i/>
          <w:iCs/>
          <w:lang w:eastAsia="de-DE"/>
        </w:rPr>
        <w:t>Artificial</w:t>
      </w:r>
      <w:proofErr w:type="spellEnd"/>
      <w:r w:rsidRPr="00505E44">
        <w:rPr>
          <w:rFonts w:eastAsia="Times New Roman"/>
          <w:i/>
          <w:iCs/>
          <w:lang w:eastAsia="de-DE"/>
        </w:rPr>
        <w:t xml:space="preserve"> </w:t>
      </w:r>
      <w:proofErr w:type="spellStart"/>
      <w:r w:rsidRPr="00505E44">
        <w:rPr>
          <w:rFonts w:eastAsia="Times New Roman"/>
          <w:i/>
          <w:iCs/>
          <w:lang w:eastAsia="de-DE"/>
        </w:rPr>
        <w:t>Intelligence</w:t>
      </w:r>
      <w:proofErr w:type="spellEnd"/>
      <w:r w:rsidRPr="00505E44">
        <w:rPr>
          <w:rFonts w:eastAsia="Times New Roman"/>
          <w:i/>
          <w:iCs/>
          <w:lang w:eastAsia="de-DE"/>
        </w:rPr>
        <w:t>, 5</w:t>
      </w:r>
      <w:r w:rsidRPr="00505E44">
        <w:rPr>
          <w:rFonts w:eastAsia="Times New Roman"/>
          <w:lang w:eastAsia="de-DE"/>
        </w:rPr>
        <w:t>, 919534. doi:10.3389/frai.2022.919534</w:t>
      </w:r>
    </w:p>
    <w:p w14:paraId="64E92B8A"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Gregor, S., &amp; </w:t>
      </w:r>
      <w:proofErr w:type="spellStart"/>
      <w:r w:rsidRPr="00505E44">
        <w:rPr>
          <w:rFonts w:eastAsia="Times New Roman"/>
          <w:lang w:val="en-US" w:eastAsia="de-DE"/>
        </w:rPr>
        <w:t>Hevner</w:t>
      </w:r>
      <w:proofErr w:type="spellEnd"/>
      <w:r w:rsidRPr="00505E44">
        <w:rPr>
          <w:rFonts w:eastAsia="Times New Roman"/>
          <w:lang w:val="en-US" w:eastAsia="de-DE"/>
        </w:rPr>
        <w:t xml:space="preserve">, A. R. (2013). Positioning and presenting design science research for maximum impact. </w:t>
      </w:r>
      <w:r w:rsidRPr="00505E44">
        <w:rPr>
          <w:rFonts w:eastAsia="Times New Roman"/>
          <w:i/>
          <w:iCs/>
          <w:lang w:eastAsia="de-DE"/>
        </w:rPr>
        <w:t>MIS Quarterly, 37</w:t>
      </w:r>
      <w:r w:rsidRPr="00505E44">
        <w:rPr>
          <w:rFonts w:eastAsia="Times New Roman"/>
          <w:lang w:eastAsia="de-DE"/>
        </w:rPr>
        <w:t>(2), 337-355. doi:10.25300/MISQ/2013/37.2.01</w:t>
      </w:r>
    </w:p>
    <w:p w14:paraId="60382D57"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eastAsia="de-DE"/>
        </w:rPr>
        <w:t>Gunning</w:t>
      </w:r>
      <w:proofErr w:type="spellEnd"/>
      <w:r w:rsidRPr="00505E44">
        <w:rPr>
          <w:rFonts w:eastAsia="Times New Roman"/>
          <w:lang w:eastAsia="de-DE"/>
        </w:rPr>
        <w:t xml:space="preserve">, D., &amp; Aha, D. (2019). </w:t>
      </w:r>
      <w:proofErr w:type="spellStart"/>
      <w:r w:rsidRPr="00505E44">
        <w:rPr>
          <w:rFonts w:eastAsia="Times New Roman"/>
          <w:lang w:eastAsia="de-DE"/>
        </w:rPr>
        <w:t>DARPA’s</w:t>
      </w:r>
      <w:proofErr w:type="spellEnd"/>
      <w:r w:rsidRPr="00505E44">
        <w:rPr>
          <w:rFonts w:eastAsia="Times New Roman"/>
          <w:lang w:eastAsia="de-DE"/>
        </w:rPr>
        <w:t xml:space="preserve"> </w:t>
      </w:r>
      <w:proofErr w:type="spellStart"/>
      <w:r w:rsidRPr="00505E44">
        <w:rPr>
          <w:rFonts w:eastAsia="Times New Roman"/>
          <w:lang w:eastAsia="de-DE"/>
        </w:rPr>
        <w:t>explainable</w:t>
      </w:r>
      <w:proofErr w:type="spellEnd"/>
      <w:r w:rsidRPr="00505E44">
        <w:rPr>
          <w:rFonts w:eastAsia="Times New Roman"/>
          <w:lang w:eastAsia="de-DE"/>
        </w:rPr>
        <w:t xml:space="preserve"> </w:t>
      </w:r>
      <w:proofErr w:type="spellStart"/>
      <w:r w:rsidRPr="00505E44">
        <w:rPr>
          <w:rFonts w:eastAsia="Times New Roman"/>
          <w:lang w:eastAsia="de-DE"/>
        </w:rPr>
        <w:t>artificial</w:t>
      </w:r>
      <w:proofErr w:type="spellEnd"/>
      <w:r w:rsidRPr="00505E44">
        <w:rPr>
          <w:rFonts w:eastAsia="Times New Roman"/>
          <w:lang w:eastAsia="de-DE"/>
        </w:rPr>
        <w:t xml:space="preserve"> </w:t>
      </w:r>
      <w:proofErr w:type="spellStart"/>
      <w:r w:rsidRPr="00505E44">
        <w:rPr>
          <w:rFonts w:eastAsia="Times New Roman"/>
          <w:lang w:eastAsia="de-DE"/>
        </w:rPr>
        <w:t>intelligence</w:t>
      </w:r>
      <w:proofErr w:type="spellEnd"/>
      <w:r w:rsidRPr="00505E44">
        <w:rPr>
          <w:rFonts w:eastAsia="Times New Roman"/>
          <w:lang w:eastAsia="de-DE"/>
        </w:rPr>
        <w:t xml:space="preserve"> </w:t>
      </w:r>
      <w:proofErr w:type="spellStart"/>
      <w:r w:rsidRPr="00505E44">
        <w:rPr>
          <w:rFonts w:eastAsia="Times New Roman"/>
          <w:lang w:eastAsia="de-DE"/>
        </w:rPr>
        <w:t>program</w:t>
      </w:r>
      <w:proofErr w:type="spellEnd"/>
      <w:r w:rsidRPr="00505E44">
        <w:rPr>
          <w:rFonts w:eastAsia="Times New Roman"/>
          <w:lang w:eastAsia="de-DE"/>
        </w:rPr>
        <w:t xml:space="preserve">. </w:t>
      </w:r>
      <w:r w:rsidRPr="00505E44">
        <w:rPr>
          <w:rFonts w:eastAsia="Times New Roman"/>
          <w:i/>
          <w:iCs/>
          <w:lang w:eastAsia="de-DE"/>
        </w:rPr>
        <w:t>AI Magazine, 40</w:t>
      </w:r>
      <w:r w:rsidRPr="00505E44">
        <w:rPr>
          <w:rFonts w:eastAsia="Times New Roman"/>
          <w:lang w:eastAsia="de-DE"/>
        </w:rPr>
        <w:t>(2), 44-58. doi:10.1609/AIMAG.V40I2.2850</w:t>
      </w:r>
    </w:p>
    <w:p w14:paraId="66304522"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Hevner</w:t>
      </w:r>
      <w:proofErr w:type="spellEnd"/>
      <w:r w:rsidRPr="00505E44">
        <w:rPr>
          <w:rFonts w:eastAsia="Times New Roman"/>
          <w:lang w:val="en-US" w:eastAsia="de-DE"/>
        </w:rPr>
        <w:t xml:space="preserve">, A. R., March, S. T., Park, J., &amp; Ram, S. (2004). Design science in information systems research. </w:t>
      </w:r>
      <w:r w:rsidRPr="00505E44">
        <w:rPr>
          <w:rFonts w:eastAsia="Times New Roman"/>
          <w:i/>
          <w:iCs/>
          <w:lang w:eastAsia="de-DE"/>
        </w:rPr>
        <w:t>MIS Quarterly, 28</w:t>
      </w:r>
      <w:r w:rsidRPr="00505E44">
        <w:rPr>
          <w:rFonts w:eastAsia="Times New Roman"/>
          <w:lang w:eastAsia="de-DE"/>
        </w:rPr>
        <w:t>(1), 75-105. doi:10.2307/25148625</w:t>
      </w:r>
    </w:p>
    <w:p w14:paraId="64D92415"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eastAsia="de-DE"/>
        </w:rPr>
        <w:t xml:space="preserve">Hoff, K. A., &amp; Bashir, M. (2015). </w:t>
      </w:r>
      <w:r w:rsidRPr="00505E44">
        <w:rPr>
          <w:rFonts w:eastAsia="Times New Roman"/>
          <w:lang w:val="en-US" w:eastAsia="de-DE"/>
        </w:rPr>
        <w:t xml:space="preserve">Trust in automation: Integrating empirical evidence on factors that influence trust. </w:t>
      </w:r>
      <w:r w:rsidRPr="00505E44">
        <w:rPr>
          <w:rFonts w:eastAsia="Times New Roman"/>
          <w:i/>
          <w:iCs/>
          <w:lang w:eastAsia="de-DE"/>
        </w:rPr>
        <w:t xml:space="preserve">Human </w:t>
      </w:r>
      <w:proofErr w:type="spellStart"/>
      <w:r w:rsidRPr="00505E44">
        <w:rPr>
          <w:rFonts w:eastAsia="Times New Roman"/>
          <w:i/>
          <w:iCs/>
          <w:lang w:eastAsia="de-DE"/>
        </w:rPr>
        <w:t>Factors</w:t>
      </w:r>
      <w:proofErr w:type="spellEnd"/>
      <w:r w:rsidRPr="00505E44">
        <w:rPr>
          <w:rFonts w:eastAsia="Times New Roman"/>
          <w:i/>
          <w:iCs/>
          <w:lang w:eastAsia="de-DE"/>
        </w:rPr>
        <w:t>, 57</w:t>
      </w:r>
      <w:r w:rsidRPr="00505E44">
        <w:rPr>
          <w:rFonts w:eastAsia="Times New Roman"/>
          <w:lang w:eastAsia="de-DE"/>
        </w:rPr>
        <w:t>(3), 407-434. doi:10.1177/0018720814547570</w:t>
      </w:r>
    </w:p>
    <w:p w14:paraId="794A27B2"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International Organization for Standardization. (2018). </w:t>
      </w:r>
      <w:r w:rsidRPr="00505E44">
        <w:rPr>
          <w:rFonts w:eastAsia="Times New Roman"/>
          <w:i/>
          <w:iCs/>
          <w:lang w:val="en-US" w:eastAsia="de-DE"/>
        </w:rPr>
        <w:t>ISO 31000:2018 Risk management, Guidelines</w:t>
      </w:r>
      <w:r w:rsidRPr="00505E44">
        <w:rPr>
          <w:rFonts w:eastAsia="Times New Roman"/>
          <w:lang w:val="en-US" w:eastAsia="de-DE"/>
        </w:rPr>
        <w:t xml:space="preserve">. </w:t>
      </w:r>
      <w:r w:rsidRPr="00505E44">
        <w:rPr>
          <w:rFonts w:eastAsia="Times New Roman"/>
          <w:lang w:eastAsia="de-DE"/>
        </w:rPr>
        <w:t>ISO.</w:t>
      </w:r>
    </w:p>
    <w:p w14:paraId="2CE1D159"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en-US" w:eastAsia="de-DE"/>
        </w:rPr>
        <w:lastRenderedPageBreak/>
        <w:t xml:space="preserve">International Organization for Standardization, &amp; International Electrotechnical Commission. (2023). </w:t>
      </w:r>
      <w:r w:rsidRPr="00505E44">
        <w:rPr>
          <w:rFonts w:eastAsia="Times New Roman"/>
          <w:i/>
          <w:iCs/>
          <w:lang w:val="en-US" w:eastAsia="de-DE"/>
        </w:rPr>
        <w:t>ISO/IEC 42001:2023 Information technology, Artificial intelligence, Management system</w:t>
      </w:r>
      <w:r w:rsidRPr="00505E44">
        <w:rPr>
          <w:rFonts w:eastAsia="Times New Roman"/>
          <w:lang w:val="en-US" w:eastAsia="de-DE"/>
        </w:rPr>
        <w:t>. ISO/IEC.</w:t>
      </w:r>
    </w:p>
    <w:p w14:paraId="6E291C92"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eastAsia="de-DE"/>
        </w:rPr>
        <w:t xml:space="preserve">Jian, J.-Y., </w:t>
      </w:r>
      <w:proofErr w:type="spellStart"/>
      <w:r w:rsidRPr="00505E44">
        <w:rPr>
          <w:rFonts w:eastAsia="Times New Roman"/>
          <w:lang w:eastAsia="de-DE"/>
        </w:rPr>
        <w:t>Bisantz</w:t>
      </w:r>
      <w:proofErr w:type="spellEnd"/>
      <w:r w:rsidRPr="00505E44">
        <w:rPr>
          <w:rFonts w:eastAsia="Times New Roman"/>
          <w:lang w:eastAsia="de-DE"/>
        </w:rPr>
        <w:t xml:space="preserve">, A. M., &amp; Drury, C. G. (2000). </w:t>
      </w:r>
      <w:r w:rsidRPr="00505E44">
        <w:rPr>
          <w:rFonts w:eastAsia="Times New Roman"/>
          <w:lang w:val="en-US" w:eastAsia="de-DE"/>
        </w:rPr>
        <w:t xml:space="preserve">Foundations for an empirically determined scale of trust in automated systems. </w:t>
      </w:r>
      <w:r w:rsidRPr="00505E44">
        <w:rPr>
          <w:rFonts w:eastAsia="Times New Roman"/>
          <w:i/>
          <w:iCs/>
          <w:lang w:eastAsia="de-DE"/>
        </w:rPr>
        <w:t xml:space="preserve">International Journal of </w:t>
      </w:r>
      <w:proofErr w:type="spellStart"/>
      <w:r w:rsidRPr="00505E44">
        <w:rPr>
          <w:rFonts w:eastAsia="Times New Roman"/>
          <w:i/>
          <w:iCs/>
          <w:lang w:eastAsia="de-DE"/>
        </w:rPr>
        <w:t>Cognitive</w:t>
      </w:r>
      <w:proofErr w:type="spellEnd"/>
      <w:r w:rsidRPr="00505E44">
        <w:rPr>
          <w:rFonts w:eastAsia="Times New Roman"/>
          <w:i/>
          <w:iCs/>
          <w:lang w:eastAsia="de-DE"/>
        </w:rPr>
        <w:t xml:space="preserve"> </w:t>
      </w:r>
      <w:proofErr w:type="spellStart"/>
      <w:r w:rsidRPr="00505E44">
        <w:rPr>
          <w:rFonts w:eastAsia="Times New Roman"/>
          <w:i/>
          <w:iCs/>
          <w:lang w:eastAsia="de-DE"/>
        </w:rPr>
        <w:t>Ergonomics</w:t>
      </w:r>
      <w:proofErr w:type="spellEnd"/>
      <w:r w:rsidRPr="00505E44">
        <w:rPr>
          <w:rFonts w:eastAsia="Times New Roman"/>
          <w:i/>
          <w:iCs/>
          <w:lang w:eastAsia="de-DE"/>
        </w:rPr>
        <w:t>, 4</w:t>
      </w:r>
      <w:r w:rsidRPr="00505E44">
        <w:rPr>
          <w:rFonts w:eastAsia="Times New Roman"/>
          <w:lang w:eastAsia="de-DE"/>
        </w:rPr>
        <w:t>(1), 53-71. doi:10.1207/S15327566IJCE0401_04</w:t>
      </w:r>
    </w:p>
    <w:p w14:paraId="3A39F3B1"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eastAsia="de-DE"/>
        </w:rPr>
        <w:t xml:space="preserve">Johnson, B., Bird, C., Ford, D., </w:t>
      </w:r>
      <w:proofErr w:type="spellStart"/>
      <w:r w:rsidRPr="00505E44">
        <w:rPr>
          <w:rFonts w:eastAsia="Times New Roman"/>
          <w:lang w:eastAsia="de-DE"/>
        </w:rPr>
        <w:t>Forsgren</w:t>
      </w:r>
      <w:proofErr w:type="spellEnd"/>
      <w:r w:rsidRPr="00505E44">
        <w:rPr>
          <w:rFonts w:eastAsia="Times New Roman"/>
          <w:lang w:eastAsia="de-DE"/>
        </w:rPr>
        <w:t xml:space="preserve">, N., &amp; Zimmermann, T. (2023). </w:t>
      </w:r>
      <w:r w:rsidRPr="00505E44">
        <w:rPr>
          <w:rFonts w:eastAsia="Times New Roman"/>
          <w:lang w:val="en-US" w:eastAsia="de-DE"/>
        </w:rPr>
        <w:t xml:space="preserve">Make your tools sparkle with trust: The PICSE framework for trust in software tools. In </w:t>
      </w:r>
      <w:r w:rsidRPr="00505E44">
        <w:rPr>
          <w:rFonts w:eastAsia="Times New Roman"/>
          <w:i/>
          <w:iCs/>
          <w:lang w:val="en-US" w:eastAsia="de-DE"/>
        </w:rPr>
        <w:t>2023 IEEE/ACM 45th International Conference on Software Engineering: Software Engineering in Practice</w:t>
      </w:r>
      <w:r w:rsidRPr="00505E44">
        <w:rPr>
          <w:rFonts w:eastAsia="Times New Roman"/>
          <w:lang w:val="en-US" w:eastAsia="de-DE"/>
        </w:rPr>
        <w:t xml:space="preserve"> (pp. 409-419). doi:10.1109/ICSE-SEIP58684.2023.00043</w:t>
      </w:r>
    </w:p>
    <w:p w14:paraId="5C46A172"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Kemell</w:t>
      </w:r>
      <w:proofErr w:type="spellEnd"/>
      <w:r w:rsidRPr="00505E44">
        <w:rPr>
          <w:rFonts w:eastAsia="Times New Roman"/>
          <w:lang w:val="en-US" w:eastAsia="de-DE"/>
        </w:rPr>
        <w:t xml:space="preserve">, K.-K., </w:t>
      </w:r>
      <w:proofErr w:type="spellStart"/>
      <w:r w:rsidRPr="00505E44">
        <w:rPr>
          <w:rFonts w:eastAsia="Times New Roman"/>
          <w:lang w:val="en-US" w:eastAsia="de-DE"/>
        </w:rPr>
        <w:t>Saarikallio</w:t>
      </w:r>
      <w:proofErr w:type="spellEnd"/>
      <w:r w:rsidRPr="00505E44">
        <w:rPr>
          <w:rFonts w:eastAsia="Times New Roman"/>
          <w:lang w:val="en-US" w:eastAsia="de-DE"/>
        </w:rPr>
        <w:t xml:space="preserve">, M., Nguyen-Duc, A., &amp; </w:t>
      </w:r>
      <w:proofErr w:type="spellStart"/>
      <w:r w:rsidRPr="00505E44">
        <w:rPr>
          <w:rFonts w:eastAsia="Times New Roman"/>
          <w:lang w:val="en-US" w:eastAsia="de-DE"/>
        </w:rPr>
        <w:t>Abrahamsson</w:t>
      </w:r>
      <w:proofErr w:type="spellEnd"/>
      <w:r w:rsidRPr="00505E44">
        <w:rPr>
          <w:rFonts w:eastAsia="Times New Roman"/>
          <w:lang w:val="en-US" w:eastAsia="de-DE"/>
        </w:rPr>
        <w:t xml:space="preserve">, P. (2025). Still just personal assistants? A multiple case study of generative AI adoption in software organizations. </w:t>
      </w:r>
      <w:r w:rsidRPr="00505E44">
        <w:rPr>
          <w:rFonts w:eastAsia="Times New Roman"/>
          <w:i/>
          <w:iCs/>
          <w:lang w:eastAsia="de-DE"/>
        </w:rPr>
        <w:t>Information and Software Technology, 186</w:t>
      </w:r>
      <w:r w:rsidRPr="00505E44">
        <w:rPr>
          <w:rFonts w:eastAsia="Times New Roman"/>
          <w:lang w:eastAsia="de-DE"/>
        </w:rPr>
        <w:t xml:space="preserve">, 107805. </w:t>
      </w:r>
      <w:proofErr w:type="gramStart"/>
      <w:r w:rsidRPr="00505E44">
        <w:rPr>
          <w:rFonts w:eastAsia="Times New Roman"/>
          <w:lang w:eastAsia="de-DE"/>
        </w:rPr>
        <w:t>doi:10.1016/j.infsof</w:t>
      </w:r>
      <w:proofErr w:type="gramEnd"/>
      <w:r w:rsidRPr="00505E44">
        <w:rPr>
          <w:rFonts w:eastAsia="Times New Roman"/>
          <w:lang w:eastAsia="de-DE"/>
        </w:rPr>
        <w:t>.2025.107805</w:t>
      </w:r>
    </w:p>
    <w:p w14:paraId="1CAC6B95"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Kitchenham</w:t>
      </w:r>
      <w:proofErr w:type="spellEnd"/>
      <w:r w:rsidRPr="00505E44">
        <w:rPr>
          <w:rFonts w:eastAsia="Times New Roman"/>
          <w:lang w:val="en-US" w:eastAsia="de-DE"/>
        </w:rPr>
        <w:t xml:space="preserve">, B. (2004). </w:t>
      </w:r>
      <w:r w:rsidRPr="00505E44">
        <w:rPr>
          <w:rFonts w:eastAsia="Times New Roman"/>
          <w:i/>
          <w:iCs/>
          <w:lang w:val="en-US" w:eastAsia="de-DE"/>
        </w:rPr>
        <w:t>Procedures for performing systematic reviews</w:t>
      </w:r>
      <w:r w:rsidRPr="00505E44">
        <w:rPr>
          <w:rFonts w:eastAsia="Times New Roman"/>
          <w:lang w:val="en-US" w:eastAsia="de-DE"/>
        </w:rPr>
        <w:t xml:space="preserve">. </w:t>
      </w:r>
      <w:proofErr w:type="spellStart"/>
      <w:r w:rsidRPr="00505E44">
        <w:rPr>
          <w:rFonts w:eastAsia="Times New Roman"/>
          <w:lang w:eastAsia="de-DE"/>
        </w:rPr>
        <w:t>Keele</w:t>
      </w:r>
      <w:proofErr w:type="spellEnd"/>
      <w:r w:rsidRPr="00505E44">
        <w:rPr>
          <w:rFonts w:eastAsia="Times New Roman"/>
          <w:lang w:eastAsia="de-DE"/>
        </w:rPr>
        <w:t xml:space="preserve"> University and NICTA Technical Report TR/SE-0401.</w:t>
      </w:r>
    </w:p>
    <w:p w14:paraId="1DA7EC74"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Kitchenham</w:t>
      </w:r>
      <w:proofErr w:type="spellEnd"/>
      <w:r w:rsidRPr="00505E44">
        <w:rPr>
          <w:rFonts w:eastAsia="Times New Roman"/>
          <w:lang w:val="en-US" w:eastAsia="de-DE"/>
        </w:rPr>
        <w:t xml:space="preserve">, B., &amp; Charters, S. (2007). </w:t>
      </w:r>
      <w:r w:rsidRPr="00505E44">
        <w:rPr>
          <w:rFonts w:eastAsia="Times New Roman"/>
          <w:i/>
          <w:iCs/>
          <w:lang w:val="en-US" w:eastAsia="de-DE"/>
        </w:rPr>
        <w:t>Guidelines for performing systematic literature reviews in software engineering</w:t>
      </w:r>
      <w:r w:rsidRPr="00505E44">
        <w:rPr>
          <w:rFonts w:eastAsia="Times New Roman"/>
          <w:lang w:val="en-US" w:eastAsia="de-DE"/>
        </w:rPr>
        <w:t xml:space="preserve">. </w:t>
      </w:r>
      <w:r w:rsidRPr="00505E44">
        <w:rPr>
          <w:rFonts w:eastAsia="Times New Roman"/>
          <w:lang w:eastAsia="de-DE"/>
        </w:rPr>
        <w:t>EBSE Technical Report EBSE-2007-01.</w:t>
      </w:r>
    </w:p>
    <w:p w14:paraId="4E26CFE4"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Lee, J. D., &amp; Moray, N. (1992). Trust, control strategies and allocation of function in human-machine systems. </w:t>
      </w:r>
      <w:proofErr w:type="spellStart"/>
      <w:r w:rsidRPr="00505E44">
        <w:rPr>
          <w:rFonts w:eastAsia="Times New Roman"/>
          <w:i/>
          <w:iCs/>
          <w:lang w:eastAsia="de-DE"/>
        </w:rPr>
        <w:t>Ergonomics</w:t>
      </w:r>
      <w:proofErr w:type="spellEnd"/>
      <w:r w:rsidRPr="00505E44">
        <w:rPr>
          <w:rFonts w:eastAsia="Times New Roman"/>
          <w:i/>
          <w:iCs/>
          <w:lang w:eastAsia="de-DE"/>
        </w:rPr>
        <w:t>, 35</w:t>
      </w:r>
      <w:r w:rsidRPr="00505E44">
        <w:rPr>
          <w:rFonts w:eastAsia="Times New Roman"/>
          <w:lang w:eastAsia="de-DE"/>
        </w:rPr>
        <w:t>(10), 1243-1270. doi:10.1080/00140139208967392</w:t>
      </w:r>
    </w:p>
    <w:p w14:paraId="42024F0C"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Lee, J. D., &amp; See, K. A. (2004). Trust in automation: Designing for appropriate reliance. </w:t>
      </w:r>
      <w:r w:rsidRPr="00505E44">
        <w:rPr>
          <w:rFonts w:eastAsia="Times New Roman"/>
          <w:i/>
          <w:iCs/>
          <w:lang w:eastAsia="de-DE"/>
        </w:rPr>
        <w:t xml:space="preserve">Human </w:t>
      </w:r>
      <w:proofErr w:type="spellStart"/>
      <w:r w:rsidRPr="00505E44">
        <w:rPr>
          <w:rFonts w:eastAsia="Times New Roman"/>
          <w:i/>
          <w:iCs/>
          <w:lang w:eastAsia="de-DE"/>
        </w:rPr>
        <w:t>Factors</w:t>
      </w:r>
      <w:proofErr w:type="spellEnd"/>
      <w:r w:rsidRPr="00505E44">
        <w:rPr>
          <w:rFonts w:eastAsia="Times New Roman"/>
          <w:i/>
          <w:iCs/>
          <w:lang w:eastAsia="de-DE"/>
        </w:rPr>
        <w:t>, 46</w:t>
      </w:r>
      <w:r w:rsidRPr="00505E44">
        <w:rPr>
          <w:rFonts w:eastAsia="Times New Roman"/>
          <w:lang w:eastAsia="de-DE"/>
        </w:rPr>
        <w:t>(1), 50-80. doi:10.1518/hfes.46.1.50_30392</w:t>
      </w:r>
    </w:p>
    <w:p w14:paraId="6D9F4471"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Lukyanenko</w:t>
      </w:r>
      <w:proofErr w:type="spellEnd"/>
      <w:r w:rsidRPr="00505E44">
        <w:rPr>
          <w:rFonts w:eastAsia="Times New Roman"/>
          <w:lang w:val="en-US" w:eastAsia="de-DE"/>
        </w:rPr>
        <w:t xml:space="preserve">, R., </w:t>
      </w:r>
      <w:proofErr w:type="spellStart"/>
      <w:r w:rsidRPr="00505E44">
        <w:rPr>
          <w:rFonts w:eastAsia="Times New Roman"/>
          <w:lang w:val="en-US" w:eastAsia="de-DE"/>
        </w:rPr>
        <w:t>Maass</w:t>
      </w:r>
      <w:proofErr w:type="spellEnd"/>
      <w:r w:rsidRPr="00505E44">
        <w:rPr>
          <w:rFonts w:eastAsia="Times New Roman"/>
          <w:lang w:val="en-US" w:eastAsia="de-DE"/>
        </w:rPr>
        <w:t xml:space="preserve">, W., &amp; </w:t>
      </w:r>
      <w:proofErr w:type="spellStart"/>
      <w:r w:rsidRPr="00505E44">
        <w:rPr>
          <w:rFonts w:eastAsia="Times New Roman"/>
          <w:lang w:val="en-US" w:eastAsia="de-DE"/>
        </w:rPr>
        <w:t>Storey</w:t>
      </w:r>
      <w:proofErr w:type="spellEnd"/>
      <w:r w:rsidRPr="00505E44">
        <w:rPr>
          <w:rFonts w:eastAsia="Times New Roman"/>
          <w:lang w:val="en-US" w:eastAsia="de-DE"/>
        </w:rPr>
        <w:t xml:space="preserve">, V. C. (2022). Trust in artificial intelligence: From a foundational trust framework to emerging research opportunities. </w:t>
      </w:r>
      <w:r w:rsidRPr="00505E44">
        <w:rPr>
          <w:rFonts w:eastAsia="Times New Roman"/>
          <w:i/>
          <w:iCs/>
          <w:lang w:eastAsia="de-DE"/>
        </w:rPr>
        <w:t xml:space="preserve">Electronic </w:t>
      </w:r>
      <w:proofErr w:type="spellStart"/>
      <w:r w:rsidRPr="00505E44">
        <w:rPr>
          <w:rFonts w:eastAsia="Times New Roman"/>
          <w:i/>
          <w:iCs/>
          <w:lang w:eastAsia="de-DE"/>
        </w:rPr>
        <w:t>Markets</w:t>
      </w:r>
      <w:proofErr w:type="spellEnd"/>
      <w:r w:rsidRPr="00505E44">
        <w:rPr>
          <w:rFonts w:eastAsia="Times New Roman"/>
          <w:i/>
          <w:iCs/>
          <w:lang w:eastAsia="de-DE"/>
        </w:rPr>
        <w:t>, 32</w:t>
      </w:r>
      <w:r w:rsidRPr="00505E44">
        <w:rPr>
          <w:rFonts w:eastAsia="Times New Roman"/>
          <w:lang w:eastAsia="de-DE"/>
        </w:rPr>
        <w:t>(4), 1993-2020. doi:10.1007/s12525-022-00605-4</w:t>
      </w:r>
    </w:p>
    <w:p w14:paraId="12118F07"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Mayer, R. C., Davis, J. H., &amp; </w:t>
      </w:r>
      <w:proofErr w:type="spellStart"/>
      <w:r w:rsidRPr="00505E44">
        <w:rPr>
          <w:rFonts w:eastAsia="Times New Roman"/>
          <w:lang w:val="en-US" w:eastAsia="de-DE"/>
        </w:rPr>
        <w:t>Schoorman</w:t>
      </w:r>
      <w:proofErr w:type="spellEnd"/>
      <w:r w:rsidRPr="00505E44">
        <w:rPr>
          <w:rFonts w:eastAsia="Times New Roman"/>
          <w:lang w:val="en-US" w:eastAsia="de-DE"/>
        </w:rPr>
        <w:t xml:space="preserve">, F. D. (1995). An integrative model of organizational trust. </w:t>
      </w:r>
      <w:r w:rsidRPr="00505E44">
        <w:rPr>
          <w:rFonts w:eastAsia="Times New Roman"/>
          <w:i/>
          <w:iCs/>
          <w:lang w:eastAsia="de-DE"/>
        </w:rPr>
        <w:t>Academy of Management Review, 20</w:t>
      </w:r>
      <w:r w:rsidRPr="00505E44">
        <w:rPr>
          <w:rFonts w:eastAsia="Times New Roman"/>
          <w:lang w:eastAsia="de-DE"/>
        </w:rPr>
        <w:t>(3), 709-734. doi:10.5465/AMR.1995.9508080335</w:t>
      </w:r>
    </w:p>
    <w:p w14:paraId="46A8A947"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McKnight, D. H., Cummings, L. L., &amp; </w:t>
      </w:r>
      <w:proofErr w:type="spellStart"/>
      <w:r w:rsidRPr="00505E44">
        <w:rPr>
          <w:rFonts w:eastAsia="Times New Roman"/>
          <w:lang w:val="en-US" w:eastAsia="de-DE"/>
        </w:rPr>
        <w:t>Chervany</w:t>
      </w:r>
      <w:proofErr w:type="spellEnd"/>
      <w:r w:rsidRPr="00505E44">
        <w:rPr>
          <w:rFonts w:eastAsia="Times New Roman"/>
          <w:lang w:val="en-US" w:eastAsia="de-DE"/>
        </w:rPr>
        <w:t xml:space="preserve">, N. L. (1998). Initial trust formation in new organizational relationships. </w:t>
      </w:r>
      <w:r w:rsidRPr="00505E44">
        <w:rPr>
          <w:rFonts w:eastAsia="Times New Roman"/>
          <w:i/>
          <w:iCs/>
          <w:lang w:eastAsia="de-DE"/>
        </w:rPr>
        <w:t>Academy of Management Review, 23</w:t>
      </w:r>
      <w:r w:rsidRPr="00505E44">
        <w:rPr>
          <w:rFonts w:eastAsia="Times New Roman"/>
          <w:lang w:eastAsia="de-DE"/>
        </w:rPr>
        <w:t>(3), 473-490. doi:10.5465/AMR.1998.926622</w:t>
      </w:r>
    </w:p>
    <w:p w14:paraId="4F72E94D"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eastAsia="de-DE"/>
        </w:rPr>
        <w:t xml:space="preserve">Merritt, S. M., &amp; Ilgen, D. R. (2008). </w:t>
      </w:r>
      <w:r w:rsidRPr="00505E44">
        <w:rPr>
          <w:rFonts w:eastAsia="Times New Roman"/>
          <w:lang w:val="en-US" w:eastAsia="de-DE"/>
        </w:rPr>
        <w:t xml:space="preserve">Not all trust is created equal: Dispositional and history-based trust in human-automation interactions. </w:t>
      </w:r>
      <w:r w:rsidRPr="00505E44">
        <w:rPr>
          <w:rFonts w:eastAsia="Times New Roman"/>
          <w:i/>
          <w:iCs/>
          <w:lang w:eastAsia="de-DE"/>
        </w:rPr>
        <w:t xml:space="preserve">Human </w:t>
      </w:r>
      <w:proofErr w:type="spellStart"/>
      <w:r w:rsidRPr="00505E44">
        <w:rPr>
          <w:rFonts w:eastAsia="Times New Roman"/>
          <w:i/>
          <w:iCs/>
          <w:lang w:eastAsia="de-DE"/>
        </w:rPr>
        <w:t>Factors</w:t>
      </w:r>
      <w:proofErr w:type="spellEnd"/>
      <w:r w:rsidRPr="00505E44">
        <w:rPr>
          <w:rFonts w:eastAsia="Times New Roman"/>
          <w:i/>
          <w:iCs/>
          <w:lang w:eastAsia="de-DE"/>
        </w:rPr>
        <w:t>, 50</w:t>
      </w:r>
      <w:r w:rsidRPr="00505E44">
        <w:rPr>
          <w:rFonts w:eastAsia="Times New Roman"/>
          <w:lang w:eastAsia="de-DE"/>
        </w:rPr>
        <w:t>(2), 194-210. doi:10.1518/001872008X288574</w:t>
      </w:r>
    </w:p>
    <w:p w14:paraId="066D0704"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Miller, T. (2019). Explanation in artificial intelligence: Insights from the social sciences. </w:t>
      </w:r>
      <w:proofErr w:type="spellStart"/>
      <w:r w:rsidRPr="00505E44">
        <w:rPr>
          <w:rFonts w:eastAsia="Times New Roman"/>
          <w:i/>
          <w:iCs/>
          <w:lang w:eastAsia="de-DE"/>
        </w:rPr>
        <w:t>Artificial</w:t>
      </w:r>
      <w:proofErr w:type="spellEnd"/>
      <w:r w:rsidRPr="00505E44">
        <w:rPr>
          <w:rFonts w:eastAsia="Times New Roman"/>
          <w:i/>
          <w:iCs/>
          <w:lang w:eastAsia="de-DE"/>
        </w:rPr>
        <w:t xml:space="preserve"> </w:t>
      </w:r>
      <w:proofErr w:type="spellStart"/>
      <w:r w:rsidRPr="00505E44">
        <w:rPr>
          <w:rFonts w:eastAsia="Times New Roman"/>
          <w:i/>
          <w:iCs/>
          <w:lang w:eastAsia="de-DE"/>
        </w:rPr>
        <w:t>Intelligence</w:t>
      </w:r>
      <w:proofErr w:type="spellEnd"/>
      <w:r w:rsidRPr="00505E44">
        <w:rPr>
          <w:rFonts w:eastAsia="Times New Roman"/>
          <w:i/>
          <w:iCs/>
          <w:lang w:eastAsia="de-DE"/>
        </w:rPr>
        <w:t>, 267</w:t>
      </w:r>
      <w:r w:rsidRPr="00505E44">
        <w:rPr>
          <w:rFonts w:eastAsia="Times New Roman"/>
          <w:lang w:eastAsia="de-DE"/>
        </w:rPr>
        <w:t xml:space="preserve">, 1-38. </w:t>
      </w:r>
      <w:proofErr w:type="gramStart"/>
      <w:r w:rsidRPr="00505E44">
        <w:rPr>
          <w:rFonts w:eastAsia="Times New Roman"/>
          <w:lang w:eastAsia="de-DE"/>
        </w:rPr>
        <w:t>doi:10.1016/j.artint</w:t>
      </w:r>
      <w:proofErr w:type="gramEnd"/>
      <w:r w:rsidRPr="00505E44">
        <w:rPr>
          <w:rFonts w:eastAsia="Times New Roman"/>
          <w:lang w:eastAsia="de-DE"/>
        </w:rPr>
        <w:t>.2018.07.007</w:t>
      </w:r>
    </w:p>
    <w:p w14:paraId="1FB2E857"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Muir, B. M. (1994). Trust in automation: Part I. Theoretical issues in the study of trust and human intervention in automated systems. </w:t>
      </w:r>
      <w:proofErr w:type="spellStart"/>
      <w:r w:rsidRPr="00505E44">
        <w:rPr>
          <w:rFonts w:eastAsia="Times New Roman"/>
          <w:i/>
          <w:iCs/>
          <w:lang w:eastAsia="de-DE"/>
        </w:rPr>
        <w:t>Ergonomics</w:t>
      </w:r>
      <w:proofErr w:type="spellEnd"/>
      <w:r w:rsidRPr="00505E44">
        <w:rPr>
          <w:rFonts w:eastAsia="Times New Roman"/>
          <w:i/>
          <w:iCs/>
          <w:lang w:eastAsia="de-DE"/>
        </w:rPr>
        <w:t>, 37</w:t>
      </w:r>
      <w:r w:rsidRPr="00505E44">
        <w:rPr>
          <w:rFonts w:eastAsia="Times New Roman"/>
          <w:lang w:eastAsia="de-DE"/>
        </w:rPr>
        <w:t>(11), 1905-1922. doi:10.1080/00140139408964957</w:t>
      </w:r>
    </w:p>
    <w:p w14:paraId="2D881AD0"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pt-BR" w:eastAsia="de-DE"/>
        </w:rPr>
        <w:t xml:space="preserve">Muir, B. M., &amp; Moray, N. (1996). </w:t>
      </w:r>
      <w:r w:rsidRPr="00505E44">
        <w:rPr>
          <w:rFonts w:eastAsia="Times New Roman"/>
          <w:lang w:val="en-US" w:eastAsia="de-DE"/>
        </w:rPr>
        <w:t xml:space="preserve">Trust in automation: Part II. Experimental studies of trust and human intervention in a process control simulation. </w:t>
      </w:r>
      <w:proofErr w:type="spellStart"/>
      <w:r w:rsidRPr="00505E44">
        <w:rPr>
          <w:rFonts w:eastAsia="Times New Roman"/>
          <w:i/>
          <w:iCs/>
          <w:lang w:eastAsia="de-DE"/>
        </w:rPr>
        <w:t>Ergonomics</w:t>
      </w:r>
      <w:proofErr w:type="spellEnd"/>
      <w:r w:rsidRPr="00505E44">
        <w:rPr>
          <w:rFonts w:eastAsia="Times New Roman"/>
          <w:i/>
          <w:iCs/>
          <w:lang w:eastAsia="de-DE"/>
        </w:rPr>
        <w:t>, 39</w:t>
      </w:r>
      <w:r w:rsidRPr="00505E44">
        <w:rPr>
          <w:rFonts w:eastAsia="Times New Roman"/>
          <w:lang w:eastAsia="de-DE"/>
        </w:rPr>
        <w:t>(3), 429-460. doi:10.1080/00140139608964474</w:t>
      </w:r>
    </w:p>
    <w:p w14:paraId="597962CC"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s-AR" w:eastAsia="de-DE"/>
        </w:rPr>
        <w:t xml:space="preserve">Murillo, A., Elizondo, S., </w:t>
      </w:r>
      <w:proofErr w:type="spellStart"/>
      <w:r w:rsidRPr="00505E44">
        <w:rPr>
          <w:rFonts w:eastAsia="Times New Roman"/>
          <w:lang w:val="es-AR" w:eastAsia="de-DE"/>
        </w:rPr>
        <w:t>D’Angelo</w:t>
      </w:r>
      <w:proofErr w:type="spellEnd"/>
      <w:r w:rsidRPr="00505E44">
        <w:rPr>
          <w:rFonts w:eastAsia="Times New Roman"/>
          <w:lang w:val="es-AR" w:eastAsia="de-DE"/>
        </w:rPr>
        <w:t xml:space="preserve">, S., Brown, A., Kumar, A., Madison, K., &amp; </w:t>
      </w:r>
      <w:proofErr w:type="spellStart"/>
      <w:r w:rsidRPr="00505E44">
        <w:rPr>
          <w:rFonts w:eastAsia="Times New Roman"/>
          <w:lang w:val="es-AR" w:eastAsia="de-DE"/>
        </w:rPr>
        <w:t>Macvean</w:t>
      </w:r>
      <w:proofErr w:type="spellEnd"/>
      <w:r w:rsidRPr="00505E44">
        <w:rPr>
          <w:rFonts w:eastAsia="Times New Roman"/>
          <w:lang w:val="es-AR" w:eastAsia="de-DE"/>
        </w:rPr>
        <w:t xml:space="preserve">, A. (2024). </w:t>
      </w:r>
      <w:r w:rsidRPr="00505E44">
        <w:rPr>
          <w:rFonts w:eastAsia="Times New Roman"/>
          <w:lang w:val="en-US" w:eastAsia="de-DE"/>
        </w:rPr>
        <w:t xml:space="preserve">Understanding and designing for trust in AI-powered developer tooling. </w:t>
      </w:r>
      <w:r w:rsidRPr="00505E44">
        <w:rPr>
          <w:rFonts w:eastAsia="Times New Roman"/>
          <w:i/>
          <w:iCs/>
          <w:lang w:eastAsia="de-DE"/>
        </w:rPr>
        <w:t>IEEE Software, 41</w:t>
      </w:r>
      <w:r w:rsidRPr="00505E44">
        <w:rPr>
          <w:rFonts w:eastAsia="Times New Roman"/>
          <w:lang w:eastAsia="de-DE"/>
        </w:rPr>
        <w:t>(6), 23-28. doi:10.1109/MS.2024.3439108</w:t>
      </w:r>
    </w:p>
    <w:p w14:paraId="20CFFFA8"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National Institute of Standards and Technology. </w:t>
      </w:r>
      <w:r w:rsidRPr="00505E44">
        <w:rPr>
          <w:rFonts w:eastAsia="Times New Roman"/>
          <w:lang w:eastAsia="de-DE"/>
        </w:rPr>
        <w:t xml:space="preserve">(2023). </w:t>
      </w:r>
      <w:proofErr w:type="spellStart"/>
      <w:r w:rsidRPr="00505E44">
        <w:rPr>
          <w:rFonts w:eastAsia="Times New Roman"/>
          <w:i/>
          <w:iCs/>
          <w:lang w:eastAsia="de-DE"/>
        </w:rPr>
        <w:t>Artificial</w:t>
      </w:r>
      <w:proofErr w:type="spellEnd"/>
      <w:r w:rsidRPr="00505E44">
        <w:rPr>
          <w:rFonts w:eastAsia="Times New Roman"/>
          <w:i/>
          <w:iCs/>
          <w:lang w:eastAsia="de-DE"/>
        </w:rPr>
        <w:t xml:space="preserve"> </w:t>
      </w:r>
      <w:proofErr w:type="spellStart"/>
      <w:r w:rsidRPr="00505E44">
        <w:rPr>
          <w:rFonts w:eastAsia="Times New Roman"/>
          <w:i/>
          <w:iCs/>
          <w:lang w:eastAsia="de-DE"/>
        </w:rPr>
        <w:t>intelligence</w:t>
      </w:r>
      <w:proofErr w:type="spellEnd"/>
      <w:r w:rsidRPr="00505E44">
        <w:rPr>
          <w:rFonts w:eastAsia="Times New Roman"/>
          <w:i/>
          <w:iCs/>
          <w:lang w:eastAsia="de-DE"/>
        </w:rPr>
        <w:t xml:space="preserve"> </w:t>
      </w:r>
      <w:proofErr w:type="spellStart"/>
      <w:r w:rsidRPr="00505E44">
        <w:rPr>
          <w:rFonts w:eastAsia="Times New Roman"/>
          <w:i/>
          <w:iCs/>
          <w:lang w:eastAsia="de-DE"/>
        </w:rPr>
        <w:t>risk</w:t>
      </w:r>
      <w:proofErr w:type="spellEnd"/>
      <w:r w:rsidRPr="00505E44">
        <w:rPr>
          <w:rFonts w:eastAsia="Times New Roman"/>
          <w:i/>
          <w:iCs/>
          <w:lang w:eastAsia="de-DE"/>
        </w:rPr>
        <w:t xml:space="preserve"> </w:t>
      </w:r>
      <w:proofErr w:type="spellStart"/>
      <w:r w:rsidRPr="00505E44">
        <w:rPr>
          <w:rFonts w:eastAsia="Times New Roman"/>
          <w:i/>
          <w:iCs/>
          <w:lang w:eastAsia="de-DE"/>
        </w:rPr>
        <w:t>management</w:t>
      </w:r>
      <w:proofErr w:type="spellEnd"/>
      <w:r w:rsidRPr="00505E44">
        <w:rPr>
          <w:rFonts w:eastAsia="Times New Roman"/>
          <w:i/>
          <w:iCs/>
          <w:lang w:eastAsia="de-DE"/>
        </w:rPr>
        <w:t xml:space="preserve"> </w:t>
      </w:r>
      <w:proofErr w:type="spellStart"/>
      <w:r w:rsidRPr="00505E44">
        <w:rPr>
          <w:rFonts w:eastAsia="Times New Roman"/>
          <w:i/>
          <w:iCs/>
          <w:lang w:eastAsia="de-DE"/>
        </w:rPr>
        <w:t>framework</w:t>
      </w:r>
      <w:proofErr w:type="spellEnd"/>
      <w:r w:rsidRPr="00505E44">
        <w:rPr>
          <w:rFonts w:eastAsia="Times New Roman"/>
          <w:i/>
          <w:iCs/>
          <w:lang w:eastAsia="de-DE"/>
        </w:rPr>
        <w:t xml:space="preserve"> (AI RMF 1.0)</w:t>
      </w:r>
      <w:r w:rsidRPr="00505E44">
        <w:rPr>
          <w:rFonts w:eastAsia="Times New Roman"/>
          <w:lang w:eastAsia="de-DE"/>
        </w:rPr>
        <w:t xml:space="preserve"> (NIST AI 100-1). doi:10.6028/NIST.AI.100-1</w:t>
      </w:r>
    </w:p>
    <w:p w14:paraId="668F97CF"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lastRenderedPageBreak/>
        <w:t xml:space="preserve">National Institute of Standards and Technology. </w:t>
      </w:r>
      <w:r w:rsidRPr="00505E44">
        <w:rPr>
          <w:rFonts w:eastAsia="Times New Roman"/>
          <w:lang w:eastAsia="de-DE"/>
        </w:rPr>
        <w:t xml:space="preserve">(2024a). </w:t>
      </w:r>
      <w:proofErr w:type="spellStart"/>
      <w:r w:rsidRPr="00505E44">
        <w:rPr>
          <w:rFonts w:eastAsia="Times New Roman"/>
          <w:i/>
          <w:iCs/>
          <w:lang w:eastAsia="de-DE"/>
        </w:rPr>
        <w:t>Artificial</w:t>
      </w:r>
      <w:proofErr w:type="spellEnd"/>
      <w:r w:rsidRPr="00505E44">
        <w:rPr>
          <w:rFonts w:eastAsia="Times New Roman"/>
          <w:i/>
          <w:iCs/>
          <w:lang w:eastAsia="de-DE"/>
        </w:rPr>
        <w:t xml:space="preserve"> </w:t>
      </w:r>
      <w:proofErr w:type="spellStart"/>
      <w:r w:rsidRPr="00505E44">
        <w:rPr>
          <w:rFonts w:eastAsia="Times New Roman"/>
          <w:i/>
          <w:iCs/>
          <w:lang w:eastAsia="de-DE"/>
        </w:rPr>
        <w:t>intelligence</w:t>
      </w:r>
      <w:proofErr w:type="spellEnd"/>
      <w:r w:rsidRPr="00505E44">
        <w:rPr>
          <w:rFonts w:eastAsia="Times New Roman"/>
          <w:i/>
          <w:iCs/>
          <w:lang w:eastAsia="de-DE"/>
        </w:rPr>
        <w:t xml:space="preserve"> </w:t>
      </w:r>
      <w:proofErr w:type="spellStart"/>
      <w:r w:rsidRPr="00505E44">
        <w:rPr>
          <w:rFonts w:eastAsia="Times New Roman"/>
          <w:i/>
          <w:iCs/>
          <w:lang w:eastAsia="de-DE"/>
        </w:rPr>
        <w:t>risk</w:t>
      </w:r>
      <w:proofErr w:type="spellEnd"/>
      <w:r w:rsidRPr="00505E44">
        <w:rPr>
          <w:rFonts w:eastAsia="Times New Roman"/>
          <w:i/>
          <w:iCs/>
          <w:lang w:eastAsia="de-DE"/>
        </w:rPr>
        <w:t xml:space="preserve"> </w:t>
      </w:r>
      <w:proofErr w:type="spellStart"/>
      <w:r w:rsidRPr="00505E44">
        <w:rPr>
          <w:rFonts w:eastAsia="Times New Roman"/>
          <w:i/>
          <w:iCs/>
          <w:lang w:eastAsia="de-DE"/>
        </w:rPr>
        <w:t>management</w:t>
      </w:r>
      <w:proofErr w:type="spellEnd"/>
      <w:r w:rsidRPr="00505E44">
        <w:rPr>
          <w:rFonts w:eastAsia="Times New Roman"/>
          <w:i/>
          <w:iCs/>
          <w:lang w:eastAsia="de-DE"/>
        </w:rPr>
        <w:t xml:space="preserve"> </w:t>
      </w:r>
      <w:proofErr w:type="spellStart"/>
      <w:r w:rsidRPr="00505E44">
        <w:rPr>
          <w:rFonts w:eastAsia="Times New Roman"/>
          <w:i/>
          <w:iCs/>
          <w:lang w:eastAsia="de-DE"/>
        </w:rPr>
        <w:t>framework</w:t>
      </w:r>
      <w:proofErr w:type="spellEnd"/>
      <w:r w:rsidRPr="00505E44">
        <w:rPr>
          <w:rFonts w:eastAsia="Times New Roman"/>
          <w:i/>
          <w:iCs/>
          <w:lang w:eastAsia="de-DE"/>
        </w:rPr>
        <w:t xml:space="preserve">: Generative </w:t>
      </w:r>
      <w:proofErr w:type="spellStart"/>
      <w:r w:rsidRPr="00505E44">
        <w:rPr>
          <w:rFonts w:eastAsia="Times New Roman"/>
          <w:i/>
          <w:iCs/>
          <w:lang w:eastAsia="de-DE"/>
        </w:rPr>
        <w:t>artificial</w:t>
      </w:r>
      <w:proofErr w:type="spellEnd"/>
      <w:r w:rsidRPr="00505E44">
        <w:rPr>
          <w:rFonts w:eastAsia="Times New Roman"/>
          <w:i/>
          <w:iCs/>
          <w:lang w:eastAsia="de-DE"/>
        </w:rPr>
        <w:t xml:space="preserve"> </w:t>
      </w:r>
      <w:proofErr w:type="spellStart"/>
      <w:r w:rsidRPr="00505E44">
        <w:rPr>
          <w:rFonts w:eastAsia="Times New Roman"/>
          <w:i/>
          <w:iCs/>
          <w:lang w:eastAsia="de-DE"/>
        </w:rPr>
        <w:t>intelligence</w:t>
      </w:r>
      <w:proofErr w:type="spellEnd"/>
      <w:r w:rsidRPr="00505E44">
        <w:rPr>
          <w:rFonts w:eastAsia="Times New Roman"/>
          <w:i/>
          <w:iCs/>
          <w:lang w:eastAsia="de-DE"/>
        </w:rPr>
        <w:t xml:space="preserve"> </w:t>
      </w:r>
      <w:proofErr w:type="spellStart"/>
      <w:r w:rsidRPr="00505E44">
        <w:rPr>
          <w:rFonts w:eastAsia="Times New Roman"/>
          <w:i/>
          <w:iCs/>
          <w:lang w:eastAsia="de-DE"/>
        </w:rPr>
        <w:t>profile</w:t>
      </w:r>
      <w:proofErr w:type="spellEnd"/>
      <w:r w:rsidRPr="00505E44">
        <w:rPr>
          <w:rFonts w:eastAsia="Times New Roman"/>
          <w:lang w:eastAsia="de-DE"/>
        </w:rPr>
        <w:t xml:space="preserve"> (NIST AI 600-1). doi:10.6028/NIST.AI.600-1</w:t>
      </w:r>
    </w:p>
    <w:p w14:paraId="2DBFE0DA"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National Institute of Standards and Technology. (2024b). </w:t>
      </w:r>
      <w:r w:rsidRPr="00505E44">
        <w:rPr>
          <w:rFonts w:eastAsia="Times New Roman"/>
          <w:i/>
          <w:iCs/>
          <w:lang w:val="en-US" w:eastAsia="de-DE"/>
        </w:rPr>
        <w:t>The NIST cybersecurity framework (CSF) 2.0</w:t>
      </w:r>
      <w:r w:rsidRPr="00505E44">
        <w:rPr>
          <w:rFonts w:eastAsia="Times New Roman"/>
          <w:lang w:val="en-US" w:eastAsia="de-DE"/>
        </w:rPr>
        <w:t xml:space="preserve"> (NIST CSWP 29). </w:t>
      </w:r>
      <w:proofErr w:type="gramStart"/>
      <w:r w:rsidRPr="00505E44">
        <w:rPr>
          <w:rFonts w:eastAsia="Times New Roman"/>
          <w:lang w:val="en-US" w:eastAsia="de-DE"/>
        </w:rPr>
        <w:t>doi:10.6028/NIST.CSWP</w:t>
      </w:r>
      <w:proofErr w:type="gramEnd"/>
      <w:r w:rsidRPr="00505E44">
        <w:rPr>
          <w:rFonts w:eastAsia="Times New Roman"/>
          <w:lang w:val="en-US" w:eastAsia="de-DE"/>
        </w:rPr>
        <w:t>.29</w:t>
      </w:r>
    </w:p>
    <w:p w14:paraId="3521E051"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National Institute of Standards and Technology. (2025). </w:t>
      </w:r>
      <w:r w:rsidRPr="00505E44">
        <w:rPr>
          <w:rFonts w:eastAsia="Times New Roman"/>
          <w:i/>
          <w:iCs/>
          <w:lang w:val="en-US" w:eastAsia="de-DE"/>
        </w:rPr>
        <w:t>Incident response recommendations and considerations for cyber risk management</w:t>
      </w:r>
      <w:r w:rsidRPr="00505E44">
        <w:rPr>
          <w:rFonts w:eastAsia="Times New Roman"/>
          <w:lang w:val="en-US" w:eastAsia="de-DE"/>
        </w:rPr>
        <w:t xml:space="preserve"> (NIST SP 800-61 Rev. 3).</w:t>
      </w:r>
    </w:p>
    <w:p w14:paraId="6FA74416"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pt-BR" w:eastAsia="de-DE"/>
        </w:rPr>
        <w:t xml:space="preserve">Notaro, P., Cardoso, J., &amp; Gerndt, M. (2021). </w:t>
      </w:r>
      <w:r w:rsidRPr="00505E44">
        <w:rPr>
          <w:rFonts w:eastAsia="Times New Roman"/>
          <w:lang w:val="en-US" w:eastAsia="de-DE"/>
        </w:rPr>
        <w:t xml:space="preserve">A survey of AIOps methods for failure management. </w:t>
      </w:r>
      <w:r w:rsidRPr="00505E44">
        <w:rPr>
          <w:rFonts w:eastAsia="Times New Roman"/>
          <w:i/>
          <w:iCs/>
          <w:lang w:eastAsia="de-DE"/>
        </w:rPr>
        <w:t>ACM Transactions on Intelligent Systems and Technology, 12</w:t>
      </w:r>
      <w:r w:rsidRPr="00505E44">
        <w:rPr>
          <w:rFonts w:eastAsia="Times New Roman"/>
          <w:lang w:eastAsia="de-DE"/>
        </w:rPr>
        <w:t xml:space="preserve">(6), </w:t>
      </w:r>
      <w:proofErr w:type="spellStart"/>
      <w:r w:rsidRPr="00505E44">
        <w:rPr>
          <w:rFonts w:eastAsia="Times New Roman"/>
          <w:lang w:eastAsia="de-DE"/>
        </w:rPr>
        <w:t>Article</w:t>
      </w:r>
      <w:proofErr w:type="spellEnd"/>
      <w:r w:rsidRPr="00505E44">
        <w:rPr>
          <w:rFonts w:eastAsia="Times New Roman"/>
          <w:lang w:eastAsia="de-DE"/>
        </w:rPr>
        <w:t xml:space="preserve"> 81. doi:10.1145/3483424</w:t>
      </w:r>
    </w:p>
    <w:p w14:paraId="7EEBF6D3"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OpenTelemetry</w:t>
      </w:r>
      <w:proofErr w:type="spellEnd"/>
      <w:r w:rsidRPr="00505E44">
        <w:rPr>
          <w:rFonts w:eastAsia="Times New Roman"/>
          <w:lang w:val="en-US" w:eastAsia="de-DE"/>
        </w:rPr>
        <w:t xml:space="preserve"> Authors. (n.d.-a). </w:t>
      </w:r>
      <w:proofErr w:type="spellStart"/>
      <w:r w:rsidRPr="00505E44">
        <w:rPr>
          <w:rFonts w:eastAsia="Times New Roman"/>
          <w:i/>
          <w:iCs/>
          <w:lang w:eastAsia="de-DE"/>
        </w:rPr>
        <w:t>Semantic</w:t>
      </w:r>
      <w:proofErr w:type="spellEnd"/>
      <w:r w:rsidRPr="00505E44">
        <w:rPr>
          <w:rFonts w:eastAsia="Times New Roman"/>
          <w:i/>
          <w:iCs/>
          <w:lang w:eastAsia="de-DE"/>
        </w:rPr>
        <w:t xml:space="preserve"> </w:t>
      </w:r>
      <w:proofErr w:type="spellStart"/>
      <w:r w:rsidRPr="00505E44">
        <w:rPr>
          <w:rFonts w:eastAsia="Times New Roman"/>
          <w:i/>
          <w:iCs/>
          <w:lang w:eastAsia="de-DE"/>
        </w:rPr>
        <w:t>conventions</w:t>
      </w:r>
      <w:proofErr w:type="spellEnd"/>
      <w:r w:rsidRPr="00505E44">
        <w:rPr>
          <w:rFonts w:eastAsia="Times New Roman"/>
          <w:lang w:eastAsia="de-DE"/>
        </w:rPr>
        <w:t xml:space="preserve">. </w:t>
      </w:r>
      <w:proofErr w:type="spellStart"/>
      <w:r w:rsidRPr="00505E44">
        <w:rPr>
          <w:rFonts w:eastAsia="Times New Roman"/>
          <w:lang w:eastAsia="de-DE"/>
        </w:rPr>
        <w:t>OpenTelemetry</w:t>
      </w:r>
      <w:proofErr w:type="spellEnd"/>
      <w:r w:rsidRPr="00505E44">
        <w:rPr>
          <w:rFonts w:eastAsia="Times New Roman"/>
          <w:lang w:eastAsia="de-DE"/>
        </w:rPr>
        <w:t xml:space="preserve"> </w:t>
      </w:r>
      <w:proofErr w:type="spellStart"/>
      <w:r w:rsidRPr="00505E44">
        <w:rPr>
          <w:rFonts w:eastAsia="Times New Roman"/>
          <w:lang w:eastAsia="de-DE"/>
        </w:rPr>
        <w:t>documentation</w:t>
      </w:r>
      <w:proofErr w:type="spellEnd"/>
      <w:r w:rsidRPr="00505E44">
        <w:rPr>
          <w:rFonts w:eastAsia="Times New Roman"/>
          <w:lang w:eastAsia="de-DE"/>
        </w:rPr>
        <w:t>.</w:t>
      </w:r>
    </w:p>
    <w:p w14:paraId="3D690027"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OpenTelemetry</w:t>
      </w:r>
      <w:proofErr w:type="spellEnd"/>
      <w:r w:rsidRPr="00505E44">
        <w:rPr>
          <w:rFonts w:eastAsia="Times New Roman"/>
          <w:lang w:val="en-US" w:eastAsia="de-DE"/>
        </w:rPr>
        <w:t xml:space="preserve"> Authors. (n.d.-b). </w:t>
      </w:r>
      <w:r w:rsidRPr="00505E44">
        <w:rPr>
          <w:rFonts w:eastAsia="Times New Roman"/>
          <w:i/>
          <w:iCs/>
          <w:lang w:val="en-US" w:eastAsia="de-DE"/>
        </w:rPr>
        <w:t>Semantic conventions for generative AI systems</w:t>
      </w:r>
      <w:r w:rsidRPr="00505E44">
        <w:rPr>
          <w:rFonts w:eastAsia="Times New Roman"/>
          <w:lang w:val="en-US" w:eastAsia="de-DE"/>
        </w:rPr>
        <w:t xml:space="preserve">. </w:t>
      </w:r>
      <w:proofErr w:type="spellStart"/>
      <w:r w:rsidRPr="00505E44">
        <w:rPr>
          <w:rFonts w:eastAsia="Times New Roman"/>
          <w:lang w:eastAsia="de-DE"/>
        </w:rPr>
        <w:t>OpenTelemetry</w:t>
      </w:r>
      <w:proofErr w:type="spellEnd"/>
      <w:r w:rsidRPr="00505E44">
        <w:rPr>
          <w:rFonts w:eastAsia="Times New Roman"/>
          <w:lang w:eastAsia="de-DE"/>
        </w:rPr>
        <w:t xml:space="preserve"> </w:t>
      </w:r>
      <w:proofErr w:type="spellStart"/>
      <w:r w:rsidRPr="00505E44">
        <w:rPr>
          <w:rFonts w:eastAsia="Times New Roman"/>
          <w:lang w:eastAsia="de-DE"/>
        </w:rPr>
        <w:t>documentation</w:t>
      </w:r>
      <w:proofErr w:type="spellEnd"/>
      <w:r w:rsidRPr="00505E44">
        <w:rPr>
          <w:rFonts w:eastAsia="Times New Roman"/>
          <w:lang w:eastAsia="de-DE"/>
        </w:rPr>
        <w:t>.</w:t>
      </w:r>
    </w:p>
    <w:p w14:paraId="0037A99F"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eastAsia="de-DE"/>
        </w:rPr>
        <w:t xml:space="preserve">Page, M. J., McKenzie, J. E., </w:t>
      </w:r>
      <w:proofErr w:type="spellStart"/>
      <w:r w:rsidRPr="00505E44">
        <w:rPr>
          <w:rFonts w:eastAsia="Times New Roman"/>
          <w:lang w:eastAsia="de-DE"/>
        </w:rPr>
        <w:t>Bossuyt</w:t>
      </w:r>
      <w:proofErr w:type="spellEnd"/>
      <w:r w:rsidRPr="00505E44">
        <w:rPr>
          <w:rFonts w:eastAsia="Times New Roman"/>
          <w:lang w:eastAsia="de-DE"/>
        </w:rPr>
        <w:t xml:space="preserve">, P. M., </w:t>
      </w:r>
      <w:proofErr w:type="spellStart"/>
      <w:r w:rsidRPr="00505E44">
        <w:rPr>
          <w:rFonts w:eastAsia="Times New Roman"/>
          <w:lang w:eastAsia="de-DE"/>
        </w:rPr>
        <w:t>Boutron</w:t>
      </w:r>
      <w:proofErr w:type="spellEnd"/>
      <w:r w:rsidRPr="00505E44">
        <w:rPr>
          <w:rFonts w:eastAsia="Times New Roman"/>
          <w:lang w:eastAsia="de-DE"/>
        </w:rPr>
        <w:t xml:space="preserve">, I., Hoffmann, T. C., </w:t>
      </w:r>
      <w:proofErr w:type="spellStart"/>
      <w:r w:rsidRPr="00505E44">
        <w:rPr>
          <w:rFonts w:eastAsia="Times New Roman"/>
          <w:lang w:eastAsia="de-DE"/>
        </w:rPr>
        <w:t>Mulrow</w:t>
      </w:r>
      <w:proofErr w:type="spellEnd"/>
      <w:r w:rsidRPr="00505E44">
        <w:rPr>
          <w:rFonts w:eastAsia="Times New Roman"/>
          <w:lang w:eastAsia="de-DE"/>
        </w:rPr>
        <w:t xml:space="preserve">, C. D., </w:t>
      </w:r>
      <w:proofErr w:type="spellStart"/>
      <w:r w:rsidRPr="00505E44">
        <w:rPr>
          <w:rFonts w:eastAsia="Times New Roman"/>
          <w:lang w:eastAsia="de-DE"/>
        </w:rPr>
        <w:t>Shamseer</w:t>
      </w:r>
      <w:proofErr w:type="spellEnd"/>
      <w:r w:rsidRPr="00505E44">
        <w:rPr>
          <w:rFonts w:eastAsia="Times New Roman"/>
          <w:lang w:eastAsia="de-DE"/>
        </w:rPr>
        <w:t xml:space="preserve">, L., Tetzlaff, J. M., </w:t>
      </w:r>
      <w:proofErr w:type="spellStart"/>
      <w:r w:rsidRPr="00505E44">
        <w:rPr>
          <w:rFonts w:eastAsia="Times New Roman"/>
          <w:lang w:eastAsia="de-DE"/>
        </w:rPr>
        <w:t>Akl</w:t>
      </w:r>
      <w:proofErr w:type="spellEnd"/>
      <w:r w:rsidRPr="00505E44">
        <w:rPr>
          <w:rFonts w:eastAsia="Times New Roman"/>
          <w:lang w:eastAsia="de-DE"/>
        </w:rPr>
        <w:t xml:space="preserve">, E. A., Brennan, S. E., Chou, R., </w:t>
      </w:r>
      <w:proofErr w:type="spellStart"/>
      <w:r w:rsidRPr="00505E44">
        <w:rPr>
          <w:rFonts w:eastAsia="Times New Roman"/>
          <w:lang w:eastAsia="de-DE"/>
        </w:rPr>
        <w:t>Glanville</w:t>
      </w:r>
      <w:proofErr w:type="spellEnd"/>
      <w:r w:rsidRPr="00505E44">
        <w:rPr>
          <w:rFonts w:eastAsia="Times New Roman"/>
          <w:lang w:eastAsia="de-DE"/>
        </w:rPr>
        <w:t xml:space="preserve">, J., Grimshaw, J. M., </w:t>
      </w:r>
      <w:proofErr w:type="spellStart"/>
      <w:r w:rsidRPr="00505E44">
        <w:rPr>
          <w:rFonts w:eastAsia="Times New Roman"/>
          <w:lang w:eastAsia="de-DE"/>
        </w:rPr>
        <w:t>Hróbjartsson</w:t>
      </w:r>
      <w:proofErr w:type="spellEnd"/>
      <w:r w:rsidRPr="00505E44">
        <w:rPr>
          <w:rFonts w:eastAsia="Times New Roman"/>
          <w:lang w:eastAsia="de-DE"/>
        </w:rPr>
        <w:t xml:space="preserve">, A., </w:t>
      </w:r>
      <w:proofErr w:type="spellStart"/>
      <w:r w:rsidRPr="00505E44">
        <w:rPr>
          <w:rFonts w:eastAsia="Times New Roman"/>
          <w:lang w:eastAsia="de-DE"/>
        </w:rPr>
        <w:t>Lalu</w:t>
      </w:r>
      <w:proofErr w:type="spellEnd"/>
      <w:r w:rsidRPr="00505E44">
        <w:rPr>
          <w:rFonts w:eastAsia="Times New Roman"/>
          <w:lang w:eastAsia="de-DE"/>
        </w:rPr>
        <w:t xml:space="preserve">, M. M., Li, T., Loder, E. W., Mayo-Wilson, E., McDonald, S., … </w:t>
      </w:r>
      <w:r w:rsidRPr="00505E44">
        <w:rPr>
          <w:rFonts w:eastAsia="Times New Roman"/>
          <w:lang w:val="en-US" w:eastAsia="de-DE"/>
        </w:rPr>
        <w:t xml:space="preserve">Moher, D. (2021). The PRISMA 2020 statement: An updated guideline for reporting systematic reviews. </w:t>
      </w:r>
      <w:r w:rsidRPr="00505E44">
        <w:rPr>
          <w:rFonts w:eastAsia="Times New Roman"/>
          <w:i/>
          <w:iCs/>
          <w:lang w:eastAsia="de-DE"/>
        </w:rPr>
        <w:t>BMJ, 372</w:t>
      </w:r>
      <w:r w:rsidRPr="00505E44">
        <w:rPr>
          <w:rFonts w:eastAsia="Times New Roman"/>
          <w:lang w:eastAsia="de-DE"/>
        </w:rPr>
        <w:t>, n71. doi:10.1136/</w:t>
      </w:r>
      <w:proofErr w:type="gramStart"/>
      <w:r w:rsidRPr="00505E44">
        <w:rPr>
          <w:rFonts w:eastAsia="Times New Roman"/>
          <w:lang w:eastAsia="de-DE"/>
        </w:rPr>
        <w:t>bmj.n</w:t>
      </w:r>
      <w:proofErr w:type="gramEnd"/>
      <w:r w:rsidRPr="00505E44">
        <w:rPr>
          <w:rFonts w:eastAsia="Times New Roman"/>
          <w:lang w:eastAsia="de-DE"/>
        </w:rPr>
        <w:t>71</w:t>
      </w:r>
    </w:p>
    <w:p w14:paraId="7272D6E1"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Parasuraman, R., Sheridan, T. B., &amp; </w:t>
      </w:r>
      <w:proofErr w:type="spellStart"/>
      <w:r w:rsidRPr="00505E44">
        <w:rPr>
          <w:rFonts w:eastAsia="Times New Roman"/>
          <w:lang w:val="en-US" w:eastAsia="de-DE"/>
        </w:rPr>
        <w:t>Wickens</w:t>
      </w:r>
      <w:proofErr w:type="spellEnd"/>
      <w:r w:rsidRPr="00505E44">
        <w:rPr>
          <w:rFonts w:eastAsia="Times New Roman"/>
          <w:lang w:val="en-US" w:eastAsia="de-DE"/>
        </w:rPr>
        <w:t xml:space="preserve">, C. D. (2000). A model for types and levels of human interaction with automation. </w:t>
      </w:r>
      <w:r w:rsidRPr="00505E44">
        <w:rPr>
          <w:rFonts w:eastAsia="Times New Roman"/>
          <w:i/>
          <w:iCs/>
          <w:lang w:val="en-US" w:eastAsia="de-DE"/>
        </w:rPr>
        <w:t>IEEE Transactions on Systems, Man, and Cybernetics, Part A: Systems and Humans, 30</w:t>
      </w:r>
      <w:r w:rsidRPr="00505E44">
        <w:rPr>
          <w:rFonts w:eastAsia="Times New Roman"/>
          <w:lang w:val="en-US" w:eastAsia="de-DE"/>
        </w:rPr>
        <w:t>(3), 286-297. doi:10.1109/3468.844354</w:t>
      </w:r>
    </w:p>
    <w:p w14:paraId="3AAA76B1"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Peffers</w:t>
      </w:r>
      <w:proofErr w:type="spellEnd"/>
      <w:r w:rsidRPr="00505E44">
        <w:rPr>
          <w:rFonts w:eastAsia="Times New Roman"/>
          <w:lang w:val="en-US" w:eastAsia="de-DE"/>
        </w:rPr>
        <w:t xml:space="preserve">, K., </w:t>
      </w:r>
      <w:proofErr w:type="spellStart"/>
      <w:r w:rsidRPr="00505E44">
        <w:rPr>
          <w:rFonts w:eastAsia="Times New Roman"/>
          <w:lang w:val="en-US" w:eastAsia="de-DE"/>
        </w:rPr>
        <w:t>Tuunanen</w:t>
      </w:r>
      <w:proofErr w:type="spellEnd"/>
      <w:r w:rsidRPr="00505E44">
        <w:rPr>
          <w:rFonts w:eastAsia="Times New Roman"/>
          <w:lang w:val="en-US" w:eastAsia="de-DE"/>
        </w:rPr>
        <w:t xml:space="preserve">, T., </w:t>
      </w:r>
      <w:proofErr w:type="spellStart"/>
      <w:r w:rsidRPr="00505E44">
        <w:rPr>
          <w:rFonts w:eastAsia="Times New Roman"/>
          <w:lang w:val="en-US" w:eastAsia="de-DE"/>
        </w:rPr>
        <w:t>Rothenberger</w:t>
      </w:r>
      <w:proofErr w:type="spellEnd"/>
      <w:r w:rsidRPr="00505E44">
        <w:rPr>
          <w:rFonts w:eastAsia="Times New Roman"/>
          <w:lang w:val="en-US" w:eastAsia="de-DE"/>
        </w:rPr>
        <w:t xml:space="preserve">, M. A., &amp; Chatterjee, S. (2007). A design science research methodology for information systems research. </w:t>
      </w:r>
      <w:r w:rsidRPr="00505E44">
        <w:rPr>
          <w:rFonts w:eastAsia="Times New Roman"/>
          <w:i/>
          <w:iCs/>
          <w:lang w:eastAsia="de-DE"/>
        </w:rPr>
        <w:t>Journal of Management Information Systems, 24</w:t>
      </w:r>
      <w:r w:rsidRPr="00505E44">
        <w:rPr>
          <w:rFonts w:eastAsia="Times New Roman"/>
          <w:lang w:eastAsia="de-DE"/>
        </w:rPr>
        <w:t>(3), 45-77. doi:10.2753/MIS0742-1222240302</w:t>
      </w:r>
    </w:p>
    <w:p w14:paraId="38983D64"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eastAsia="de-DE"/>
        </w:rPr>
        <w:t xml:space="preserve">Petersen, K., </w:t>
      </w:r>
      <w:proofErr w:type="spellStart"/>
      <w:r w:rsidRPr="00505E44">
        <w:rPr>
          <w:rFonts w:eastAsia="Times New Roman"/>
          <w:lang w:eastAsia="de-DE"/>
        </w:rPr>
        <w:t>Vakkalanka</w:t>
      </w:r>
      <w:proofErr w:type="spellEnd"/>
      <w:r w:rsidRPr="00505E44">
        <w:rPr>
          <w:rFonts w:eastAsia="Times New Roman"/>
          <w:lang w:eastAsia="de-DE"/>
        </w:rPr>
        <w:t xml:space="preserve">, S., &amp; </w:t>
      </w:r>
      <w:proofErr w:type="spellStart"/>
      <w:r w:rsidRPr="00505E44">
        <w:rPr>
          <w:rFonts w:eastAsia="Times New Roman"/>
          <w:lang w:eastAsia="de-DE"/>
        </w:rPr>
        <w:t>Kuzniarz</w:t>
      </w:r>
      <w:proofErr w:type="spellEnd"/>
      <w:r w:rsidRPr="00505E44">
        <w:rPr>
          <w:rFonts w:eastAsia="Times New Roman"/>
          <w:lang w:eastAsia="de-DE"/>
        </w:rPr>
        <w:t xml:space="preserve">, L. (2015). </w:t>
      </w:r>
      <w:r w:rsidRPr="00505E44">
        <w:rPr>
          <w:rFonts w:eastAsia="Times New Roman"/>
          <w:lang w:val="en-US" w:eastAsia="de-DE"/>
        </w:rPr>
        <w:t xml:space="preserve">Guidelines for conducting systematic mapping studies in software engineering: An update. </w:t>
      </w:r>
      <w:r w:rsidRPr="00505E44">
        <w:rPr>
          <w:rFonts w:eastAsia="Times New Roman"/>
          <w:i/>
          <w:iCs/>
          <w:lang w:eastAsia="de-DE"/>
        </w:rPr>
        <w:t>Information and Software Technology, 64</w:t>
      </w:r>
      <w:r w:rsidRPr="00505E44">
        <w:rPr>
          <w:rFonts w:eastAsia="Times New Roman"/>
          <w:lang w:eastAsia="de-DE"/>
        </w:rPr>
        <w:t xml:space="preserve">, 1-18. </w:t>
      </w:r>
      <w:proofErr w:type="gramStart"/>
      <w:r w:rsidRPr="00505E44">
        <w:rPr>
          <w:rFonts w:eastAsia="Times New Roman"/>
          <w:lang w:eastAsia="de-DE"/>
        </w:rPr>
        <w:t>doi:10.1016/j.infsof</w:t>
      </w:r>
      <w:proofErr w:type="gramEnd"/>
      <w:r w:rsidRPr="00505E44">
        <w:rPr>
          <w:rFonts w:eastAsia="Times New Roman"/>
          <w:lang w:eastAsia="de-DE"/>
        </w:rPr>
        <w:t>.2015.03.007</w:t>
      </w:r>
    </w:p>
    <w:p w14:paraId="4377FE0B"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s-AR" w:eastAsia="de-DE"/>
        </w:rPr>
        <w:t xml:space="preserve">Regona, M., </w:t>
      </w:r>
      <w:proofErr w:type="spellStart"/>
      <w:r w:rsidRPr="00505E44">
        <w:rPr>
          <w:rFonts w:eastAsia="Times New Roman"/>
          <w:lang w:val="es-AR" w:eastAsia="de-DE"/>
        </w:rPr>
        <w:t>Yigitcanlar</w:t>
      </w:r>
      <w:proofErr w:type="spellEnd"/>
      <w:r w:rsidRPr="00505E44">
        <w:rPr>
          <w:rFonts w:eastAsia="Times New Roman"/>
          <w:lang w:val="es-AR" w:eastAsia="de-DE"/>
        </w:rPr>
        <w:t xml:space="preserve">, T., </w:t>
      </w:r>
      <w:proofErr w:type="spellStart"/>
      <w:r w:rsidRPr="00505E44">
        <w:rPr>
          <w:rFonts w:eastAsia="Times New Roman"/>
          <w:lang w:val="es-AR" w:eastAsia="de-DE"/>
        </w:rPr>
        <w:t>Hon</w:t>
      </w:r>
      <w:proofErr w:type="spellEnd"/>
      <w:r w:rsidRPr="00505E44">
        <w:rPr>
          <w:rFonts w:eastAsia="Times New Roman"/>
          <w:lang w:val="es-AR" w:eastAsia="de-DE"/>
        </w:rPr>
        <w:t xml:space="preserve">, C., &amp; Teo, J. (2026). </w:t>
      </w:r>
      <w:r w:rsidRPr="00505E44">
        <w:rPr>
          <w:rFonts w:eastAsia="Times New Roman"/>
          <w:lang w:val="en-US" w:eastAsia="de-DE"/>
        </w:rPr>
        <w:t xml:space="preserve">Building trust in artificial intelligence: A systematic review through the lens of trust theory. </w:t>
      </w:r>
      <w:r w:rsidRPr="00505E44">
        <w:rPr>
          <w:rFonts w:eastAsia="Times New Roman"/>
          <w:i/>
          <w:iCs/>
          <w:lang w:eastAsia="de-DE"/>
        </w:rPr>
        <w:t>ACM Computing Surveys, 58</w:t>
      </w:r>
      <w:r w:rsidRPr="00505E44">
        <w:rPr>
          <w:rFonts w:eastAsia="Times New Roman"/>
          <w:lang w:eastAsia="de-DE"/>
        </w:rPr>
        <w:t xml:space="preserve">(9), </w:t>
      </w:r>
      <w:proofErr w:type="spellStart"/>
      <w:r w:rsidRPr="00505E44">
        <w:rPr>
          <w:rFonts w:eastAsia="Times New Roman"/>
          <w:lang w:eastAsia="de-DE"/>
        </w:rPr>
        <w:t>Article</w:t>
      </w:r>
      <w:proofErr w:type="spellEnd"/>
      <w:r w:rsidRPr="00505E44">
        <w:rPr>
          <w:rFonts w:eastAsia="Times New Roman"/>
          <w:lang w:eastAsia="de-DE"/>
        </w:rPr>
        <w:t xml:space="preserve"> 220. doi:10.1145/3789256</w:t>
      </w:r>
    </w:p>
    <w:p w14:paraId="6D59C83B"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pt-BR" w:eastAsia="de-DE"/>
        </w:rPr>
        <w:t xml:space="preserve">Ribeiro, M. T., Singh, S., &amp; Guestrin, C. (2016). </w:t>
      </w:r>
      <w:r w:rsidRPr="00505E44">
        <w:rPr>
          <w:rFonts w:eastAsia="Times New Roman"/>
          <w:lang w:val="en-US" w:eastAsia="de-DE"/>
        </w:rPr>
        <w:t xml:space="preserve">“Why should I trust you?” Explaining the predictions of any classifier. In </w:t>
      </w:r>
      <w:r w:rsidRPr="00505E44">
        <w:rPr>
          <w:rFonts w:eastAsia="Times New Roman"/>
          <w:i/>
          <w:iCs/>
          <w:lang w:val="en-US" w:eastAsia="de-DE"/>
        </w:rPr>
        <w:t>Proceedings of the 22nd ACM SIGKDD International Conference on Knowledge Discovery and Data Mining</w:t>
      </w:r>
      <w:r w:rsidRPr="00505E44">
        <w:rPr>
          <w:rFonts w:eastAsia="Times New Roman"/>
          <w:lang w:val="en-US" w:eastAsia="de-DE"/>
        </w:rPr>
        <w:t xml:space="preserve"> (pp. 1135-1144). doi:10.1145/2939672.2939778</w:t>
      </w:r>
    </w:p>
    <w:p w14:paraId="28637047"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en-US" w:eastAsia="de-DE"/>
        </w:rPr>
        <w:t xml:space="preserve">Roy, D., Zhang, X., </w:t>
      </w:r>
      <w:proofErr w:type="spellStart"/>
      <w:r w:rsidRPr="00505E44">
        <w:rPr>
          <w:rFonts w:eastAsia="Times New Roman"/>
          <w:lang w:val="en-US" w:eastAsia="de-DE"/>
        </w:rPr>
        <w:t>Bhave</w:t>
      </w:r>
      <w:proofErr w:type="spellEnd"/>
      <w:r w:rsidRPr="00505E44">
        <w:rPr>
          <w:rFonts w:eastAsia="Times New Roman"/>
          <w:lang w:val="en-US" w:eastAsia="de-DE"/>
        </w:rPr>
        <w:t xml:space="preserve">, R., Bansal, C., Las-Casas, P., Fonseca, R., &amp; Rajmohan, S. (2024). Exploring LLM-based agents for root cause analysis. In </w:t>
      </w:r>
      <w:r w:rsidRPr="00505E44">
        <w:rPr>
          <w:rFonts w:eastAsia="Times New Roman"/>
          <w:i/>
          <w:iCs/>
          <w:lang w:val="en-US" w:eastAsia="de-DE"/>
        </w:rPr>
        <w:t>Proceedings of the ACM International Conference on the Foundations of Software Engineering Companion</w:t>
      </w:r>
      <w:r w:rsidRPr="00505E44">
        <w:rPr>
          <w:rFonts w:eastAsia="Times New Roman"/>
          <w:lang w:val="en-US" w:eastAsia="de-DE"/>
        </w:rPr>
        <w:t xml:space="preserve"> (pp. 208-219). doi:10.1145/3663529.3663841</w:t>
      </w:r>
    </w:p>
    <w:p w14:paraId="09D71C8D"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proofErr w:type="spellStart"/>
      <w:r w:rsidRPr="00505E44">
        <w:rPr>
          <w:rFonts w:eastAsia="Times New Roman"/>
          <w:lang w:val="en-US" w:eastAsia="de-DE"/>
        </w:rPr>
        <w:t>Sabouri</w:t>
      </w:r>
      <w:proofErr w:type="spellEnd"/>
      <w:r w:rsidRPr="00505E44">
        <w:rPr>
          <w:rFonts w:eastAsia="Times New Roman"/>
          <w:lang w:val="en-US" w:eastAsia="de-DE"/>
        </w:rPr>
        <w:t xml:space="preserve">, S., </w:t>
      </w:r>
      <w:proofErr w:type="spellStart"/>
      <w:r w:rsidRPr="00505E44">
        <w:rPr>
          <w:rFonts w:eastAsia="Times New Roman"/>
          <w:lang w:val="en-US" w:eastAsia="de-DE"/>
        </w:rPr>
        <w:t>Eibl</w:t>
      </w:r>
      <w:proofErr w:type="spellEnd"/>
      <w:r w:rsidRPr="00505E44">
        <w:rPr>
          <w:rFonts w:eastAsia="Times New Roman"/>
          <w:lang w:val="en-US" w:eastAsia="de-DE"/>
        </w:rPr>
        <w:t xml:space="preserve">, P., Zhou, X., </w:t>
      </w:r>
      <w:proofErr w:type="spellStart"/>
      <w:r w:rsidRPr="00505E44">
        <w:rPr>
          <w:rFonts w:eastAsia="Times New Roman"/>
          <w:lang w:val="en-US" w:eastAsia="de-DE"/>
        </w:rPr>
        <w:t>Ziyadi</w:t>
      </w:r>
      <w:proofErr w:type="spellEnd"/>
      <w:r w:rsidRPr="00505E44">
        <w:rPr>
          <w:rFonts w:eastAsia="Times New Roman"/>
          <w:lang w:val="en-US" w:eastAsia="de-DE"/>
        </w:rPr>
        <w:t xml:space="preserve">, M., </w:t>
      </w:r>
      <w:proofErr w:type="spellStart"/>
      <w:r w:rsidRPr="00505E44">
        <w:rPr>
          <w:rFonts w:eastAsia="Times New Roman"/>
          <w:lang w:val="en-US" w:eastAsia="de-DE"/>
        </w:rPr>
        <w:t>Medvidovic</w:t>
      </w:r>
      <w:proofErr w:type="spellEnd"/>
      <w:r w:rsidRPr="00505E44">
        <w:rPr>
          <w:rFonts w:eastAsia="Times New Roman"/>
          <w:lang w:val="en-US" w:eastAsia="de-DE"/>
        </w:rPr>
        <w:t xml:space="preserve">, N., Lindemann, L., &amp; Chattopadhyay, S. (2025). Trust dynamics in AI-assisted development: Definitions, factors, and implications. In </w:t>
      </w:r>
      <w:r w:rsidRPr="00505E44">
        <w:rPr>
          <w:rFonts w:eastAsia="Times New Roman"/>
          <w:i/>
          <w:iCs/>
          <w:lang w:val="en-US" w:eastAsia="de-DE"/>
        </w:rPr>
        <w:t>Proceedings of the 47th International Conference on Software Engineering</w:t>
      </w:r>
      <w:r w:rsidRPr="00505E44">
        <w:rPr>
          <w:rFonts w:eastAsia="Times New Roman"/>
          <w:lang w:val="en-US" w:eastAsia="de-DE"/>
        </w:rPr>
        <w:t xml:space="preserve"> (pp. 1678-1690). doi:10.1109/ICSE55347.2025.00199</w:t>
      </w:r>
    </w:p>
    <w:p w14:paraId="1C6F0F03"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proofErr w:type="spellStart"/>
      <w:r w:rsidRPr="00505E44">
        <w:rPr>
          <w:rFonts w:eastAsia="Times New Roman"/>
          <w:lang w:eastAsia="de-DE"/>
        </w:rPr>
        <w:t>Schemmer</w:t>
      </w:r>
      <w:proofErr w:type="spellEnd"/>
      <w:r w:rsidRPr="00505E44">
        <w:rPr>
          <w:rFonts w:eastAsia="Times New Roman"/>
          <w:lang w:eastAsia="de-DE"/>
        </w:rPr>
        <w:t xml:space="preserve">, M., Kühl, N., Benz, C., Bartos, A., &amp; Satzger, G. (2023). </w:t>
      </w:r>
      <w:r w:rsidRPr="00505E44">
        <w:rPr>
          <w:rFonts w:eastAsia="Times New Roman"/>
          <w:lang w:val="en-US" w:eastAsia="de-DE"/>
        </w:rPr>
        <w:t xml:space="preserve">Appropriate reliance on AI advice: Conceptualization and the effect of explanations. In </w:t>
      </w:r>
      <w:r w:rsidRPr="00505E44">
        <w:rPr>
          <w:rFonts w:eastAsia="Times New Roman"/>
          <w:i/>
          <w:iCs/>
          <w:lang w:val="en-US" w:eastAsia="de-DE"/>
        </w:rPr>
        <w:t>Proceedings of the 28th International Conference on Intelligent User Interfaces</w:t>
      </w:r>
      <w:r w:rsidRPr="00505E44">
        <w:rPr>
          <w:rFonts w:eastAsia="Times New Roman"/>
          <w:lang w:val="en-US" w:eastAsia="de-DE"/>
        </w:rPr>
        <w:t xml:space="preserve"> (pp. 410-422). doi:10.1145/3581641.3584066</w:t>
      </w:r>
    </w:p>
    <w:p w14:paraId="6B9FABFF"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lastRenderedPageBreak/>
        <w:t>Schoorman</w:t>
      </w:r>
      <w:proofErr w:type="spellEnd"/>
      <w:r w:rsidRPr="00505E44">
        <w:rPr>
          <w:rFonts w:eastAsia="Times New Roman"/>
          <w:lang w:val="en-US" w:eastAsia="de-DE"/>
        </w:rPr>
        <w:t xml:space="preserve">, F. D., Mayer, R. C., &amp; Davis, J. H. (2007). An integrative model of organizational trust: Past, present, and future. </w:t>
      </w:r>
      <w:r w:rsidRPr="00505E44">
        <w:rPr>
          <w:rFonts w:eastAsia="Times New Roman"/>
          <w:i/>
          <w:iCs/>
          <w:lang w:eastAsia="de-DE"/>
        </w:rPr>
        <w:t>Academy of Management Review, 32</w:t>
      </w:r>
      <w:r w:rsidRPr="00505E44">
        <w:rPr>
          <w:rFonts w:eastAsia="Times New Roman"/>
          <w:lang w:eastAsia="de-DE"/>
        </w:rPr>
        <w:t>(2), 344-354. doi:10.5465/AMR.2007.24348410</w:t>
      </w:r>
    </w:p>
    <w:p w14:paraId="67964188"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Shneiderman</w:t>
      </w:r>
      <w:proofErr w:type="spellEnd"/>
      <w:r w:rsidRPr="00505E44">
        <w:rPr>
          <w:rFonts w:eastAsia="Times New Roman"/>
          <w:lang w:val="en-US" w:eastAsia="de-DE"/>
        </w:rPr>
        <w:t xml:space="preserve">, B. (2022). </w:t>
      </w:r>
      <w:r w:rsidRPr="00505E44">
        <w:rPr>
          <w:rFonts w:eastAsia="Times New Roman"/>
          <w:i/>
          <w:iCs/>
          <w:lang w:val="en-US" w:eastAsia="de-DE"/>
        </w:rPr>
        <w:t>Human-centered AI</w:t>
      </w:r>
      <w:r w:rsidRPr="00505E44">
        <w:rPr>
          <w:rFonts w:eastAsia="Times New Roman"/>
          <w:lang w:val="en-US" w:eastAsia="de-DE"/>
        </w:rPr>
        <w:t xml:space="preserve">. </w:t>
      </w:r>
      <w:r w:rsidRPr="00505E44">
        <w:rPr>
          <w:rFonts w:eastAsia="Times New Roman"/>
          <w:lang w:eastAsia="de-DE"/>
        </w:rPr>
        <w:t>Oxford University Press.</w:t>
      </w:r>
    </w:p>
    <w:p w14:paraId="0A5CEDD4"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Skelton, M., &amp; </w:t>
      </w:r>
      <w:proofErr w:type="spellStart"/>
      <w:r w:rsidRPr="00505E44">
        <w:rPr>
          <w:rFonts w:eastAsia="Times New Roman"/>
          <w:lang w:val="en-US" w:eastAsia="de-DE"/>
        </w:rPr>
        <w:t>Pais</w:t>
      </w:r>
      <w:proofErr w:type="spellEnd"/>
      <w:r w:rsidRPr="00505E44">
        <w:rPr>
          <w:rFonts w:eastAsia="Times New Roman"/>
          <w:lang w:val="en-US" w:eastAsia="de-DE"/>
        </w:rPr>
        <w:t xml:space="preserve">, M. (2019). </w:t>
      </w:r>
      <w:r w:rsidRPr="00505E44">
        <w:rPr>
          <w:rFonts w:eastAsia="Times New Roman"/>
          <w:i/>
          <w:iCs/>
          <w:lang w:val="en-US" w:eastAsia="de-DE"/>
        </w:rPr>
        <w:t>Team topologies: Organizing business and technology teams for fast flow</w:t>
      </w:r>
      <w:r w:rsidRPr="00505E44">
        <w:rPr>
          <w:rFonts w:eastAsia="Times New Roman"/>
          <w:lang w:val="en-US" w:eastAsia="de-DE"/>
        </w:rPr>
        <w:t xml:space="preserve">. </w:t>
      </w:r>
      <w:proofErr w:type="gramStart"/>
      <w:r w:rsidRPr="00505E44">
        <w:rPr>
          <w:rFonts w:eastAsia="Times New Roman"/>
          <w:lang w:eastAsia="de-DE"/>
        </w:rPr>
        <w:t>IT Revolution</w:t>
      </w:r>
      <w:proofErr w:type="gramEnd"/>
      <w:r w:rsidRPr="00505E44">
        <w:rPr>
          <w:rFonts w:eastAsia="Times New Roman"/>
          <w:lang w:eastAsia="de-DE"/>
        </w:rPr>
        <w:t>.</w:t>
      </w:r>
    </w:p>
    <w:p w14:paraId="2A1C9550"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Sridharan, C. (2018). </w:t>
      </w:r>
      <w:r w:rsidRPr="00505E44">
        <w:rPr>
          <w:rFonts w:eastAsia="Times New Roman"/>
          <w:i/>
          <w:iCs/>
          <w:lang w:val="en-US" w:eastAsia="de-DE"/>
        </w:rPr>
        <w:t>Distributed systems observability: A guide to building robust systems</w:t>
      </w:r>
      <w:r w:rsidRPr="00505E44">
        <w:rPr>
          <w:rFonts w:eastAsia="Times New Roman"/>
          <w:lang w:val="en-US" w:eastAsia="de-DE"/>
        </w:rPr>
        <w:t xml:space="preserve">. </w:t>
      </w:r>
      <w:r w:rsidRPr="00505E44">
        <w:rPr>
          <w:rFonts w:eastAsia="Times New Roman"/>
          <w:lang w:eastAsia="de-DE"/>
        </w:rPr>
        <w:t>O’Reilly Media.</w:t>
      </w:r>
    </w:p>
    <w:p w14:paraId="2598F9DA"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eastAsia="de-DE"/>
        </w:rPr>
        <w:t xml:space="preserve">Steinmetz, S. T., </w:t>
      </w:r>
      <w:proofErr w:type="spellStart"/>
      <w:r w:rsidRPr="00505E44">
        <w:rPr>
          <w:rFonts w:eastAsia="Times New Roman"/>
          <w:lang w:eastAsia="de-DE"/>
        </w:rPr>
        <w:t>Naugle</w:t>
      </w:r>
      <w:proofErr w:type="spellEnd"/>
      <w:r w:rsidRPr="00505E44">
        <w:rPr>
          <w:rFonts w:eastAsia="Times New Roman"/>
          <w:lang w:eastAsia="de-DE"/>
        </w:rPr>
        <w:t xml:space="preserve">, A., Schutte, P., </w:t>
      </w:r>
      <w:proofErr w:type="spellStart"/>
      <w:r w:rsidRPr="00505E44">
        <w:rPr>
          <w:rFonts w:eastAsia="Times New Roman"/>
          <w:lang w:eastAsia="de-DE"/>
        </w:rPr>
        <w:t>Sweitzer</w:t>
      </w:r>
      <w:proofErr w:type="spellEnd"/>
      <w:r w:rsidRPr="00505E44">
        <w:rPr>
          <w:rFonts w:eastAsia="Times New Roman"/>
          <w:lang w:eastAsia="de-DE"/>
        </w:rPr>
        <w:t xml:space="preserve">, M., </w:t>
      </w:r>
      <w:proofErr w:type="spellStart"/>
      <w:r w:rsidRPr="00505E44">
        <w:rPr>
          <w:rFonts w:eastAsia="Times New Roman"/>
          <w:lang w:eastAsia="de-DE"/>
        </w:rPr>
        <w:t>Washburne</w:t>
      </w:r>
      <w:proofErr w:type="spellEnd"/>
      <w:r w:rsidRPr="00505E44">
        <w:rPr>
          <w:rFonts w:eastAsia="Times New Roman"/>
          <w:lang w:eastAsia="de-DE"/>
        </w:rPr>
        <w:t xml:space="preserve">, A., </w:t>
      </w:r>
      <w:proofErr w:type="spellStart"/>
      <w:r w:rsidRPr="00505E44">
        <w:rPr>
          <w:rFonts w:eastAsia="Times New Roman"/>
          <w:lang w:eastAsia="de-DE"/>
        </w:rPr>
        <w:t>Linville</w:t>
      </w:r>
      <w:proofErr w:type="spellEnd"/>
      <w:r w:rsidRPr="00505E44">
        <w:rPr>
          <w:rFonts w:eastAsia="Times New Roman"/>
          <w:lang w:eastAsia="de-DE"/>
        </w:rPr>
        <w:t xml:space="preserve">, L., </w:t>
      </w:r>
      <w:proofErr w:type="spellStart"/>
      <w:r w:rsidRPr="00505E44">
        <w:rPr>
          <w:rFonts w:eastAsia="Times New Roman"/>
          <w:lang w:eastAsia="de-DE"/>
        </w:rPr>
        <w:t>Krofcheck</w:t>
      </w:r>
      <w:proofErr w:type="spellEnd"/>
      <w:r w:rsidRPr="00505E44">
        <w:rPr>
          <w:rFonts w:eastAsia="Times New Roman"/>
          <w:lang w:eastAsia="de-DE"/>
        </w:rPr>
        <w:t xml:space="preserve">, D., </w:t>
      </w:r>
      <w:proofErr w:type="spellStart"/>
      <w:r w:rsidRPr="00505E44">
        <w:rPr>
          <w:rFonts w:eastAsia="Times New Roman"/>
          <w:lang w:eastAsia="de-DE"/>
        </w:rPr>
        <w:t>Kucer</w:t>
      </w:r>
      <w:proofErr w:type="spellEnd"/>
      <w:r w:rsidRPr="00505E44">
        <w:rPr>
          <w:rFonts w:eastAsia="Times New Roman"/>
          <w:lang w:eastAsia="de-DE"/>
        </w:rPr>
        <w:t xml:space="preserve">, M., &amp; </w:t>
      </w:r>
      <w:proofErr w:type="spellStart"/>
      <w:r w:rsidRPr="00505E44">
        <w:rPr>
          <w:rFonts w:eastAsia="Times New Roman"/>
          <w:lang w:eastAsia="de-DE"/>
        </w:rPr>
        <w:t>Myren</w:t>
      </w:r>
      <w:proofErr w:type="spellEnd"/>
      <w:r w:rsidRPr="00505E44">
        <w:rPr>
          <w:rFonts w:eastAsia="Times New Roman"/>
          <w:lang w:eastAsia="de-DE"/>
        </w:rPr>
        <w:t xml:space="preserve">, S. (2025). </w:t>
      </w:r>
      <w:r w:rsidRPr="00505E44">
        <w:rPr>
          <w:rFonts w:eastAsia="Times New Roman"/>
          <w:lang w:val="en-US" w:eastAsia="de-DE"/>
        </w:rPr>
        <w:t xml:space="preserve">The trust calibration maturity model for characterizing and communicating trustworthiness of AI systems. </w:t>
      </w:r>
      <w:proofErr w:type="spellStart"/>
      <w:r w:rsidRPr="00505E44">
        <w:rPr>
          <w:rFonts w:eastAsia="Times New Roman"/>
          <w:i/>
          <w:iCs/>
          <w:lang w:val="en-US" w:eastAsia="de-DE"/>
        </w:rPr>
        <w:t>arXiv</w:t>
      </w:r>
      <w:proofErr w:type="spellEnd"/>
      <w:r w:rsidRPr="00505E44">
        <w:rPr>
          <w:rFonts w:eastAsia="Times New Roman"/>
          <w:i/>
          <w:iCs/>
          <w:lang w:val="en-US" w:eastAsia="de-DE"/>
        </w:rPr>
        <w:t xml:space="preserve"> preprint</w:t>
      </w:r>
      <w:r w:rsidRPr="00505E44">
        <w:rPr>
          <w:rFonts w:eastAsia="Times New Roman"/>
          <w:lang w:val="en-US" w:eastAsia="de-DE"/>
        </w:rPr>
        <w:t xml:space="preserve"> arXiv:2503.15511. doi:10.48550/arXiv.2503.15511</w:t>
      </w:r>
    </w:p>
    <w:p w14:paraId="78B5E739"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eastAsia="de-DE"/>
        </w:rPr>
        <w:t xml:space="preserve">Vasconcelos, H., </w:t>
      </w:r>
      <w:proofErr w:type="spellStart"/>
      <w:r w:rsidRPr="00505E44">
        <w:rPr>
          <w:rFonts w:eastAsia="Times New Roman"/>
          <w:lang w:eastAsia="de-DE"/>
        </w:rPr>
        <w:t>Jörke</w:t>
      </w:r>
      <w:proofErr w:type="spellEnd"/>
      <w:r w:rsidRPr="00505E44">
        <w:rPr>
          <w:rFonts w:eastAsia="Times New Roman"/>
          <w:lang w:eastAsia="de-DE"/>
        </w:rPr>
        <w:t xml:space="preserve">, M., Grunde-McLaughlin, M., Gerstenberg, T., Bernstein, M. S., &amp; Krishna, R. (2023). </w:t>
      </w:r>
      <w:r w:rsidRPr="00505E44">
        <w:rPr>
          <w:rFonts w:eastAsia="Times New Roman"/>
          <w:lang w:val="en-US" w:eastAsia="de-DE"/>
        </w:rPr>
        <w:t xml:space="preserve">Explanations can reduce overreliance on AI systems during decision-making. </w:t>
      </w:r>
      <w:r w:rsidRPr="00505E44">
        <w:rPr>
          <w:rFonts w:eastAsia="Times New Roman"/>
          <w:i/>
          <w:iCs/>
          <w:lang w:val="en-US" w:eastAsia="de-DE"/>
        </w:rPr>
        <w:t>Proceedings of the ACM on Human-Computer Interaction, 7</w:t>
      </w:r>
      <w:r w:rsidRPr="00505E44">
        <w:rPr>
          <w:rFonts w:eastAsia="Times New Roman"/>
          <w:lang w:val="en-US" w:eastAsia="de-DE"/>
        </w:rPr>
        <w:t>(CSCW1), Article 129. doi:10.1145/3579605</w:t>
      </w:r>
    </w:p>
    <w:p w14:paraId="75747D66"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eastAsia="de-DE"/>
        </w:rPr>
        <w:t xml:space="preserve">Wang, R., Cheng, R., Ford, D., &amp; Zimmermann, T. (2024). </w:t>
      </w:r>
      <w:r w:rsidRPr="00505E44">
        <w:rPr>
          <w:rFonts w:eastAsia="Times New Roman"/>
          <w:lang w:val="en-US" w:eastAsia="de-DE"/>
        </w:rPr>
        <w:t xml:space="preserve">Investigating and designing for trust in AI-powered code generation tools. In </w:t>
      </w:r>
      <w:r w:rsidRPr="00505E44">
        <w:rPr>
          <w:rFonts w:eastAsia="Times New Roman"/>
          <w:i/>
          <w:iCs/>
          <w:lang w:val="en-US" w:eastAsia="de-DE"/>
        </w:rPr>
        <w:t>Proceedings of the 2024 ACM Conference on Fairness, Accountability, and Transparency</w:t>
      </w:r>
      <w:r w:rsidRPr="00505E44">
        <w:rPr>
          <w:rFonts w:eastAsia="Times New Roman"/>
          <w:lang w:val="en-US" w:eastAsia="de-DE"/>
        </w:rPr>
        <w:t xml:space="preserve"> (pp. 1475-1493). doi:10.1145/3630106.3658984</w:t>
      </w:r>
    </w:p>
    <w:p w14:paraId="10FBB076"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eastAsia="de-DE"/>
        </w:rPr>
        <w:t xml:space="preserve">Weick, K. E., &amp; Roberts, K. H. (1993). </w:t>
      </w:r>
      <w:r w:rsidRPr="00505E44">
        <w:rPr>
          <w:rFonts w:eastAsia="Times New Roman"/>
          <w:lang w:val="en-US" w:eastAsia="de-DE"/>
        </w:rPr>
        <w:t xml:space="preserve">Collective mind in organizations: Heedful interrelating on flight decks. </w:t>
      </w:r>
      <w:r w:rsidRPr="00505E44">
        <w:rPr>
          <w:rFonts w:eastAsia="Times New Roman"/>
          <w:i/>
          <w:iCs/>
          <w:lang w:eastAsia="de-DE"/>
        </w:rPr>
        <w:t>Administrative Science Quarterly, 38</w:t>
      </w:r>
      <w:r w:rsidRPr="00505E44">
        <w:rPr>
          <w:rFonts w:eastAsia="Times New Roman"/>
          <w:lang w:eastAsia="de-DE"/>
        </w:rPr>
        <w:t>(3), 357-381. doi:10.2307/2393372</w:t>
      </w:r>
    </w:p>
    <w:p w14:paraId="22AD62D4"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Wieringa</w:t>
      </w:r>
      <w:proofErr w:type="spellEnd"/>
      <w:r w:rsidRPr="00505E44">
        <w:rPr>
          <w:rFonts w:eastAsia="Times New Roman"/>
          <w:lang w:val="en-US" w:eastAsia="de-DE"/>
        </w:rPr>
        <w:t xml:space="preserve">, R. J. (2014). </w:t>
      </w:r>
      <w:r w:rsidRPr="00505E44">
        <w:rPr>
          <w:rFonts w:eastAsia="Times New Roman"/>
          <w:i/>
          <w:iCs/>
          <w:lang w:val="en-US" w:eastAsia="de-DE"/>
        </w:rPr>
        <w:t>Design science methodology for information systems and software engineering</w:t>
      </w:r>
      <w:r w:rsidRPr="00505E44">
        <w:rPr>
          <w:rFonts w:eastAsia="Times New Roman"/>
          <w:lang w:val="en-US" w:eastAsia="de-DE"/>
        </w:rPr>
        <w:t xml:space="preserve">. </w:t>
      </w:r>
      <w:r w:rsidRPr="00505E44">
        <w:rPr>
          <w:rFonts w:eastAsia="Times New Roman"/>
          <w:lang w:eastAsia="de-DE"/>
        </w:rPr>
        <w:t>Springer.</w:t>
      </w:r>
    </w:p>
    <w:p w14:paraId="70B52F30"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proofErr w:type="spellStart"/>
      <w:r w:rsidRPr="00505E44">
        <w:rPr>
          <w:rFonts w:eastAsia="Times New Roman"/>
          <w:lang w:val="en-US" w:eastAsia="de-DE"/>
        </w:rPr>
        <w:t>Wohlin</w:t>
      </w:r>
      <w:proofErr w:type="spellEnd"/>
      <w:r w:rsidRPr="00505E44">
        <w:rPr>
          <w:rFonts w:eastAsia="Times New Roman"/>
          <w:lang w:val="en-US" w:eastAsia="de-DE"/>
        </w:rPr>
        <w:t xml:space="preserve">, C. (2014). Guidelines for snowballing in systematic literature studies and a replication in software engineering. In </w:t>
      </w:r>
      <w:r w:rsidRPr="00505E44">
        <w:rPr>
          <w:rFonts w:eastAsia="Times New Roman"/>
          <w:i/>
          <w:iCs/>
          <w:lang w:val="en-US" w:eastAsia="de-DE"/>
        </w:rPr>
        <w:t>Proceedings of the 18th International Conference on Evaluation and Assessment in Software Engineering</w:t>
      </w:r>
      <w:r w:rsidRPr="00505E44">
        <w:rPr>
          <w:rFonts w:eastAsia="Times New Roman"/>
          <w:lang w:val="en-US" w:eastAsia="de-DE"/>
        </w:rPr>
        <w:t xml:space="preserve"> (pp. 1-10). doi:10.1145/2601248.2601268</w:t>
      </w:r>
    </w:p>
    <w:p w14:paraId="71E02BE9"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proofErr w:type="spellStart"/>
      <w:r w:rsidRPr="00505E44">
        <w:rPr>
          <w:rFonts w:eastAsia="Times New Roman"/>
          <w:lang w:val="en-US" w:eastAsia="de-DE"/>
        </w:rPr>
        <w:t>Wohlin</w:t>
      </w:r>
      <w:proofErr w:type="spellEnd"/>
      <w:r w:rsidRPr="00505E44">
        <w:rPr>
          <w:rFonts w:eastAsia="Times New Roman"/>
          <w:lang w:val="en-US" w:eastAsia="de-DE"/>
        </w:rPr>
        <w:t xml:space="preserve">, C., Mendes, E., Felizardo, K. R., &amp; Kalinowski, M. (2020). Guidelines for the search strategy to update systematic literature reviews in software engineering. </w:t>
      </w:r>
      <w:r w:rsidRPr="00505E44">
        <w:rPr>
          <w:rFonts w:eastAsia="Times New Roman"/>
          <w:i/>
          <w:iCs/>
          <w:lang w:eastAsia="de-DE"/>
        </w:rPr>
        <w:t>Information and Software Technology, 127</w:t>
      </w:r>
      <w:r w:rsidRPr="00505E44">
        <w:rPr>
          <w:rFonts w:eastAsia="Times New Roman"/>
          <w:lang w:eastAsia="de-DE"/>
        </w:rPr>
        <w:t xml:space="preserve">, 106366. </w:t>
      </w:r>
      <w:proofErr w:type="gramStart"/>
      <w:r w:rsidRPr="00505E44">
        <w:rPr>
          <w:rFonts w:eastAsia="Times New Roman"/>
          <w:lang w:eastAsia="de-DE"/>
        </w:rPr>
        <w:t>doi:10.1016/j.infsof</w:t>
      </w:r>
      <w:proofErr w:type="gramEnd"/>
      <w:r w:rsidRPr="00505E44">
        <w:rPr>
          <w:rFonts w:eastAsia="Times New Roman"/>
          <w:lang w:eastAsia="de-DE"/>
        </w:rPr>
        <w:t>.2020.106366</w:t>
      </w:r>
    </w:p>
    <w:p w14:paraId="40018401"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val="es-AR" w:eastAsia="de-DE"/>
        </w:rPr>
        <w:t xml:space="preserve">Yao, S., Zhao, J., </w:t>
      </w:r>
      <w:proofErr w:type="spellStart"/>
      <w:r w:rsidRPr="00505E44">
        <w:rPr>
          <w:rFonts w:eastAsia="Times New Roman"/>
          <w:lang w:val="es-AR" w:eastAsia="de-DE"/>
        </w:rPr>
        <w:t>Yu</w:t>
      </w:r>
      <w:proofErr w:type="spellEnd"/>
      <w:r w:rsidRPr="00505E44">
        <w:rPr>
          <w:rFonts w:eastAsia="Times New Roman"/>
          <w:lang w:val="es-AR" w:eastAsia="de-DE"/>
        </w:rPr>
        <w:t xml:space="preserve">, D., Du, N., </w:t>
      </w:r>
      <w:proofErr w:type="spellStart"/>
      <w:r w:rsidRPr="00505E44">
        <w:rPr>
          <w:rFonts w:eastAsia="Times New Roman"/>
          <w:lang w:val="es-AR" w:eastAsia="de-DE"/>
        </w:rPr>
        <w:t>Shafran</w:t>
      </w:r>
      <w:proofErr w:type="spellEnd"/>
      <w:r w:rsidRPr="00505E44">
        <w:rPr>
          <w:rFonts w:eastAsia="Times New Roman"/>
          <w:lang w:val="es-AR" w:eastAsia="de-DE"/>
        </w:rPr>
        <w:t xml:space="preserve">, I., </w:t>
      </w:r>
      <w:proofErr w:type="spellStart"/>
      <w:r w:rsidRPr="00505E44">
        <w:rPr>
          <w:rFonts w:eastAsia="Times New Roman"/>
          <w:lang w:val="es-AR" w:eastAsia="de-DE"/>
        </w:rPr>
        <w:t>Narasimhan</w:t>
      </w:r>
      <w:proofErr w:type="spellEnd"/>
      <w:r w:rsidRPr="00505E44">
        <w:rPr>
          <w:rFonts w:eastAsia="Times New Roman"/>
          <w:lang w:val="es-AR" w:eastAsia="de-DE"/>
        </w:rPr>
        <w:t xml:space="preserve">, K., &amp; Cao, Y. (2022). </w:t>
      </w:r>
      <w:proofErr w:type="spellStart"/>
      <w:r w:rsidRPr="00505E44">
        <w:rPr>
          <w:rFonts w:eastAsia="Times New Roman"/>
          <w:lang w:val="en-US" w:eastAsia="de-DE"/>
        </w:rPr>
        <w:t>ReAct</w:t>
      </w:r>
      <w:proofErr w:type="spellEnd"/>
      <w:r w:rsidRPr="00505E44">
        <w:rPr>
          <w:rFonts w:eastAsia="Times New Roman"/>
          <w:lang w:val="en-US" w:eastAsia="de-DE"/>
        </w:rPr>
        <w:t xml:space="preserve">: Synergizing reasoning and acting in language models. </w:t>
      </w:r>
      <w:proofErr w:type="spellStart"/>
      <w:r w:rsidRPr="00505E44">
        <w:rPr>
          <w:rFonts w:eastAsia="Times New Roman"/>
          <w:i/>
          <w:iCs/>
          <w:lang w:val="en-US" w:eastAsia="de-DE"/>
        </w:rPr>
        <w:t>arXiv</w:t>
      </w:r>
      <w:proofErr w:type="spellEnd"/>
      <w:r w:rsidRPr="00505E44">
        <w:rPr>
          <w:rFonts w:eastAsia="Times New Roman"/>
          <w:i/>
          <w:iCs/>
          <w:lang w:val="en-US" w:eastAsia="de-DE"/>
        </w:rPr>
        <w:t xml:space="preserve"> preprint</w:t>
      </w:r>
      <w:r w:rsidRPr="00505E44">
        <w:rPr>
          <w:rFonts w:eastAsia="Times New Roman"/>
          <w:lang w:val="en-US" w:eastAsia="de-DE"/>
        </w:rPr>
        <w:t xml:space="preserve"> arXiv:2210.03629. doi:10.48550/arXiv.2210.03629</w:t>
      </w:r>
    </w:p>
    <w:p w14:paraId="1531E5AB" w14:textId="77777777" w:rsidR="00505E44" w:rsidRPr="00505E44" w:rsidRDefault="00505E44" w:rsidP="00505E44">
      <w:pPr>
        <w:numPr>
          <w:ilvl w:val="0"/>
          <w:numId w:val="2"/>
        </w:numPr>
        <w:spacing w:before="100" w:beforeAutospacing="1" w:after="100" w:afterAutospacing="1" w:line="240" w:lineRule="auto"/>
        <w:rPr>
          <w:rFonts w:eastAsia="Times New Roman"/>
          <w:lang w:val="en-US" w:eastAsia="de-DE"/>
        </w:rPr>
      </w:pPr>
      <w:r w:rsidRPr="00505E44">
        <w:rPr>
          <w:rFonts w:eastAsia="Times New Roman"/>
          <w:lang w:eastAsia="de-DE"/>
        </w:rPr>
        <w:t xml:space="preserve">Zhang, X., Ghosh, S., </w:t>
      </w:r>
      <w:proofErr w:type="spellStart"/>
      <w:r w:rsidRPr="00505E44">
        <w:rPr>
          <w:rFonts w:eastAsia="Times New Roman"/>
          <w:lang w:eastAsia="de-DE"/>
        </w:rPr>
        <w:t>Bansal</w:t>
      </w:r>
      <w:proofErr w:type="spellEnd"/>
      <w:r w:rsidRPr="00505E44">
        <w:rPr>
          <w:rFonts w:eastAsia="Times New Roman"/>
          <w:lang w:eastAsia="de-DE"/>
        </w:rPr>
        <w:t xml:space="preserve">, C., Wang, R., Ma, M., Kang, Y., &amp; </w:t>
      </w:r>
      <w:proofErr w:type="spellStart"/>
      <w:r w:rsidRPr="00505E44">
        <w:rPr>
          <w:rFonts w:eastAsia="Times New Roman"/>
          <w:lang w:eastAsia="de-DE"/>
        </w:rPr>
        <w:t>Rajmohan</w:t>
      </w:r>
      <w:proofErr w:type="spellEnd"/>
      <w:r w:rsidRPr="00505E44">
        <w:rPr>
          <w:rFonts w:eastAsia="Times New Roman"/>
          <w:lang w:eastAsia="de-DE"/>
        </w:rPr>
        <w:t xml:space="preserve">, S. (2024). </w:t>
      </w:r>
      <w:r w:rsidRPr="00505E44">
        <w:rPr>
          <w:rFonts w:eastAsia="Times New Roman"/>
          <w:lang w:val="en-US" w:eastAsia="de-DE"/>
        </w:rPr>
        <w:t xml:space="preserve">Automated root causing of cloud incidents using in-context learning with GPT-4. In </w:t>
      </w:r>
      <w:r w:rsidRPr="00505E44">
        <w:rPr>
          <w:rFonts w:eastAsia="Times New Roman"/>
          <w:i/>
          <w:iCs/>
          <w:lang w:val="en-US" w:eastAsia="de-DE"/>
        </w:rPr>
        <w:t>Proceedings of the ACM International Conference on the Foundations of Software Engineering Companion</w:t>
      </w:r>
      <w:r w:rsidRPr="00505E44">
        <w:rPr>
          <w:rFonts w:eastAsia="Times New Roman"/>
          <w:lang w:val="en-US" w:eastAsia="de-DE"/>
        </w:rPr>
        <w:t xml:space="preserve"> (pp. 266-277). doi:10.1145/3663529.3663846</w:t>
      </w:r>
    </w:p>
    <w:p w14:paraId="364499A7" w14:textId="77777777" w:rsidR="00505E44" w:rsidRPr="00505E44" w:rsidRDefault="00505E44" w:rsidP="00505E44">
      <w:pPr>
        <w:numPr>
          <w:ilvl w:val="0"/>
          <w:numId w:val="2"/>
        </w:numPr>
        <w:spacing w:before="100" w:beforeAutospacing="1" w:after="100" w:afterAutospacing="1" w:line="240" w:lineRule="auto"/>
        <w:rPr>
          <w:rFonts w:eastAsia="Times New Roman"/>
          <w:lang w:eastAsia="de-DE"/>
        </w:rPr>
      </w:pPr>
      <w:r w:rsidRPr="00505E44">
        <w:rPr>
          <w:rFonts w:eastAsia="Times New Roman"/>
          <w:lang w:val="en-US" w:eastAsia="de-DE"/>
        </w:rPr>
        <w:t xml:space="preserve">Zhang, L., Jia, T., Jia, M., Wu, Y., Liu, A., Yang, Y., Wu, Z., Hu, X., Yu, P. S., &amp; Li, Y. (2025). A survey of AIOps in the era of large language models. </w:t>
      </w:r>
      <w:r w:rsidRPr="00505E44">
        <w:rPr>
          <w:rFonts w:eastAsia="Times New Roman"/>
          <w:i/>
          <w:iCs/>
          <w:lang w:eastAsia="de-DE"/>
        </w:rPr>
        <w:t>ACM Computing Surveys, 58</w:t>
      </w:r>
      <w:r w:rsidRPr="00505E44">
        <w:rPr>
          <w:rFonts w:eastAsia="Times New Roman"/>
          <w:lang w:eastAsia="de-DE"/>
        </w:rPr>
        <w:t xml:space="preserve">(2), </w:t>
      </w:r>
      <w:proofErr w:type="spellStart"/>
      <w:r w:rsidRPr="00505E44">
        <w:rPr>
          <w:rFonts w:eastAsia="Times New Roman"/>
          <w:lang w:eastAsia="de-DE"/>
        </w:rPr>
        <w:t>Article</w:t>
      </w:r>
      <w:proofErr w:type="spellEnd"/>
      <w:r w:rsidRPr="00505E44">
        <w:rPr>
          <w:rFonts w:eastAsia="Times New Roman"/>
          <w:lang w:eastAsia="de-DE"/>
        </w:rPr>
        <w:t xml:space="preserve"> 44. doi:10.1145/3746635</w:t>
      </w:r>
    </w:p>
    <w:p w14:paraId="226BF9B1" w14:textId="0ADE61B8" w:rsidR="000D2C1A" w:rsidRPr="00505E44" w:rsidRDefault="000D2C1A">
      <w:pPr>
        <w:rPr>
          <w:lang w:val="en-US"/>
        </w:rPr>
      </w:pPr>
    </w:p>
    <w:sectPr w:rsidR="000D2C1A" w:rsidRPr="00505E44" w:rsidSect="00133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957CA"/>
    <w:multiLevelType w:val="multilevel"/>
    <w:tmpl w:val="5D20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456FA8"/>
    <w:multiLevelType w:val="multilevel"/>
    <w:tmpl w:val="9DC29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E44"/>
    <w:rsid w:val="000D2C1A"/>
    <w:rsid w:val="00133051"/>
    <w:rsid w:val="00505E44"/>
    <w:rsid w:val="0070362D"/>
    <w:rsid w:val="00853E1C"/>
    <w:rsid w:val="00B25E8A"/>
  </w:rsids>
  <m:mathPr>
    <m:mathFont m:val="Cambria Math"/>
    <m:brkBin m:val="before"/>
    <m:brkBinSub m:val="--"/>
    <m:smallFrac m:val="0"/>
    <m:dispDef/>
    <m:lMargin m:val="0"/>
    <m:rMargin m:val="0"/>
    <m:defJc m:val="centerGroup"/>
    <m:wrapIndent m:val="1440"/>
    <m:intLim m:val="subSup"/>
    <m:naryLim m:val="undOvr"/>
  </m:mathPr>
  <w:themeFontLang w:val="et-E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28F3"/>
  <w15:chartTrackingRefBased/>
  <w15:docId w15:val="{D4A7F121-86B5-4ECF-B5A3-42DA48AA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E8A"/>
    <w:rPr>
      <w:rFonts w:ascii="Times New Roman" w:hAnsi="Times New Roman" w:cs="Times New Roman"/>
      <w:sz w:val="24"/>
      <w:szCs w:val="24"/>
    </w:rPr>
  </w:style>
  <w:style w:type="paragraph" w:styleId="Heading1">
    <w:name w:val="heading 1"/>
    <w:basedOn w:val="Normal"/>
    <w:link w:val="Heading1Char"/>
    <w:uiPriority w:val="9"/>
    <w:qFormat/>
    <w:rsid w:val="00505E44"/>
    <w:pPr>
      <w:spacing w:before="100" w:beforeAutospacing="1" w:after="100" w:afterAutospacing="1" w:line="240" w:lineRule="auto"/>
      <w:outlineLvl w:val="0"/>
    </w:pPr>
    <w:rPr>
      <w:rFonts w:eastAsia="Times New Roman"/>
      <w:b/>
      <w:bCs/>
      <w:kern w:val="36"/>
      <w:sz w:val="48"/>
      <w:szCs w:val="48"/>
      <w:lang w:eastAsia="de-DE"/>
    </w:rPr>
  </w:style>
  <w:style w:type="paragraph" w:styleId="Heading2">
    <w:name w:val="heading 2"/>
    <w:basedOn w:val="Normal"/>
    <w:link w:val="Heading2Char"/>
    <w:uiPriority w:val="9"/>
    <w:qFormat/>
    <w:rsid w:val="00505E44"/>
    <w:pPr>
      <w:spacing w:before="100" w:beforeAutospacing="1" w:after="100" w:afterAutospacing="1" w:line="240" w:lineRule="auto"/>
      <w:outlineLvl w:val="1"/>
    </w:pPr>
    <w:rPr>
      <w:rFonts w:eastAsia="Times New Roman"/>
      <w:b/>
      <w:bCs/>
      <w:sz w:val="36"/>
      <w:szCs w:val="36"/>
      <w:lang w:eastAsia="de-DE"/>
    </w:rPr>
  </w:style>
  <w:style w:type="paragraph" w:styleId="Heading3">
    <w:name w:val="heading 3"/>
    <w:basedOn w:val="Normal"/>
    <w:link w:val="Heading3Char"/>
    <w:uiPriority w:val="9"/>
    <w:qFormat/>
    <w:rsid w:val="00505E44"/>
    <w:pPr>
      <w:spacing w:before="100" w:beforeAutospacing="1" w:after="100" w:afterAutospacing="1" w:line="240" w:lineRule="auto"/>
      <w:outlineLvl w:val="2"/>
    </w:pPr>
    <w:rPr>
      <w:rFonts w:eastAsia="Times New Roman"/>
      <w:b/>
      <w:bCs/>
      <w:sz w:val="27"/>
      <w:szCs w:val="27"/>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E44"/>
    <w:rPr>
      <w:rFonts w:ascii="Times New Roman" w:eastAsia="Times New Roman" w:hAnsi="Times New Roman" w:cs="Times New Roman"/>
      <w:b/>
      <w:bCs/>
      <w:kern w:val="36"/>
      <w:sz w:val="48"/>
      <w:szCs w:val="48"/>
      <w:lang w:eastAsia="de-DE"/>
    </w:rPr>
  </w:style>
  <w:style w:type="character" w:customStyle="1" w:styleId="Heading2Char">
    <w:name w:val="Heading 2 Char"/>
    <w:basedOn w:val="DefaultParagraphFont"/>
    <w:link w:val="Heading2"/>
    <w:uiPriority w:val="9"/>
    <w:rsid w:val="00505E44"/>
    <w:rPr>
      <w:rFonts w:ascii="Times New Roman" w:eastAsia="Times New Roman" w:hAnsi="Times New Roman" w:cs="Times New Roman"/>
      <w:b/>
      <w:bCs/>
      <w:sz w:val="36"/>
      <w:szCs w:val="36"/>
      <w:lang w:eastAsia="de-DE"/>
    </w:rPr>
  </w:style>
  <w:style w:type="character" w:customStyle="1" w:styleId="Heading3Char">
    <w:name w:val="Heading 3 Char"/>
    <w:basedOn w:val="DefaultParagraphFont"/>
    <w:link w:val="Heading3"/>
    <w:uiPriority w:val="9"/>
    <w:rsid w:val="00505E44"/>
    <w:rPr>
      <w:rFonts w:ascii="Times New Roman" w:eastAsia="Times New Roman" w:hAnsi="Times New Roman" w:cs="Times New Roman"/>
      <w:b/>
      <w:bCs/>
      <w:sz w:val="27"/>
      <w:szCs w:val="27"/>
      <w:lang w:eastAsia="de-DE"/>
    </w:rPr>
  </w:style>
  <w:style w:type="paragraph" w:styleId="NormalWeb">
    <w:name w:val="Normal (Web)"/>
    <w:basedOn w:val="Normal"/>
    <w:uiPriority w:val="99"/>
    <w:semiHidden/>
    <w:unhideWhenUsed/>
    <w:rsid w:val="00505E44"/>
    <w:pPr>
      <w:spacing w:before="100" w:beforeAutospacing="1" w:after="100" w:afterAutospacing="1" w:line="240" w:lineRule="auto"/>
    </w:pPr>
    <w:rPr>
      <w:rFonts w:eastAsia="Times New Roman"/>
      <w:lang w:eastAsia="de-DE"/>
    </w:rPr>
  </w:style>
  <w:style w:type="character" w:styleId="Strong">
    <w:name w:val="Strong"/>
    <w:basedOn w:val="DefaultParagraphFont"/>
    <w:uiPriority w:val="22"/>
    <w:qFormat/>
    <w:rsid w:val="00505E44"/>
    <w:rPr>
      <w:b/>
      <w:bCs/>
    </w:rPr>
  </w:style>
  <w:style w:type="character" w:styleId="Hyperlink">
    <w:name w:val="Hyperlink"/>
    <w:basedOn w:val="DefaultParagraphFont"/>
    <w:uiPriority w:val="99"/>
    <w:semiHidden/>
    <w:unhideWhenUsed/>
    <w:rsid w:val="00505E44"/>
    <w:rPr>
      <w:color w:val="0000FF"/>
      <w:u w:val="single"/>
    </w:rPr>
  </w:style>
  <w:style w:type="character" w:styleId="Emphasis">
    <w:name w:val="Emphasis"/>
    <w:basedOn w:val="DefaultParagraphFont"/>
    <w:uiPriority w:val="20"/>
    <w:qFormat/>
    <w:rsid w:val="00505E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46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5439</Words>
  <Characters>34272</Characters>
  <Application>Microsoft Office Word</Application>
  <DocSecurity>0</DocSecurity>
  <Lines>285</Lines>
  <Paragraphs>79</Paragraphs>
  <ScaleCrop>false</ScaleCrop>
  <Company/>
  <LinksUpToDate>false</LinksUpToDate>
  <CharactersWithSpaces>39632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Janika Leoste</dc:creator>
  <cp:keywords/>
  <dc:description/>
  <cp:lastModifiedBy>Janika Leoste</cp:lastModifiedBy>
  <cp:revision>1</cp:revision>
  <dcterms:created xsi:type="dcterms:W3CDTF">2026-04-10T19:35:00Z</dcterms:created>
  <dcterms:modified xsi:type="dcterms:W3CDTF">2026-04-10T19:36:00Z</dcterms:modified>
</cp:coreProperties>
</file>