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quant_platform 短板诊断与实盘路线图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对标主流量化机构的能力差距评估与优先级建议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595959"/>
          <w:sz w:val="18"/>
          <w:szCs w:val="18"/>
        </w:rPr>
        <w:t xml:space="preserve">2026-10-22　·　评估对象：A 股多因子量化平台（quant_platform）　·　方式：五维度代码级核查</w:t>
      </w:r>
    </w:p>
    <w:p>
      <w:pPr>
        <w:pBdr>
          <w:bottom w:val="single" w:color="1F3864" w:sz="12" w:space="8"/>
        </w:pBdr>
        <w:spacing w:after="260"/>
      </w:pP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一、执行摘要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这份报告回答一个问题：一个工程完成度已经很高的 A 股量化平台，距离“在市场上跑、能赚钱”还差什么。结论是：差的不在功能数量上。平台的研究覆盖、工程纪律与诚实度已经超过绝大多数个人项目，甚至超过不少小私募的自建系统；但把“信号”变成“利润”的四段关键链条——研究统计纪律、数据保真、组合优化、实盘运营——每一段都有关键断点，且没有任何一个断点能靠“再加一个模块”修复。</w:t>
      </w:r>
    </w:p>
    <w:p>
      <w:pPr>
        <w:spacing w:after="60"/>
      </w:pPr>
    </w:p>
    <w:tbl>
      <w:tblPr>
        <w:tblW w:type="dxa" w:w="9000"/>
        <w:tblBorders>
          <w:top w:val="none"/>
          <w:left w:val="single" w:color="1F3864" w:sz="24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EF3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 w:before="0" w:line="330"/>
            </w:pPr>
            <w:r>
              <w:rPr>
                <w:rFonts w:ascii="Microsoft YaHei" w:cs="Microsoft YaHei" w:eastAsia="Microsoft YaHei" w:hAnsi="Microsoft YaHei"/>
                <w:b/>
                <w:bCs/>
                <w:color w:val="B42318"/>
                <w:sz w:val="21"/>
                <w:szCs w:val="21"/>
              </w:rPr>
              <w:t xml:space="preserve">① 最大的空白：</w:t>
            </w:r>
            <w:r>
              <w:rPr>
                <w:rFonts w:ascii="Microsoft YaHei" w:cs="Microsoft YaHei" w:eastAsia="Microsoft YaHei" w:hAnsi="Microsoft YaHei"/>
                <w:color w:val="262626"/>
                <w:sz w:val="21"/>
                <w:szCs w:val="21"/>
              </w:rPr>
              <w:t xml:space="preserve">没有一条净成本为正的策略。M4 研究已证明 IC=+0.0334 的因子在月频调仓 + A 股成本结构下被吃光。这是研究空白，不是工程空白——任何功能都无法替代。</w:t>
            </w:r>
          </w:p>
          <w:p>
            <w:pPr>
              <w:spacing w:after="90" w:before="0" w:line="330"/>
            </w:pPr>
            <w:r>
              <w:rPr>
                <w:rFonts w:ascii="Microsoft YaHei" w:cs="Microsoft YaHei" w:eastAsia="Microsoft YaHei" w:hAnsi="Microsoft YaHei"/>
                <w:b/>
                <w:bCs/>
                <w:color w:val="B42318"/>
                <w:sz w:val="21"/>
                <w:szCs w:val="21"/>
              </w:rPr>
              <w:t xml:space="preserve">② 最大的风险：</w:t>
            </w:r>
            <w:r>
              <w:rPr>
                <w:rFonts w:ascii="Microsoft YaHei" w:cs="Microsoft YaHei" w:eastAsia="Microsoft YaHei" w:hAnsi="Microsoft YaHei"/>
                <w:color w:val="262626"/>
                <w:sz w:val="21"/>
                <w:szCs w:val="21"/>
              </w:rPr>
              <w:t xml:space="preserve">研究统计纪律未接线。DSR/FDR/Bonferroni 实现完整但生产路径零调用，参数 sweep 按最大 Sharpe 取参、无 PBO、无正式 holdout、Walk-Forward 无 purge/embargo——这是系统性“让自己相信假 alpha”的配置。</w:t>
            </w:r>
          </w:p>
          <w:p>
            <w:pPr>
              <w:spacing w:after="0" w:before="0" w:line="330"/>
            </w:pPr>
            <w:r>
              <w:rPr>
                <w:rFonts w:ascii="Microsoft YaHei" w:cs="Microsoft YaHei" w:eastAsia="Microsoft YaHei" w:hAnsi="Microsoft YaHei"/>
                <w:b/>
                <w:bCs/>
                <w:color w:val="B42318"/>
                <w:sz w:val="21"/>
                <w:szCs w:val="21"/>
              </w:rPr>
              <w:t xml:space="preserve">③ 最大的机会：</w:t>
            </w:r>
            <w:r>
              <w:rPr>
                <w:rFonts w:ascii="Microsoft YaHei" w:cs="Microsoft YaHei" w:eastAsia="Microsoft YaHei" w:hAnsi="Microsoft YaHei"/>
                <w:color w:val="262626"/>
                <w:sz w:val="21"/>
                <w:szCs w:val="21"/>
              </w:rPr>
              <w:t xml:space="preserve">容量不约束。个人资金可以交易机构吃不下的小市值反转/流动性溢价，这正是平台已有研究（“A 股是反转市场”）指向的方向。应以此建立第一条完整闭环。</w:t>
            </w:r>
          </w:p>
        </w:tc>
      </w:tr>
    </w:tbl>
    <w:p>
      <w:pPr>
        <w:spacing w:after="80"/>
      </w:pP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建议：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冻结功能扩张，按第六章路线图走完“一条策略从研究到小资金实盘”的完整闭环。这条闭环走通之前，平台准确的定位是“研究平台”，而不是“交易系统”。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二、评估范围与依据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本次评估拆为五个维度，逐一做代码级核查——不是读文档描述，而是读实现与调用链。原则：只有“生产路径实际调用”才算“存在”；写了代码但无调用者的，按“缺失”计。</w:t>
      </w:r>
    </w:p>
    <w:p>
      <w:pPr>
        <w:spacing w:after="40"/>
      </w:pP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950"/>
        <w:gridCol w:w="3950"/>
        <w:gridCol w:w="3100"/>
      </w:tblGrid>
      <w:tr>
        <w:trPr>
          <w:tblHeader/>
        </w:trPr>
        <w:tc>
          <w:tcPr>
            <w:tcW w:type="dxa" w:w="195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95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核查范围</w:t>
            </w:r>
          </w:p>
        </w:tc>
        <w:tc>
          <w:tcPr>
            <w:tcW w:type="dxa" w:w="31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一句话结论</w:t>
            </w:r>
          </w:p>
        </w:tc>
      </w:tr>
      <w:tr>
        <w:trPr>
          <w:cantSplit/>
        </w:trPr>
        <w:tc>
          <w:tcPr>
            <w:tcW w:type="dxa" w:w="19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组合优化与风险集成</w:t>
            </w:r>
          </w:p>
        </w:tc>
        <w:tc>
          <w:tcPr>
            <w:tcW w:type="dxa" w:w="39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portfolio/、risk/、backtest/capacity.py</w:t>
            </w:r>
          </w:p>
        </w:tc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优化器可用，但与风险模型、容量分析脱节</w:t>
            </w:r>
          </w:p>
        </w:tc>
      </w:tr>
      <w:tr>
        <w:trPr>
          <w:cantSplit/>
        </w:trPr>
        <w:tc>
          <w:tcPr>
            <w:tcW w:type="dxa" w:w="195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实盘运营闭环</w:t>
            </w:r>
          </w:p>
        </w:tc>
        <w:tc>
          <w:tcPr>
            <w:tcW w:type="dxa" w:w="395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trading/、execution/oms.py、operations/、core/scheduler.py</w:t>
            </w:r>
          </w:p>
        </w:tc>
        <w:tc>
          <w:tcPr>
            <w:tcW w:type="dxa" w:w="31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状态落盘扎实；对账与断线恢复缺失</w:t>
            </w:r>
          </w:p>
        </w:tc>
      </w:tr>
      <w:tr>
        <w:trPr>
          <w:cantSplit/>
        </w:trPr>
        <w:tc>
          <w:tcPr>
            <w:tcW w:type="dxa" w:w="19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研究统计严谨性</w:t>
            </w:r>
          </w:p>
        </w:tc>
        <w:tc>
          <w:tcPr>
            <w:tcW w:type="dxa" w:w="39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research/、backtest/walkforward.py、alpha/ml_signal.py、lab/</w:t>
            </w:r>
          </w:p>
        </w:tc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工具有余，纪律未接线</w:t>
            </w:r>
          </w:p>
        </w:tc>
      </w:tr>
      <w:tr>
        <w:trPr>
          <w:cantSplit/>
        </w:trPr>
        <w:tc>
          <w:tcPr>
            <w:tcW w:type="dxa" w:w="195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数据层保真度</w:t>
            </w:r>
          </w:p>
        </w:tc>
        <w:tc>
          <w:tcPr>
            <w:tcW w:type="dxa" w:w="395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data/providers/、data/pipeline.py、data/quality.py</w:t>
            </w:r>
          </w:p>
        </w:tc>
        <w:tc>
          <w:tcPr>
            <w:tcW w:type="dxa" w:w="31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框架正确；真实数据源有前视与关键缺口</w:t>
            </w:r>
          </w:p>
        </w:tc>
      </w:tr>
      <w:tr>
        <w:trPr>
          <w:cantSplit/>
        </w:trPr>
        <w:tc>
          <w:tcPr>
            <w:tcW w:type="dxa" w:w="19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执行与成本保真度</w:t>
            </w:r>
          </w:p>
        </w:tc>
        <w:tc>
          <w:tcPr>
            <w:tcW w:type="dxa" w:w="39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backtest/cost_model.py、tick_engine.py、execution/</w:t>
            </w:r>
          </w:p>
        </w:tc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模型齐全，但主链路未启用、未校准</w:t>
            </w:r>
          </w:p>
        </w:tc>
      </w:tr>
    </w:tbl>
    <w:p>
      <w:pPr>
        <w:spacing w:after="100"/>
      </w:pP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本报告不修改任何代码。所有“存在 / 部分存在 / 缺失”判断均基于 2026-10-22 的代码核查；核心证据在正文中以模块路径标注，供逐条复核。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三、对标辨析：Jane Street 不是正确的参照系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Jane Street 是做市商与高频交易机构，其优势在延迟、机房托管、期权定价、库存风险管理和资本规模。日频 A 股多因子与这个游戏几乎没有交集——用 Jane Street 做标尺，只会得出“处处落后”的错误结论，并诱导平台向错误方向投入（低延迟、自研撮合这类对日频策略毫无用处的工程）。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真正应当对标的是三类：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因子工厂型机构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（WorldQuant、幻方、九坤、明汯）：优势 = 因子研究吞吐量 × 数据广度深度 × 团队迭代速度 × 资本规模。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研究平台型产品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（聚宽、米筐）：优势 = 易用性与数据接入。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最现实的参照：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你自己的小资金账户。它只问三个问题——策略净成本后是否为正？执行是否按预期？回撤是否可控？</w:t>
      </w:r>
    </w:p>
    <w:p>
      <w:pPr>
        <w:spacing w:after="60"/>
      </w:pP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与大厂的真实差距只有三项：数据（PIT 质量、另类数据、逐笔 L2）、人（迭代速度差一到两个数量级）、钱（规模效应摊薄成本）。前两项长期存在，第三项不需要追——个人资金的结构性优势恰恰是容量不约束：大资金在小市值股票上是“带着枷锁跳舞”，小资金没有这个枷锁。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这些机构看这份代码库，会认可工程纪律（契约、fail-closed、溯源），然后问两个问题：“实盘 track record 呢？容量多少？”目前这两个答案都是空的。这不是能力问题，是闭环还没走完第一遍。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四、短板诊断（按距赚钱的远近分级）</w:t>
      </w:r>
    </w:p>
    <w:p>
      <w:pPr>
        <w:spacing w:after="40"/>
      </w:pP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700"/>
        <w:gridCol w:w="2200"/>
        <w:gridCol w:w="3800"/>
        <w:gridCol w:w="2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短板</w:t>
            </w:r>
          </w:p>
        </w:tc>
        <w:tc>
          <w:tcPr>
            <w:tcW w:type="dxa" w:w="38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现状</w:t>
            </w:r>
          </w:p>
        </w:tc>
        <w:tc>
          <w:tcPr>
            <w:tcW w:type="dxa" w:w="23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对盈利的影响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无可交易策略（净成本后）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尚无一条策略通过成本检验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没有正期望，其余都是前置条件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频率与回测保真度</w:t>
            </w:r>
          </w:p>
        </w:tc>
        <w:tc>
          <w:tcPr>
            <w:tcW w:type="dxa" w:w="3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主回测权重层 next_close；逐笔引擎未接线；算法单不调度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无法验证日/周频反转策略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优化器与成本脱节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无换手/成本惩罚；容量分析不进优化；Barra 只做事后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高换手 alpha 被成本吃光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成本模型未校准</w:t>
            </w:r>
          </w:p>
        </w:tc>
        <w:tc>
          <w:tcPr>
            <w:tcW w:type="dxa" w:w="3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主链路 fixed 0.1%；冲击模型未触发；印花税写死 0.1%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回测数字与实盘失真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P0.5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多重检验无校正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DSR/FDR 已实现未接线；sweep 无校正；无 PBO/holdout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系统性放大假 alpha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P0.5</w:t>
            </w:r>
          </w:p>
        </w:tc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数据前视残留</w:t>
            </w:r>
          </w:p>
        </w:tc>
        <w:tc>
          <w:tcPr>
            <w:tcW w:type="dxa" w:w="3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Baostock 公告日回退；Tushare 成分并集；ST 历史缺失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真实数据 IC 不可信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P0.5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因子衰减监控未接线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组件完整；自动降权未启用；无实盘-回测偏差追踪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策略退化发现滞后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对账无闭环</w:t>
            </w:r>
          </w:p>
        </w:tc>
        <w:tc>
          <w:tcPr>
            <w:tcW w:type="dxa" w:w="3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reconcile 无运行时调用者；OMS 独立内存账本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账实不符无法及时发现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QMT 断线无恢复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无自动重连；重启无法回查委托与成交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盘中掉线即盲飞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公司行为覆盖不全</w:t>
            </w:r>
          </w:p>
        </w:tc>
        <w:tc>
          <w:tcPr>
            <w:tcW w:type="dxa" w:w="38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OMS 不处理；仅支持分红/拆股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纸面账本与实盘偏离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结构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基础设施过剩</w:t>
            </w:r>
          </w:p>
        </w:tc>
        <w:tc>
          <w:tcPr>
            <w:tcW w:type="dxa" w:w="3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99 端点/投资者门户/合规导出对盈利零贡献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资源错配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30" w:before="300"/>
      </w:pPr>
      <w:r>
        <w:rPr>
          <w:rFonts w:ascii="Microsoft YaHei" w:cs="Microsoft YaHei" w:eastAsia="Microsoft YaHei" w:hAnsi="Microsoft YaHei"/>
          <w:b/>
          <w:bCs/>
          <w:color w:val="2E5395"/>
          <w:sz w:val="26"/>
          <w:szCs w:val="26"/>
        </w:rPr>
        <w:t xml:space="preserve">4.1　P0 · 直接决定能不能赚钱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4.1.1　没有一条净成本为正的策略（研究空白，非工程空白）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平台能产出“可信的研究结论”，但还没有产出过一条“可以下注的策略”。M4 里程碑已给出反例证据：volatility_20d 的 IC=+0.0334，在月频调仓 + A 股成本结构下不能转化为组合收益。世界级因子工厂也靠这个环节赚钱——平台是工厂，工厂本身不产生 alpha，研究迭代才产生。这一点无法用任何功能替代。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4.1.2　频率错配，且回测模拟不了真正想交易的东西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平台自己的研究结论是：A 股存在强反转 alpha（40–80 日连续时间结构），而月频采样会产生混叠。要吃到这种 alpha，需要日频/周频调仓 + 成本感知优化 + 日内执行。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但当前主回测是纯向量化、权重层面、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next_close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成交：没有盘中价格路径，没有部分成交。真正的事件驱动逐笔引擎（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backtest/tick_engine.py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，含合成盘口、冲击模型、T+1、部分成交）实现完整，却全仓非测试代码零调用者。TWAP/VWAP/Iceberg 只生成切片计划，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PlanExecutor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把每个切片按同一价格立即全部成交，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target_time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不参与调度。结论：平台最值钱的执行模拟能力与主回测链路是断开的。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4.1.3　组合优化器是“研究 → 变现”链条上的断点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MVO 目标函数只有 alpha 与方差两项：没有换手惩罚，没有交易成本项（换手率 30% 是硬约束，外加求解后向上一期组合混合）。容量分析（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backtest/capacity.py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，10% 参与率封顶 + 平方根冲击 + AUM–Sharpe 曲线）实现质量不错，但只挂在监控 API 上；优化器完全不看 ADV 与冲击成本。Barra 风险模型、VaR、压力测试同样只做事后分析，从不进入优化环节。后果：高换手信号在优化器眼里和零成本信号一样便宜——这正是反转类 alpha 被成本吃光的直接机制。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4.1.4　成本模型齐全但未校准，主链路未生效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成本项齐全（佣金、印花税按日期切换、过户费、滑点），冲击模型齐全（Almgren-Chriss、平方根、Kyle 集成）——但主回测默认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fixed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滑点 0.1%，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main.py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不传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daily_volume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，冲击模型永远不触发；所有参数为硬编码默认值，没有任何校准代码。另有一个隐蔽失真：主链路显式写死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stamp_tax=0.001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，覆盖了 2023-08-28 后 0.05% 的法定税率——方向保守（多计成本），但意味着当前费率下的策略真实成本被高估，可能误杀本可存活的策略。</w:t>
      </w:r>
    </w:p>
    <w:p>
      <w:pPr>
        <w:pStyle w:val="Heading2"/>
        <w:keepNext/>
        <w:spacing w:after="130" w:before="300"/>
      </w:pPr>
      <w:r>
        <w:rPr>
          <w:rFonts w:ascii="Microsoft YaHei" w:cs="Microsoft YaHei" w:eastAsia="Microsoft YaHei" w:hAnsi="Microsoft YaHei"/>
          <w:b/>
          <w:bCs/>
          <w:color w:val="2E5395"/>
          <w:sz w:val="26"/>
          <w:szCs w:val="26"/>
        </w:rPr>
        <w:t xml:space="preserve">4.2　P0.5 · 会让你骗自己的（研究纪律）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4.2.1　多重检验控制：库存在，生产零接入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DSR（Deflated Sharpe）、BH-FDR、Bonferroni 在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research/validation.py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实现完整，但全仓非测试代码没有一处调用。参数 sweep 直接按最大 Sharpe 取参，无任何试验次数校正；无 PBO，无正式 holdout。研究验证流程按全样本 ICIR 选因子，代码自己标注了 selection-biased。Walk-Forward 回测无 purge/embargo（只有 ML 信号 CV 有）。这些配置的共同后果：发现“假 alpha”的概率被系统性放大，而输出看起来与真 alpha 无异。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4.2.2　真实数据上的前视偏差残留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退市股保留做得正确（Baostock 拉全 A 股含退市，Tushare 抓 L/P/D 上市状态），但有三处真问题：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Baostock 财务数据缺公告日时，回退到“期末后第一个交易日”作为可见日——等于提前看到未来数据；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Tushare 股票池是样本期内指数成分的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并集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，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get_index_membership_mask()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只在测试中调用——早期横截面包含未来才纳入的成分股；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Tushare/Baostock 的 ST 历史返回空序列，只有合成数据完整——真实数据回测时 ST 过滤实际失效。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此外：跨源校验默认关闭，且唯一接入的 Adata 不支持价格/财务，形同虚设；新闻情绪因子没有真实抓取管道，无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news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入参时用模板 + 随机数生成假标题（有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is_synthetic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标注，但它是演示品）。结论：目前用真实数据跑出的 IC 与回测数字，可信度不足以支撑下注。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4.2.3　因子衰减监控有组件、未接线</w:t>
      </w:r>
    </w:p>
    <w:p>
      <w:pPr>
        <w:spacing w:after="110" w:before="0" w:line="330"/>
      </w:pPr>
      <w:r>
        <w:rPr>
          <w:rFonts w:ascii="Consolas" w:cs="Consolas" w:eastAsia="Consolas" w:hAnsi="Consolas"/>
          <w:color w:val="3B4A63"/>
          <w:sz w:val="19"/>
          <w:szCs w:val="19"/>
        </w:rPr>
        <w:t xml:space="preserve">ic_monitor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组件完整（滚动 IC/ICIR、衰减速率、半衰期、三级告警、自动禁用状态机），但自动降权形参未传入生产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AlphaPipeline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；唯一的自动化是每日 paper 监控脚本，基线阈值硬编码（Sharpe 0.45），无调度配置，也不追踪“实盘 vs 回测预期”偏差。</w:t>
      </w:r>
    </w:p>
    <w:p>
      <w:pPr>
        <w:pStyle w:val="Heading2"/>
        <w:keepNext/>
        <w:spacing w:after="130" w:before="300"/>
      </w:pPr>
      <w:r>
        <w:rPr>
          <w:rFonts w:ascii="Microsoft YaHei" w:cs="Microsoft YaHei" w:eastAsia="Microsoft YaHei" w:hAnsi="Microsoft YaHei"/>
          <w:b/>
          <w:bCs/>
          <w:color w:val="2E5395"/>
          <w:sz w:val="26"/>
          <w:szCs w:val="26"/>
        </w:rPr>
        <w:t xml:space="preserve">4.3　P1 · 真金白银之前的运营硬缺口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4.3.1　对账没有闭环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通用对账 API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reconcile()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存在且测试完善，但模块自述“no runtime caller yet”；没有券商对账单/成交流水的解析导入；scheduler 的 EOD reconciliation 只是落快照 + 幂等 marker，不做 expected vs actual 比对；OMS 是独立内存纸面账本，不接 Store 也不接 broker；启动时只核对持仓（不比资金），且非每日。真金白银的核心纪律是每天账实相符——现在没有这个环节。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4.3.2　QMT 掉线即盲飞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broker 文档宣称“自动重连”，实现只是置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_connected=False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；有重连能力的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ConnectionManager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无调用者；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get_orders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 只返回内存列表，不调 </w:t>
      </w:r>
      <w:r>
        <w:rPr>
          <w:rFonts w:ascii="Consolas" w:cs="Consolas" w:eastAsia="Consolas" w:hAnsi="Consolas"/>
          <w:color w:val="3B4A63"/>
          <w:sz w:val="19"/>
          <w:szCs w:val="19"/>
        </w:rPr>
        <w:t xml:space="preserve">query_stock_orders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——引擎重启/重连后无法从券商柜台重建委托与成交。盘中掉线一次，在途单状态就不可知。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4.3.3　公司行为覆盖不全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仿真盘支持分红/拆股（按 ex-date 幂等，可持久化 marker），实盘依赖券商处理（设计合理）；但 OMS 完全不处理公司行为，也不支持配股。纸面账本与实盘持仓会随时间偏离，进一步放大对账缺口。</w:t>
      </w:r>
    </w:p>
    <w:p>
      <w:pPr>
        <w:pStyle w:val="Heading3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4.3.4　单进程/SQLite：可接受，不算短板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运行状态全部在进程内、默认 SQLite 存储——在个人/小资金规模下是合理取舍，不需要过度工程。把这条约束写进部署文档即可。</w:t>
      </w:r>
    </w:p>
    <w:p>
      <w:pPr>
        <w:pStyle w:val="Heading2"/>
        <w:keepNext/>
        <w:spacing w:after="130" w:before="300"/>
      </w:pPr>
      <w:r>
        <w:rPr>
          <w:rFonts w:ascii="Microsoft YaHei" w:cs="Microsoft YaHei" w:eastAsia="Microsoft YaHei" w:hAnsi="Microsoft YaHei"/>
          <w:b/>
          <w:bCs/>
          <w:color w:val="2E5395"/>
          <w:sz w:val="26"/>
          <w:szCs w:val="26"/>
        </w:rPr>
        <w:t xml:space="preserve">4.4　结构性失衡：基础设施过剩，alpha 研究不足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99 个 HTTP 端点、投资者门户、合规导出、多租户设计——这些是“基金公司”的功能，对“赚钱”零贡献，它们的存在本身就是过度建设的证据。建议设立新功能准入问题：“它让第一笔盈利提前了几天？”答不上来就不做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五、平台真正的资产（对标中不要丢掉）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下列能力是平台最值钱的部分，也是大厂看代码库时会先认可的部分——它们保证系统“不会炸”：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前视偏差零容忍契约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（8 条铁规）+ 回归测试守护；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fail-closed 设计：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QMT 连接失败直接中止，不回退模拟盘；货币路径数据源不声明价格基准即拒绝；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Trust Metadata：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每次研究记录都携带数据源、复权方式、PIT 状态、偏差警告；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诚实注册表：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失败运行同样记录；系统从不隐藏自身的不确定性；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状态一致性：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单进程状态设计、幂等 EOD marker、停机补跑、启动持仓核对。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这些是“不炸”的护城河。大厂会先认可这些，然后问实盘业绩——这正是下一步要补的。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六、优先级路线图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按“每单位工作量缩短多少距第一笔实盘盈利的距离”排序。前五步是串行的：每一步都是下一步的前提。</w:t>
      </w:r>
    </w:p>
    <w:p>
      <w:pPr>
        <w:spacing w:after="40"/>
      </w:pP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700"/>
        <w:gridCol w:w="3600"/>
        <w:gridCol w:w="2400"/>
        <w:gridCol w:w="2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工作项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排序理由</w:t>
            </w:r>
          </w:p>
        </w:tc>
        <w:tc>
          <w:tcPr>
            <w:tcW w:type="dxa" w:w="23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完成标志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研究纪律三件套：DSR/FDR 接入 sweep 与因子筛选；WF 加 purge/embargo；选参/选因子移入训练窗 + 正式 holdout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最便宜，直接决定后面所有数字的可信度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sweep 输出带 DSR 校正值；WF 有 embargo 配置；holdout 从不参与任何选择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数据前视三处修补：Baostock pubDate 回退、Tushare 成分按日 PIT、真实源 ST 策略</w:t>
            </w:r>
          </w:p>
        </w:tc>
        <w:tc>
          <w:tcPr>
            <w:tcW w:type="dxa" w:w="24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研究可信度的前提，改动量小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真实数据 IC 复算，前后偏差可解释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打通“信号→组合”：优化器加换手/成本惩罚 + 容量约束；成本模型启用冲击路径并校准；修印花税率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让回测数字贴近真实，避免误杀/误信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优化器目标含成本项；capacity 进入约束；印花税按日期生效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实盘运营三件套：QMT 重连 + query_stock_orders 回查；每日账实对账（含资金）；OMS 与 Store/broker 收口</w:t>
            </w:r>
          </w:p>
        </w:tc>
        <w:tc>
          <w:tcPr>
            <w:tcW w:type="dxa" w:w="24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真金白银的前提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连续 5 个交易日自动对账一致；断线重启后委托可重建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一条策略完整闭环：小市值反转/周频——研究 → paper → 小资金实盘 → TCA 回写 → 迭代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唯一真正的验收标准</w:t>
            </w:r>
          </w:p>
        </w:tc>
        <w:tc>
          <w:tcPr>
            <w:tcW w:type="dxa" w:w="2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见第七章验收标准</w:t>
            </w:r>
          </w:p>
        </w:tc>
      </w:tr>
      <w:tr>
        <w:trPr>
          <w:cantSplit/>
        </w:trPr>
        <w:tc>
          <w:tcPr>
            <w:tcW w:type="dxa" w:w="7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之后：另类数据真实管道、日内执行真实性、tick 引擎接入主链路</w:t>
            </w:r>
          </w:p>
        </w:tc>
        <w:tc>
          <w:tcPr>
            <w:tcW w:type="dxa" w:w="24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按需，不阻塞前五步</w:t>
            </w:r>
          </w:p>
        </w:tc>
        <w:tc>
          <w:tcPr>
            <w:tcW w:type="dxa" w:w="23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七、“能赚钱”的最小证据集（验收标准建议）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在以下四条全部满足之前，平台不应对外称“交易系统”：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统计关：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一条策略在 OOS + 独立 holdout 上净成本为正；DSR 达到预设阈值；参数邻域扰动下表现稳定（±20% 参数变化不崩溃）。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模拟关：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Paper Trading 连续 ≥ 30 个交易日，成交价、滑点、换手率与回测预期的偏差在预设阈值内。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实盘关：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小资金实盘 ≥ 3 个月，每日账实相符；最大回撤未触发熔断；无未解释的持仓偏差。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闭环关：</w:t>
      </w: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TCA 数据回写并校准成本模型，回测与实盘的偏差随迭代收敛。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八、结语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平台真正的价值不在功能数量，而在两点：把“从想法到实盘”的边际成本压到极低，以及不会撒谎。这两点正是个人量化最缺的东西。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现在缺的不是更多模块，是第一次用完整闭环证明某一条策略能赚钱——走通一次，这个平台的价值会被放大一个量级；走不通，99 个端点就只是舞台布景。</w:t>
      </w:r>
    </w:p>
    <w:p>
      <w:pPr>
        <w:pStyle w:val="Heading1"/>
        <w:keepNext/>
        <w:pBdr>
          <w:bottom w:val="single" w:color="1F3864" w:sz="8" w:space="6"/>
        </w:pBdr>
        <w:spacing w:after="180" w:before="38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附录　关键核查点索引</w:t>
      </w:r>
    </w:p>
    <w:p>
      <w:pPr>
        <w:spacing w:after="110" w:before="0" w:line="33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下表是正文各条断言的代码位置索引（路径相对仓库根目录），供逐条复核。</w:t>
      </w:r>
    </w:p>
    <w:p>
      <w:pPr>
        <w:spacing w:after="40"/>
      </w:pP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500"/>
        <w:gridCol w:w="3600"/>
        <w:gridCol w:w="3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主题</w:t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关键文件</w:t>
            </w:r>
          </w:p>
        </w:tc>
        <w:tc>
          <w:tcPr>
            <w:tcW w:type="dxa" w:w="390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核查结论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组合优化器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portfolio/optimizers.py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目标函数仅 alpha+variance，无换手/成本惩罚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容量分析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backtest/capacity.py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实现完整，仅接监控 API，未进优化约束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风险模型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risk/barra.py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仅 API 事后分解，不参与优化/回测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Walk-Forward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backtest/walkforward.py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 purge/embargo；ML CV 有（alpha/ml_signal.py）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多重检验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research/validation.py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DSR/FDR/Bonferroni 完整，生产零调用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参数与因子选择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api/routes.py、strategy/research_validation.py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sweep 按最大 Sharpe；因子按全样本 ICIR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IC 衰减监控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factors/ic_monitor.py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组件完整，自动降权未接入生产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每日监控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monitoring/run_monitor.py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paper 脚本，阈值硬编码，无调度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对账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operations/reconciliation.py、core/scheduler.py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reconcile() 无调用者；EOD 仅快照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OMS 账本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execution/oms.py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独立内存账本，不接 Store/broker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QMT 接口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trading/broker.py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下单/撤单/查询真实；无重连、无委托回查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数据 PIT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data/providers/baostock_provider.py、tushare_loader.py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公告日回退与成分并集两处前视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ST 历史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data/providers/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真实源返回空，仅合成数据完整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新闻情绪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agent/sentiment_factor.py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模板 + RNG 演示，无真实抓取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成本模型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backtest/cost_model.py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冲击模型存在；主链路 fixed 0.1% 未触发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逐笔回测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backtest/tick_engine.py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完整实现，全仓无调用者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执行算法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execution/algorithms.py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切片计划真实，调度缺失</w:t>
            </w:r>
          </w:p>
        </w:tc>
      </w:tr>
      <w:tr>
        <w:trPr>
          <w:cantSplit/>
        </w:trPr>
        <w:tc>
          <w:tcPr>
            <w:tcW w:type="dxa" w:w="15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TCA</w:t>
            </w:r>
          </w:p>
        </w:tc>
        <w:tc>
          <w:tcPr>
            <w:tcW w:type="dxa" w:w="36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execution/tca.py</w:t>
            </w:r>
          </w:p>
        </w:tc>
        <w:tc>
          <w:tcPr>
            <w:tcW w:type="dxa" w:w="3900"/>
            <w:shd w:fill="F5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离线实现，生产零引用</w:t>
            </w:r>
          </w:p>
        </w:tc>
      </w:tr>
    </w:tbl>
    <w:p>
      <w:pPr>
        <w:spacing w:after="160"/>
      </w:pPr>
    </w:p>
    <w:p>
      <w:pPr>
        <w:spacing w:after="110" w:before="0" w:line="330"/>
        <w:jc w:val="center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（完）</w:t>
      </w:r>
    </w:p>
    <w:sectPr>
      <w:headerReference w:type="default" r:id="rId6"/>
      <w:footerReference w:type="default" r:id="rId7"/>
      <w:pgSz w:w="11906" w:h="16838" w:orient="portrait"/>
      <w:pgMar w:top="1300" w:right="1400" w:bottom="12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</w:r>
    <w:r>
      <w:rPr>
        <w:rFonts w:ascii="Microsoft YaHei" w:cs="Microsoft YaHei" w:eastAsia="Microsoft YaHei" w:hAnsi="Microsoft YaHei"/>
        <w:color w:val="595959"/>
        <w:sz w:val="16"/>
        <w:szCs w:val="16"/>
      </w:rPr>
      <w:instrText xml:space="preserve">PAGE</w:instrTex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separate"/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</w:r>
    <w:r>
      <w:rPr>
        <w:rFonts w:ascii="Microsoft YaHei" w:cs="Microsoft YaHei" w:eastAsia="Microsoft YaHei" w:hAnsi="Microsoft YaHei"/>
        <w:color w:val="595959"/>
        <w:sz w:val="16"/>
        <w:szCs w:val="16"/>
      </w:rPr>
      <w:instrText xml:space="preserve">NUMPAGES</w:instrTex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separate"/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8" w:sz="4" w:space="4"/>
      </w:pBdr>
      <w:spacing w:after="60"/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quant_platform 短板诊断与实盘路线图 · 2026-10-22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>
      <w:pPr>
        <w:spacing w:after="110" w:line="33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quant_platform 短板诊断与实盘路线图</dc:title>
  <dc:creator>quant_platform 评估</dc:creator>
  <dc:description>对标主流量化机构的能力差距评估与优先级建议（2026-10-22）</dc:description>
  <cp:lastModifiedBy>Un-named</cp:lastModifiedBy>
  <cp:revision>1</cp:revision>
  <dcterms:created xsi:type="dcterms:W3CDTF">2026-10-22T13:19:10.689Z</dcterms:created>
  <dcterms:modified xsi:type="dcterms:W3CDTF">2026-10-22T13:19:10.691Z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