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iDoc Cloud 后端开发规范</w:t>
      </w: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后端开发工具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统一： IntelliJ IDEA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优点：代码提示功能强大、开发效率高、插件多，可根据需要去下载插件（如热部署，代码规约）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项目结构</w:t>
      </w:r>
    </w:p>
    <w:p>
      <w:pPr>
        <w:ind w:firstLine="420" w:firstLineChars="0"/>
      </w:pPr>
      <w:r>
        <w:drawing>
          <wp:inline distT="0" distB="0" distL="114300" distR="114300">
            <wp:extent cx="2743200" cy="4819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关键点：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文件目录英文全是小写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类名首字母大写，每个单词首字母大写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controller层书写接口，entity存放实体类，service写业务等等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主要逻辑写在service实现类，controller主要实现调用方法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代码规范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代码规范以阿里编码规约为主，请务必规范书写。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IDEA引入插件。百度搜索idea 阿里编码规约有安装教程。</w:t>
      </w:r>
    </w:p>
    <w:p>
      <w:pPr>
        <w:ind w:firstLine="420" w:firstLineChars="0"/>
      </w:pPr>
      <w:r>
        <w:drawing>
          <wp:inline distT="0" distB="0" distL="114300" distR="114300">
            <wp:extent cx="2590800" cy="3295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返回的固定json格式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作用：返回格式统一，方便前端获取数据。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工具类已封装，请参考以下几个工具类：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ResponseUtil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ResponseVO 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ResponseEnums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返回格式案例：</w:t>
      </w:r>
    </w:p>
    <w:p>
      <w:pPr>
        <w:ind w:firstLine="420" w:firstLineChars="0"/>
      </w:pPr>
      <w:r>
        <w:drawing>
          <wp:inline distT="0" distB="0" distL="114300" distR="114300">
            <wp:extent cx="5268595" cy="1791970"/>
            <wp:effectExtent l="0" t="0" r="825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返回状态码定义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参考控制器响应枚举类：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ResponseEnums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* 0  成功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OK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"OK"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),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* 400 参数错误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PARAM_ERROR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400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"PARAM ERROR"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),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*500  错误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ERROR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500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"ERROR"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),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NO_DATA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700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"数据找不到了"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),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INSERT_ERROR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800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"INSERT ERROR"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),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UPDATE_ERROR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801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"UPDATE ERROR"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),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DELETE_ERROR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802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"DELETE ERROR"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),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请求接口流程及参数规范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登录接口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用户登录成功后，Redis存放用户的格式是：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db_name:</w:t>
      </w:r>
      <w:r>
        <w:rPr>
          <w:rFonts w:hint="default"/>
          <w:lang w:val="en-US" w:eastAsia="zh-CN"/>
        </w:rPr>
        <w:t>login:token:</w:t>
      </w:r>
      <w:r>
        <w:rPr>
          <w:rFonts w:hint="eastAsia"/>
          <w:lang w:val="en-US" w:eastAsia="zh-CN"/>
        </w:rPr>
        <w:t>userCode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ind w:left="420" w:leftChars="0" w:firstLine="420" w:firstLineChars="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zhisijie</w:t>
      </w:r>
      <w:r>
        <w:rPr>
          <w:rFonts w:hint="default"/>
          <w:lang w:val="en-US" w:eastAsia="zh-CN"/>
        </w:rPr>
        <w:t>:login:token:</w:t>
      </w:r>
      <w:r>
        <w:rPr>
          <w:rFonts w:hint="default"/>
          <w:highlight w:val="green"/>
          <w:lang w:val="en-US" w:eastAsia="zh-CN"/>
        </w:rPr>
        <w:t>sijie.zhi</w:t>
      </w:r>
    </w:p>
    <w:p>
      <w:pPr>
        <w:ind w:left="420" w:leftChars="0" w:firstLine="420" w:firstLineChars="0"/>
        <w:rPr>
          <w:rFonts w:hint="default"/>
          <w:highlight w:val="green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4010025" cy="12001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作用：区分客户公司，区分</w:t>
      </w:r>
      <w:r>
        <w:rPr>
          <w:rFonts w:hint="eastAsia"/>
          <w:lang w:val="en-US" w:eastAsia="zh-CN"/>
        </w:rPr>
        <w:t>redis类型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其他接口（统一入口）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接口调用流程：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网关→前置服务→其他</w:t>
      </w:r>
      <w:bookmarkStart w:id="0" w:name="_GoBack"/>
      <w:bookmarkEnd w:id="0"/>
      <w:r>
        <w:rPr>
          <w:rFonts w:hint="eastAsia"/>
          <w:lang w:val="en-US" w:eastAsia="zh-CN"/>
        </w:rPr>
        <w:t>服务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除登录接口外，其他接口都统一调用前置服务一个接口，根据operation去调用其他服务。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网关处做了鉴权：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1）检测请求接口是否带上idoc_token和operation 、ip、</w:t>
      </w:r>
      <w:r>
        <w:rPr>
          <w:rFonts w:hint="eastAsia"/>
          <w:highlight w:val="yellow"/>
          <w:lang w:val="en-US" w:eastAsia="zh-CN"/>
        </w:rPr>
        <w:t>（物理网卡地址）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2）检测idoc_token是否正确，及刷新时间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注意：必须带上idoc_token 和 operation。token是在header，operation 是参数形式。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接口书写模板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登录接口（非统一接口）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原因：登录接口不需要过多的鉴权，所以设单个接口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传入参数：用户名 密码 客户公司的数据库名</w:t>
      </w:r>
    </w:p>
    <w:p>
      <w:pPr>
        <w:ind w:firstLine="420" w:firstLineChars="0"/>
      </w:pPr>
      <w:r>
        <w:drawing>
          <wp:inline distT="0" distB="0" distL="114300" distR="114300">
            <wp:extent cx="5274310" cy="47980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参数接受及调用接口：</w:t>
      </w:r>
    </w:p>
    <w:p>
      <w:pPr>
        <w:ind w:firstLine="420" w:firstLineChars="0"/>
      </w:pPr>
      <w:r>
        <w:drawing>
          <wp:inline distT="0" distB="0" distL="114300" distR="114300">
            <wp:extent cx="5238750" cy="2971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其他接口（统一接口）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注意：</w:t>
      </w:r>
      <w:r>
        <w:rPr>
          <w:rFonts w:hint="eastAsia"/>
          <w:lang w:val="en-US" w:eastAsia="zh-CN"/>
        </w:rPr>
        <w:t>idoc_token 和 operation 不能少，否则鉴权不通过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66055" cy="2112645"/>
            <wp:effectExtent l="0" t="0" r="1079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接口书写规范：</w:t>
      </w:r>
    </w:p>
    <w:p>
      <w:pPr>
        <w:ind w:firstLine="420" w:firstLineChars="0"/>
      </w:pPr>
      <w:r>
        <w:drawing>
          <wp:inline distT="0" distB="0" distL="114300" distR="114300">
            <wp:extent cx="5274310" cy="2880360"/>
            <wp:effectExtent l="0" t="0" r="2540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调用接口书写：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参数以及方法名和被调用服务方法名一致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要带上注解如@requestParam、@requestBody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注意:此处规范很重要，不懂的参数传递有不同的注解，前后一致。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70500" cy="2049780"/>
            <wp:effectExtent l="0" t="0" r="635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调用失败熔断降级：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作用：防止微服务雪崩。所以每调用后置接口，都要写入一个降级接口。以通知维护人员。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4785" cy="1416685"/>
            <wp:effectExtent l="0" t="0" r="12065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C85311"/>
    <w:multiLevelType w:val="multilevel"/>
    <w:tmpl w:val="E0C8531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08108D5B"/>
    <w:multiLevelType w:val="singleLevel"/>
    <w:tmpl w:val="08108D5B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7282CCB7"/>
    <w:multiLevelType w:val="singleLevel"/>
    <w:tmpl w:val="7282CCB7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53C59"/>
    <w:rsid w:val="05C360CA"/>
    <w:rsid w:val="07811CDB"/>
    <w:rsid w:val="07A77F1D"/>
    <w:rsid w:val="11AE382F"/>
    <w:rsid w:val="11B06E06"/>
    <w:rsid w:val="12FC361A"/>
    <w:rsid w:val="136D671B"/>
    <w:rsid w:val="13E15F55"/>
    <w:rsid w:val="14F70577"/>
    <w:rsid w:val="1B2276A5"/>
    <w:rsid w:val="1DE441FA"/>
    <w:rsid w:val="215C36D0"/>
    <w:rsid w:val="2B955F8D"/>
    <w:rsid w:val="2E7C541A"/>
    <w:rsid w:val="34E910FE"/>
    <w:rsid w:val="39C5203F"/>
    <w:rsid w:val="3A3A1A12"/>
    <w:rsid w:val="41770A1C"/>
    <w:rsid w:val="479A4C35"/>
    <w:rsid w:val="4AB05732"/>
    <w:rsid w:val="4D82477E"/>
    <w:rsid w:val="52ED76B8"/>
    <w:rsid w:val="54612179"/>
    <w:rsid w:val="555A4871"/>
    <w:rsid w:val="5A80181E"/>
    <w:rsid w:val="5BF062B9"/>
    <w:rsid w:val="5CBF52D1"/>
    <w:rsid w:val="5D0F3FA1"/>
    <w:rsid w:val="615F26A6"/>
    <w:rsid w:val="62F0764E"/>
    <w:rsid w:val="68721A35"/>
    <w:rsid w:val="689B0336"/>
    <w:rsid w:val="750A777B"/>
    <w:rsid w:val="7B1B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="210" w:afterLines="0" w:afterAutospacing="0" w:line="360" w:lineRule="auto"/>
      <w:ind w:left="432" w:hanging="432" w:firstLineChars="0"/>
      <w:outlineLvl w:val="0"/>
    </w:pPr>
    <w:rPr>
      <w:rFonts w:ascii="Calibri" w:hAnsi="Calibri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240" w:lineRule="auto"/>
      <w:ind w:left="0" w:firstLine="0" w:firstLineChars="0"/>
      <w:jc w:val="left"/>
      <w:outlineLvl w:val="1"/>
    </w:pPr>
    <w:rPr>
      <w:rFonts w:ascii="Arial" w:hAnsi="Arial"/>
      <w:b/>
      <w:sz w:val="24"/>
    </w:rPr>
  </w:style>
  <w:style w:type="character" w:default="1" w:styleId="6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Carzy植</cp:lastModifiedBy>
  <dcterms:modified xsi:type="dcterms:W3CDTF">2019-03-18T11:33:02Z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